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E97EF" w14:textId="77777777" w:rsidR="00F577A2" w:rsidRPr="00FC3C74" w:rsidRDefault="00F577A2" w:rsidP="00F577A2">
      <w:pPr>
        <w:pStyle w:val="Ttulo"/>
        <w:ind w:left="709"/>
        <w:jc w:val="right"/>
        <w:rPr>
          <w:b w:val="0"/>
          <w:bCs/>
          <w:caps/>
          <w:sz w:val="16"/>
          <w:szCs w:val="16"/>
          <w:lang w:val="es-MX"/>
        </w:rPr>
      </w:pPr>
      <w:bookmarkStart w:id="0" w:name="_Hlk97727860"/>
      <w:r>
        <w:rPr>
          <w:noProof/>
          <w:lang w:eastAsia="es-MX"/>
        </w:rPr>
        <mc:AlternateContent>
          <mc:Choice Requires="wps">
            <w:drawing>
              <wp:anchor distT="45720" distB="45720" distL="114300" distR="114300" simplePos="0" relativeHeight="251659264" behindDoc="0" locked="0" layoutInCell="1" allowOverlap="1" wp14:anchorId="4DDFE3AD" wp14:editId="212E45DB">
                <wp:simplePos x="0" y="0"/>
                <wp:positionH relativeFrom="column">
                  <wp:posOffset>3084479</wp:posOffset>
                </wp:positionH>
                <wp:positionV relativeFrom="paragraph">
                  <wp:posOffset>433</wp:posOffset>
                </wp:positionV>
                <wp:extent cx="333629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0AD0B7F1" w14:textId="77777777" w:rsidR="00F577A2" w:rsidRPr="002A4FEF" w:rsidRDefault="00F577A2" w:rsidP="00F577A2">
                            <w:pPr>
                              <w:jc w:val="right"/>
                              <w:rPr>
                                <w:b/>
                                <w:color w:val="FFFFFF" w:themeColor="background1"/>
                                <w:shd w:val="clear" w:color="auto" w:fill="365F91" w:themeFill="accent1" w:themeFillShade="BF"/>
                                <w:lang w:val="pt-BR"/>
                              </w:rPr>
                            </w:pPr>
                            <w:r w:rsidRPr="002A4FEF">
                              <w:rPr>
                                <w:b/>
                                <w:color w:val="FFFFFF" w:themeColor="background1"/>
                                <w:shd w:val="clear" w:color="auto" w:fill="365F91" w:themeFill="accent1" w:themeFillShade="BF"/>
                                <w:lang w:val="pt-BR"/>
                              </w:rPr>
                              <w:t xml:space="preserve">Próxima </w:t>
                            </w:r>
                            <w:proofErr w:type="spellStart"/>
                            <w:r w:rsidRPr="002A4FEF">
                              <w:rPr>
                                <w:b/>
                                <w:color w:val="FFFFFF" w:themeColor="background1"/>
                                <w:shd w:val="clear" w:color="auto" w:fill="365F91" w:themeFill="accent1" w:themeFillShade="BF"/>
                                <w:lang w:val="pt-BR"/>
                              </w:rPr>
                              <w:t>publicación</w:t>
                            </w:r>
                            <w:proofErr w:type="spellEnd"/>
                            <w:r w:rsidRPr="002A4FEF">
                              <w:rPr>
                                <w:b/>
                                <w:color w:val="FFFFFF" w:themeColor="background1"/>
                                <w:shd w:val="clear" w:color="auto" w:fill="365F91" w:themeFill="accent1" w:themeFillShade="BF"/>
                                <w:lang w:val="pt-BR"/>
                              </w:rPr>
                              <w:t xml:space="preserve">:  10 de </w:t>
                            </w:r>
                            <w:proofErr w:type="spellStart"/>
                            <w:r w:rsidRPr="002A4FEF">
                              <w:rPr>
                                <w:b/>
                                <w:color w:val="FFFFFF" w:themeColor="background1"/>
                                <w:shd w:val="clear" w:color="auto" w:fill="365F91" w:themeFill="accent1" w:themeFillShade="BF"/>
                                <w:lang w:val="pt-BR"/>
                              </w:rPr>
                              <w:t>junio</w:t>
                            </w:r>
                            <w:proofErr w:type="spellEnd"/>
                          </w:p>
                          <w:p w14:paraId="042D4789" w14:textId="77777777" w:rsidR="00F577A2" w:rsidRPr="003D4E37" w:rsidRDefault="00F577A2" w:rsidP="00F577A2">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DFE3AD"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0AD0B7F1" w14:textId="77777777" w:rsidR="00F577A2" w:rsidRPr="002A4FEF" w:rsidRDefault="00F577A2" w:rsidP="00F577A2">
                      <w:pPr>
                        <w:jc w:val="right"/>
                        <w:rPr>
                          <w:b/>
                          <w:color w:val="FFFFFF" w:themeColor="background1"/>
                          <w:shd w:val="clear" w:color="auto" w:fill="365F91" w:themeFill="accent1" w:themeFillShade="BF"/>
                          <w:lang w:val="pt-BR"/>
                        </w:rPr>
                      </w:pPr>
                      <w:r w:rsidRPr="002A4FEF">
                        <w:rPr>
                          <w:b/>
                          <w:color w:val="FFFFFF" w:themeColor="background1"/>
                          <w:shd w:val="clear" w:color="auto" w:fill="365F91" w:themeFill="accent1" w:themeFillShade="BF"/>
                          <w:lang w:val="pt-BR"/>
                        </w:rPr>
                        <w:t xml:space="preserve">Próxima </w:t>
                      </w:r>
                      <w:proofErr w:type="spellStart"/>
                      <w:r w:rsidRPr="002A4FEF">
                        <w:rPr>
                          <w:b/>
                          <w:color w:val="FFFFFF" w:themeColor="background1"/>
                          <w:shd w:val="clear" w:color="auto" w:fill="365F91" w:themeFill="accent1" w:themeFillShade="BF"/>
                          <w:lang w:val="pt-BR"/>
                        </w:rPr>
                        <w:t>publicación</w:t>
                      </w:r>
                      <w:proofErr w:type="spellEnd"/>
                      <w:r w:rsidRPr="002A4FEF">
                        <w:rPr>
                          <w:b/>
                          <w:color w:val="FFFFFF" w:themeColor="background1"/>
                          <w:shd w:val="clear" w:color="auto" w:fill="365F91" w:themeFill="accent1" w:themeFillShade="BF"/>
                          <w:lang w:val="pt-BR"/>
                        </w:rPr>
                        <w:t xml:space="preserve">:  10 de </w:t>
                      </w:r>
                      <w:proofErr w:type="spellStart"/>
                      <w:r w:rsidRPr="002A4FEF">
                        <w:rPr>
                          <w:b/>
                          <w:color w:val="FFFFFF" w:themeColor="background1"/>
                          <w:shd w:val="clear" w:color="auto" w:fill="365F91" w:themeFill="accent1" w:themeFillShade="BF"/>
                          <w:lang w:val="pt-BR"/>
                        </w:rPr>
                        <w:t>junio</w:t>
                      </w:r>
                      <w:proofErr w:type="spellEnd"/>
                    </w:p>
                    <w:p w14:paraId="042D4789" w14:textId="77777777" w:rsidR="00F577A2" w:rsidRPr="003D4E37" w:rsidRDefault="00F577A2" w:rsidP="00F577A2">
                      <w:pPr>
                        <w:jc w:val="right"/>
                      </w:pPr>
                    </w:p>
                  </w:txbxContent>
                </v:textbox>
                <w10:wrap type="square"/>
              </v:shape>
            </w:pict>
          </mc:Fallback>
        </mc:AlternateContent>
      </w:r>
      <w:bookmarkStart w:id="1" w:name="_Hlk61875621"/>
    </w:p>
    <w:p w14:paraId="06576393" w14:textId="77777777" w:rsidR="00F577A2" w:rsidRPr="003C0C3F" w:rsidRDefault="00F577A2" w:rsidP="00F577A2">
      <w:pPr>
        <w:jc w:val="center"/>
        <w:rPr>
          <w:b/>
          <w:bCs/>
          <w:caps/>
          <w:lang w:val="es-MX"/>
        </w:rPr>
      </w:pPr>
    </w:p>
    <w:p w14:paraId="6193B745" w14:textId="77777777" w:rsidR="00F577A2" w:rsidRPr="00775B9A" w:rsidRDefault="00F577A2" w:rsidP="00F577A2">
      <w:pPr>
        <w:pStyle w:val="Ttulo"/>
        <w:spacing w:before="120"/>
        <w:ind w:left="709" w:hanging="425"/>
        <w:rPr>
          <w:sz w:val="8"/>
          <w:szCs w:val="8"/>
        </w:rPr>
      </w:pPr>
    </w:p>
    <w:p w14:paraId="7AEACD18" w14:textId="77777777" w:rsidR="00F577A2" w:rsidRDefault="00F577A2" w:rsidP="00F577A2">
      <w:pPr>
        <w:pStyle w:val="Subttulo"/>
        <w:rPr>
          <w:sz w:val="28"/>
        </w:rPr>
      </w:pPr>
    </w:p>
    <w:p w14:paraId="1CCB1BAA" w14:textId="67AF272C" w:rsidR="00F577A2" w:rsidRPr="001D295A" w:rsidRDefault="00F577A2" w:rsidP="00F577A2">
      <w:pPr>
        <w:pStyle w:val="Subttulo"/>
      </w:pPr>
      <w:bookmarkStart w:id="2" w:name="_GoBack"/>
      <w:bookmarkEnd w:id="2"/>
      <w:r w:rsidRPr="001D295A">
        <w:t>INDICADOR MENSUAL DE LA ACTIVIDAD INDUSTRIAL</w:t>
      </w:r>
    </w:p>
    <w:p w14:paraId="36F10BAB" w14:textId="77777777" w:rsidR="00F577A2" w:rsidRPr="001D295A" w:rsidRDefault="00F577A2" w:rsidP="00F577A2">
      <w:pPr>
        <w:pStyle w:val="Ttulo2"/>
        <w:spacing w:before="0"/>
        <w:jc w:val="center"/>
        <w:rPr>
          <w:rFonts w:ascii="Arial" w:hAnsi="Arial" w:cs="Arial"/>
          <w:b/>
          <w:color w:val="auto"/>
          <w:sz w:val="24"/>
          <w:szCs w:val="24"/>
        </w:rPr>
      </w:pPr>
      <w:r w:rsidRPr="001D295A">
        <w:rPr>
          <w:rFonts w:ascii="Arial" w:hAnsi="Arial" w:cs="Arial"/>
          <w:b/>
          <w:color w:val="auto"/>
          <w:sz w:val="24"/>
          <w:szCs w:val="24"/>
        </w:rPr>
        <w:t>MARZO DE 2022</w:t>
      </w:r>
    </w:p>
    <w:p w14:paraId="585980D4" w14:textId="77777777" w:rsidR="00F577A2" w:rsidRPr="00B16794" w:rsidRDefault="00F577A2" w:rsidP="00F577A2">
      <w:pPr>
        <w:pStyle w:val="bullet"/>
        <w:spacing w:before="240"/>
        <w:ind w:left="0" w:right="49" w:firstLine="0"/>
        <w:jc w:val="both"/>
        <w:rPr>
          <w:rFonts w:ascii="Arial" w:hAnsi="Arial" w:cs="Arial"/>
          <w:b w:val="0"/>
          <w:color w:val="000000" w:themeColor="text1"/>
          <w:sz w:val="24"/>
          <w:szCs w:val="24"/>
        </w:rPr>
      </w:pPr>
      <w:r w:rsidRPr="00B16794">
        <w:rPr>
          <w:rFonts w:ascii="Arial" w:hAnsi="Arial" w:cs="Arial"/>
          <w:b w:val="0"/>
          <w:color w:val="000000" w:themeColor="text1"/>
          <w:sz w:val="24"/>
          <w:szCs w:val="24"/>
        </w:rPr>
        <w:t>En marzo de 2022 y con cifras desestacionalizadas</w:t>
      </w:r>
      <w:r w:rsidRPr="00B16794">
        <w:rPr>
          <w:rFonts w:ascii="Arial" w:hAnsi="Arial" w:cs="Arial"/>
          <w:b w:val="0"/>
          <w:color w:val="000000" w:themeColor="text1"/>
          <w:sz w:val="24"/>
          <w:szCs w:val="24"/>
          <w:vertAlign w:val="superscript"/>
        </w:rPr>
        <w:footnoteReference w:id="1"/>
      </w:r>
      <w:r w:rsidRPr="00B16794">
        <w:rPr>
          <w:rFonts w:ascii="Arial" w:hAnsi="Arial" w:cs="Arial"/>
          <w:b w:val="0"/>
          <w:color w:val="000000" w:themeColor="text1"/>
          <w:sz w:val="24"/>
          <w:szCs w:val="24"/>
        </w:rPr>
        <w:t xml:space="preserve">, el Indicador Mensual de la Actividad Industrial (IMAI) aumentó 0.4% a tasa mensual. </w:t>
      </w:r>
    </w:p>
    <w:p w14:paraId="7CB01975" w14:textId="77777777" w:rsidR="00F577A2" w:rsidRPr="001D295A" w:rsidRDefault="00F577A2" w:rsidP="00F577A2">
      <w:pPr>
        <w:pStyle w:val="p0"/>
        <w:keepNext/>
        <w:spacing w:before="0"/>
        <w:ind w:left="709" w:hanging="709"/>
        <w:jc w:val="center"/>
        <w:rPr>
          <w:rFonts w:ascii="Arial" w:hAnsi="Arial"/>
          <w:smallCaps/>
          <w:color w:val="auto"/>
        </w:rPr>
      </w:pPr>
    </w:p>
    <w:p w14:paraId="0ACD928C" w14:textId="77777777" w:rsidR="00F577A2" w:rsidRDefault="00F577A2" w:rsidP="00F577A2">
      <w:pPr>
        <w:pStyle w:val="p0"/>
        <w:keepNext/>
        <w:spacing w:before="0"/>
        <w:ind w:left="709" w:hanging="709"/>
        <w:jc w:val="center"/>
        <w:rPr>
          <w:rFonts w:ascii="Arial" w:hAnsi="Arial"/>
          <w:b/>
          <w:smallCaps/>
          <w:color w:val="auto"/>
          <w:sz w:val="22"/>
          <w:szCs w:val="22"/>
        </w:rPr>
      </w:pPr>
    </w:p>
    <w:p w14:paraId="0B7BADD9" w14:textId="77777777" w:rsidR="00F577A2" w:rsidRPr="000D1E2C" w:rsidRDefault="00F577A2" w:rsidP="00F577A2">
      <w:pPr>
        <w:pStyle w:val="p0"/>
        <w:keepNext/>
        <w:spacing w:before="0"/>
        <w:ind w:left="709" w:hanging="709"/>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p>
    <w:p w14:paraId="22C91F06" w14:textId="77777777" w:rsidR="00F577A2" w:rsidRDefault="00F577A2" w:rsidP="00F577A2">
      <w:pPr>
        <w:pStyle w:val="p0"/>
        <w:keepNext/>
        <w:spacing w:before="0"/>
        <w:jc w:val="center"/>
        <w:rPr>
          <w:color w:val="auto"/>
          <w:sz w:val="20"/>
          <w:lang w:val="es-MX"/>
        </w:rPr>
      </w:pPr>
      <w:r w:rsidRPr="000D1E2C">
        <w:rPr>
          <w:rFonts w:ascii="Arial" w:hAnsi="Arial"/>
          <w:color w:val="auto"/>
          <w:sz w:val="18"/>
          <w:lang w:val="es-MX"/>
        </w:rPr>
        <w:t>(Índice base 2013=100)</w:t>
      </w:r>
    </w:p>
    <w:p w14:paraId="18B7DDB5" w14:textId="77777777" w:rsidR="00F577A2" w:rsidRDefault="00F577A2" w:rsidP="00F577A2">
      <w:pPr>
        <w:pStyle w:val="parrafo1"/>
        <w:spacing w:before="0"/>
        <w:ind w:left="0" w:right="0" w:hanging="84"/>
        <w:jc w:val="center"/>
        <w:rPr>
          <w:rFonts w:cs="Arial"/>
          <w:sz w:val="16"/>
          <w:lang w:val="es-MX"/>
        </w:rPr>
      </w:pPr>
      <w:r>
        <w:rPr>
          <w:noProof/>
        </w:rPr>
        <w:drawing>
          <wp:inline distT="0" distB="0" distL="0" distR="0" wp14:anchorId="073AAC84" wp14:editId="70F90224">
            <wp:extent cx="4669200" cy="2685600"/>
            <wp:effectExtent l="0" t="0" r="17145" b="19685"/>
            <wp:docPr id="5" name="Gráfico 5">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C128E4" w14:textId="77777777" w:rsidR="00F577A2" w:rsidRDefault="00F577A2" w:rsidP="00F577A2">
      <w:pPr>
        <w:pStyle w:val="parrafo1"/>
        <w:spacing w:before="0"/>
        <w:ind w:left="1560" w:right="0"/>
        <w:jc w:val="left"/>
        <w:rPr>
          <w:b/>
          <w:i/>
        </w:rPr>
      </w:pPr>
      <w:r>
        <w:rPr>
          <w:rFonts w:cs="Arial"/>
          <w:sz w:val="16"/>
          <w:lang w:val="es-MX"/>
        </w:rPr>
        <w:t>Fuente: INEGI.</w:t>
      </w:r>
    </w:p>
    <w:p w14:paraId="6D4A9F3F" w14:textId="77777777" w:rsidR="00F577A2" w:rsidRDefault="00F577A2" w:rsidP="00F577A2">
      <w:pPr>
        <w:pStyle w:val="bullet"/>
        <w:ind w:left="1560" w:right="49" w:firstLine="0"/>
        <w:rPr>
          <w:rFonts w:cs="Arial"/>
          <w:b w:val="0"/>
          <w:color w:val="000000" w:themeColor="text1"/>
          <w:szCs w:val="24"/>
        </w:rPr>
      </w:pPr>
    </w:p>
    <w:p w14:paraId="62CC2DB8" w14:textId="77777777" w:rsidR="00F577A2" w:rsidRPr="00B16794" w:rsidRDefault="00F577A2" w:rsidP="00F577A2">
      <w:pPr>
        <w:pStyle w:val="bullet"/>
        <w:tabs>
          <w:tab w:val="left" w:pos="9072"/>
        </w:tabs>
        <w:spacing w:before="360"/>
        <w:ind w:left="0" w:right="49" w:firstLine="0"/>
        <w:jc w:val="both"/>
        <w:rPr>
          <w:rFonts w:ascii="Arial" w:hAnsi="Arial"/>
          <w:b w:val="0"/>
          <w:color w:val="auto"/>
          <w:sz w:val="24"/>
          <w:szCs w:val="24"/>
        </w:rPr>
      </w:pPr>
      <w:r w:rsidRPr="00B16794">
        <w:rPr>
          <w:rFonts w:ascii="Arial" w:hAnsi="Arial" w:cs="Arial"/>
          <w:b w:val="0"/>
          <w:color w:val="000000" w:themeColor="text1"/>
          <w:sz w:val="24"/>
          <w:szCs w:val="24"/>
        </w:rPr>
        <w:t>Por componente y con series ajustadas por estacionalidad, la variación mensual en marzo de 2022 fue la siguiente: la Construcción avanzó 3.7%, la Generación, transmisión y distribución de energía eléctrica, suministro de agua y de gas por ductos al consumidor final 2.3%, la Minería descendió 0.6% y las Industrias manufactureras cayeron 0.2%.</w:t>
      </w:r>
    </w:p>
    <w:p w14:paraId="4E02D32B" w14:textId="77777777" w:rsidR="00F577A2" w:rsidRPr="001D295A" w:rsidRDefault="00F577A2" w:rsidP="00F577A2">
      <w:pPr>
        <w:pStyle w:val="bullet"/>
        <w:ind w:left="0" w:right="49" w:firstLine="0"/>
        <w:rPr>
          <w:rFonts w:cs="Arial"/>
          <w:b w:val="0"/>
          <w:color w:val="000000" w:themeColor="text1"/>
          <w:sz w:val="24"/>
          <w:szCs w:val="24"/>
        </w:rPr>
      </w:pPr>
    </w:p>
    <w:p w14:paraId="5D6C04F7" w14:textId="77777777" w:rsidR="00F577A2" w:rsidRDefault="00F577A2" w:rsidP="00F577A2">
      <w:pPr>
        <w:pStyle w:val="bullet"/>
        <w:ind w:left="0" w:right="49" w:firstLine="0"/>
        <w:rPr>
          <w:rFonts w:cs="Arial"/>
          <w:b w:val="0"/>
          <w:color w:val="000000" w:themeColor="text1"/>
          <w:szCs w:val="24"/>
        </w:rPr>
      </w:pPr>
    </w:p>
    <w:p w14:paraId="14076A99" w14:textId="77777777" w:rsidR="00F577A2" w:rsidRDefault="00F577A2" w:rsidP="00F577A2">
      <w:pPr>
        <w:pStyle w:val="bullet"/>
        <w:ind w:left="0" w:right="49" w:firstLine="0"/>
        <w:rPr>
          <w:rFonts w:cs="Arial"/>
          <w:b w:val="0"/>
          <w:color w:val="000000" w:themeColor="text1"/>
          <w:szCs w:val="24"/>
        </w:rPr>
      </w:pPr>
    </w:p>
    <w:p w14:paraId="7B913483" w14:textId="77777777" w:rsidR="00F577A2" w:rsidRDefault="00F577A2" w:rsidP="00F577A2">
      <w:pPr>
        <w:pStyle w:val="bullet"/>
        <w:tabs>
          <w:tab w:val="left" w:pos="8931"/>
          <w:tab w:val="left" w:pos="9072"/>
        </w:tabs>
        <w:spacing w:before="0"/>
        <w:ind w:left="0" w:right="49" w:firstLine="0"/>
        <w:jc w:val="both"/>
        <w:rPr>
          <w:rFonts w:ascii="Arial" w:hAnsi="Arial" w:cs="Arial"/>
          <w:b w:val="0"/>
          <w:color w:val="000000" w:themeColor="text1"/>
          <w:sz w:val="24"/>
          <w:szCs w:val="24"/>
        </w:rPr>
      </w:pPr>
    </w:p>
    <w:p w14:paraId="0C9889FE" w14:textId="77777777" w:rsidR="00F577A2" w:rsidRPr="00B16794" w:rsidRDefault="00F577A2" w:rsidP="00F577A2">
      <w:pPr>
        <w:pStyle w:val="bullet"/>
        <w:tabs>
          <w:tab w:val="left" w:pos="8931"/>
          <w:tab w:val="left" w:pos="9072"/>
        </w:tabs>
        <w:spacing w:before="240"/>
        <w:ind w:left="0" w:right="49" w:firstLine="0"/>
        <w:jc w:val="both"/>
        <w:rPr>
          <w:rFonts w:ascii="Arial" w:hAnsi="Arial"/>
          <w:b w:val="0"/>
          <w:color w:val="auto"/>
          <w:sz w:val="24"/>
          <w:szCs w:val="24"/>
        </w:rPr>
      </w:pPr>
      <w:r w:rsidRPr="00B16794">
        <w:rPr>
          <w:rFonts w:ascii="Arial" w:hAnsi="Arial" w:cs="Arial"/>
          <w:b w:val="0"/>
          <w:color w:val="000000" w:themeColor="text1"/>
          <w:sz w:val="24"/>
          <w:szCs w:val="24"/>
        </w:rPr>
        <w:lastRenderedPageBreak/>
        <w:t>A tasa anual y con series desestacionalizadas, el IMAI se incrementó 2.4% en términos reales en marzo pasado. Por sector de actividad económica, las Industrias manufactureras crecieron 3.5%, la Generación, transmisión y distribución de energía eléctrica, suministro de agua y de gas por ductos al consumidor final 2.2%, la Construcción 1.1% y la Minería disminuyó 1%.</w:t>
      </w:r>
    </w:p>
    <w:bookmarkEnd w:id="1"/>
    <w:p w14:paraId="52F28740" w14:textId="77777777" w:rsidR="00F577A2" w:rsidRPr="00B16794" w:rsidRDefault="00F577A2" w:rsidP="00F577A2">
      <w:pPr>
        <w:pStyle w:val="p0"/>
        <w:keepLines w:val="0"/>
        <w:widowControl/>
        <w:spacing w:before="0"/>
        <w:ind w:left="709" w:right="392" w:hanging="425"/>
        <w:jc w:val="center"/>
        <w:rPr>
          <w:rFonts w:ascii="Arial" w:hAnsi="Arial"/>
          <w:b/>
          <w:smallCaps/>
          <w:color w:val="auto"/>
        </w:rPr>
      </w:pPr>
    </w:p>
    <w:p w14:paraId="3D3B8202" w14:textId="77777777" w:rsidR="00F577A2" w:rsidRDefault="00F577A2" w:rsidP="00D905DC">
      <w:pPr>
        <w:pStyle w:val="p0"/>
        <w:keepLines w:val="0"/>
        <w:widowControl/>
        <w:spacing w:before="120"/>
        <w:ind w:left="709" w:right="392" w:hanging="425"/>
        <w:jc w:val="center"/>
        <w:rPr>
          <w:rFonts w:ascii="Arial" w:hAnsi="Arial"/>
          <w:color w:val="auto"/>
          <w:sz w:val="20"/>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p>
    <w:p w14:paraId="2EF765D0" w14:textId="77777777" w:rsidR="00F577A2" w:rsidRPr="000D1E2C" w:rsidRDefault="00F577A2" w:rsidP="00F577A2">
      <w:pPr>
        <w:pStyle w:val="p0"/>
        <w:keepLines w:val="0"/>
        <w:widowControl/>
        <w:spacing w:before="0"/>
        <w:ind w:left="709" w:right="392" w:hanging="425"/>
        <w:jc w:val="center"/>
        <w:rPr>
          <w:rFonts w:ascii="Arial" w:hAnsi="Arial"/>
          <w:b/>
          <w:smallCaps/>
          <w:color w:val="auto"/>
          <w:sz w:val="22"/>
          <w:szCs w:val="22"/>
        </w:rPr>
      </w:pPr>
      <w:r>
        <w:rPr>
          <w:rFonts w:ascii="Arial" w:hAnsi="Arial"/>
          <w:b/>
          <w:smallCaps/>
          <w:color w:val="auto"/>
          <w:sz w:val="22"/>
          <w:szCs w:val="22"/>
        </w:rPr>
        <w:t>marzo de 2022</w:t>
      </w:r>
    </w:p>
    <w:p w14:paraId="6409A34B" w14:textId="77777777" w:rsidR="00F577A2" w:rsidRPr="00AC2D6B" w:rsidRDefault="00F577A2" w:rsidP="00F577A2">
      <w:pPr>
        <w:pStyle w:val="p0"/>
        <w:spacing w:before="0"/>
        <w:jc w:val="center"/>
        <w:rPr>
          <w:b/>
          <w:smallCaps/>
          <w:color w:val="auto"/>
          <w:sz w:val="20"/>
          <w:szCs w:val="20"/>
        </w:rPr>
      </w:pPr>
      <w:r w:rsidRPr="003D58C6">
        <w:rPr>
          <w:rFonts w:ascii="Arial" w:hAnsi="Arial"/>
          <w:b/>
          <w:smallCaps/>
          <w:color w:val="auto"/>
          <w:sz w:val="22"/>
          <w:szCs w:val="22"/>
        </w:rPr>
        <w:t>cifras desestacionalizadas</w:t>
      </w:r>
    </w:p>
    <w:tbl>
      <w:tblPr>
        <w:tblW w:w="0" w:type="auto"/>
        <w:jc w:val="center"/>
        <w:tblBorders>
          <w:top w:val="double" w:sz="6" w:space="0" w:color="auto"/>
          <w:left w:val="double" w:sz="6" w:space="0" w:color="auto"/>
          <w:bottom w:val="double" w:sz="6" w:space="0" w:color="auto"/>
          <w:right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4552"/>
        <w:gridCol w:w="1402"/>
        <w:gridCol w:w="1544"/>
      </w:tblGrid>
      <w:tr w:rsidR="00F577A2" w14:paraId="42BF5FE8" w14:textId="77777777" w:rsidTr="00232428">
        <w:trPr>
          <w:trHeight w:val="397"/>
          <w:jc w:val="center"/>
        </w:trPr>
        <w:tc>
          <w:tcPr>
            <w:tcW w:w="4552" w:type="dxa"/>
            <w:vMerge w:val="restart"/>
            <w:tcBorders>
              <w:top w:val="double" w:sz="4" w:space="0" w:color="000000" w:themeColor="text1"/>
              <w:left w:val="double" w:sz="4" w:space="0" w:color="000000" w:themeColor="text1"/>
              <w:right w:val="single" w:sz="4" w:space="0" w:color="000000" w:themeColor="text1"/>
            </w:tcBorders>
            <w:shd w:val="clear" w:color="auto" w:fill="C2D69B" w:themeFill="accent3" w:themeFillTint="99"/>
            <w:vAlign w:val="center"/>
            <w:hideMark/>
          </w:tcPr>
          <w:p w14:paraId="60CA6011" w14:textId="77777777" w:rsidR="00F577A2" w:rsidRPr="00576640" w:rsidRDefault="00F577A2" w:rsidP="00232428">
            <w:pPr>
              <w:pStyle w:val="p0"/>
              <w:spacing w:before="0"/>
              <w:ind w:firstLine="680"/>
              <w:jc w:val="left"/>
              <w:rPr>
                <w:rFonts w:ascii="Arial" w:hAnsi="Arial"/>
                <w:color w:val="auto"/>
                <w:sz w:val="20"/>
              </w:rPr>
            </w:pPr>
            <w:r w:rsidRPr="007C7E98">
              <w:rPr>
                <w:rFonts w:ascii="Arial" w:hAnsi="Arial"/>
                <w:color w:val="auto"/>
                <w:sz w:val="18"/>
                <w:szCs w:val="22"/>
              </w:rPr>
              <w:t>Concepto</w:t>
            </w:r>
          </w:p>
        </w:tc>
        <w:tc>
          <w:tcPr>
            <w:tcW w:w="2946" w:type="dxa"/>
            <w:gridSpan w:val="2"/>
            <w:tcBorders>
              <w:top w:val="double" w:sz="4" w:space="0" w:color="000000" w:themeColor="text1"/>
              <w:left w:val="single" w:sz="4" w:space="0" w:color="000000" w:themeColor="text1"/>
              <w:bottom w:val="single" w:sz="4" w:space="0" w:color="auto"/>
              <w:right w:val="double" w:sz="4" w:space="0" w:color="000000" w:themeColor="text1"/>
            </w:tcBorders>
            <w:shd w:val="clear" w:color="auto" w:fill="C2D69B" w:themeFill="accent3" w:themeFillTint="99"/>
            <w:vAlign w:val="center"/>
            <w:hideMark/>
          </w:tcPr>
          <w:p w14:paraId="4ED454A0" w14:textId="77777777" w:rsidR="00F577A2" w:rsidRPr="00576640" w:rsidRDefault="00F577A2" w:rsidP="00232428">
            <w:pPr>
              <w:pStyle w:val="p0"/>
              <w:keepNext/>
              <w:spacing w:before="0"/>
              <w:jc w:val="center"/>
              <w:rPr>
                <w:rFonts w:ascii="Arial" w:hAnsi="Arial"/>
                <w:color w:val="auto"/>
                <w:sz w:val="18"/>
              </w:rPr>
            </w:pPr>
            <w:r w:rsidRPr="00576640">
              <w:rPr>
                <w:rFonts w:ascii="Arial" w:hAnsi="Arial"/>
                <w:color w:val="auto"/>
                <w:sz w:val="18"/>
              </w:rPr>
              <w:t>Variación % respecto</w:t>
            </w:r>
            <w:r>
              <w:rPr>
                <w:rFonts w:ascii="Arial" w:hAnsi="Arial"/>
                <w:color w:val="auto"/>
                <w:sz w:val="18"/>
              </w:rPr>
              <w:t>:</w:t>
            </w:r>
          </w:p>
        </w:tc>
      </w:tr>
      <w:tr w:rsidR="00F577A2" w14:paraId="7BE8AD76" w14:textId="77777777" w:rsidTr="00232428">
        <w:trPr>
          <w:trHeight w:val="397"/>
          <w:jc w:val="center"/>
        </w:trPr>
        <w:tc>
          <w:tcPr>
            <w:tcW w:w="4552" w:type="dxa"/>
            <w:vMerge/>
            <w:tcBorders>
              <w:left w:val="double" w:sz="4" w:space="0" w:color="000000" w:themeColor="text1"/>
              <w:bottom w:val="single" w:sz="4" w:space="0" w:color="auto"/>
              <w:right w:val="single" w:sz="4" w:space="0" w:color="000000" w:themeColor="text1"/>
            </w:tcBorders>
            <w:shd w:val="clear" w:color="auto" w:fill="C2D69B" w:themeFill="accent3" w:themeFillTint="99"/>
            <w:vAlign w:val="center"/>
          </w:tcPr>
          <w:p w14:paraId="42CF22B2" w14:textId="77777777" w:rsidR="00F577A2" w:rsidRPr="00576640" w:rsidRDefault="00F577A2" w:rsidP="00232428">
            <w:pPr>
              <w:pStyle w:val="p0"/>
              <w:spacing w:before="0"/>
              <w:ind w:firstLine="680"/>
              <w:jc w:val="left"/>
              <w:rPr>
                <w:rFonts w:ascii="Arial" w:hAnsi="Arial"/>
                <w:color w:val="auto"/>
                <w:sz w:val="20"/>
              </w:rPr>
            </w:pPr>
          </w:p>
        </w:tc>
        <w:tc>
          <w:tcPr>
            <w:tcW w:w="1402" w:type="dxa"/>
            <w:tcBorders>
              <w:top w:val="single" w:sz="4" w:space="0" w:color="auto"/>
              <w:left w:val="single" w:sz="4" w:space="0" w:color="000000" w:themeColor="text1"/>
              <w:bottom w:val="single" w:sz="4" w:space="0" w:color="auto"/>
              <w:right w:val="single" w:sz="4" w:space="0" w:color="auto"/>
            </w:tcBorders>
            <w:shd w:val="clear" w:color="auto" w:fill="C2D69B" w:themeFill="accent3" w:themeFillTint="99"/>
            <w:vAlign w:val="center"/>
          </w:tcPr>
          <w:p w14:paraId="1F72D138" w14:textId="77777777" w:rsidR="00F577A2" w:rsidRPr="00576640" w:rsidRDefault="00F577A2" w:rsidP="00232428">
            <w:pPr>
              <w:pStyle w:val="p0"/>
              <w:keepNext/>
              <w:spacing w:before="0"/>
              <w:jc w:val="center"/>
              <w:rPr>
                <w:rFonts w:ascii="Arial" w:hAnsi="Arial"/>
                <w:color w:val="auto"/>
                <w:sz w:val="18"/>
              </w:rPr>
            </w:pPr>
            <w:r>
              <w:rPr>
                <w:rFonts w:ascii="Arial" w:hAnsi="Arial"/>
                <w:color w:val="auto"/>
                <w:sz w:val="18"/>
              </w:rPr>
              <w:t>Al m</w:t>
            </w:r>
            <w:r w:rsidRPr="00576640">
              <w:rPr>
                <w:rFonts w:ascii="Arial" w:hAnsi="Arial"/>
                <w:color w:val="auto"/>
                <w:sz w:val="18"/>
              </w:rPr>
              <w:t>es previo</w:t>
            </w:r>
          </w:p>
        </w:tc>
        <w:tc>
          <w:tcPr>
            <w:tcW w:w="1544" w:type="dxa"/>
            <w:tcBorders>
              <w:top w:val="single" w:sz="4" w:space="0" w:color="auto"/>
              <w:left w:val="single" w:sz="4" w:space="0" w:color="auto"/>
              <w:bottom w:val="single" w:sz="4" w:space="0" w:color="auto"/>
              <w:right w:val="double" w:sz="4" w:space="0" w:color="000000" w:themeColor="text1"/>
            </w:tcBorders>
            <w:shd w:val="clear" w:color="auto" w:fill="C2D69B" w:themeFill="accent3" w:themeFillTint="99"/>
            <w:vAlign w:val="center"/>
          </w:tcPr>
          <w:p w14:paraId="12D120EC" w14:textId="77777777" w:rsidR="00F577A2" w:rsidRPr="00576640" w:rsidRDefault="00F577A2" w:rsidP="00232428">
            <w:pPr>
              <w:pStyle w:val="p0"/>
              <w:keepNext/>
              <w:spacing w:before="0"/>
              <w:jc w:val="center"/>
              <w:rPr>
                <w:rFonts w:ascii="Arial" w:hAnsi="Arial"/>
                <w:color w:val="auto"/>
                <w:sz w:val="18"/>
              </w:rPr>
            </w:pPr>
            <w:r>
              <w:rPr>
                <w:rFonts w:ascii="Arial" w:hAnsi="Arial"/>
                <w:color w:val="auto"/>
                <w:sz w:val="18"/>
              </w:rPr>
              <w:t>A igual</w:t>
            </w:r>
            <w:r w:rsidRPr="00576640">
              <w:rPr>
                <w:rFonts w:ascii="Arial" w:hAnsi="Arial"/>
                <w:color w:val="auto"/>
                <w:sz w:val="18"/>
              </w:rPr>
              <w:t xml:space="preserve"> mes </w:t>
            </w:r>
            <w:r>
              <w:rPr>
                <w:rFonts w:ascii="Arial" w:hAnsi="Arial"/>
                <w:color w:val="auto"/>
                <w:sz w:val="18"/>
              </w:rPr>
              <w:br/>
            </w:r>
            <w:r w:rsidRPr="00576640">
              <w:rPr>
                <w:rFonts w:ascii="Arial" w:hAnsi="Arial"/>
                <w:color w:val="auto"/>
                <w:sz w:val="18"/>
              </w:rPr>
              <w:t xml:space="preserve">de </w:t>
            </w:r>
            <w:r>
              <w:rPr>
                <w:rFonts w:ascii="Arial" w:hAnsi="Arial"/>
                <w:color w:val="auto"/>
                <w:sz w:val="18"/>
              </w:rPr>
              <w:t>2021</w:t>
            </w:r>
          </w:p>
        </w:tc>
      </w:tr>
      <w:tr w:rsidR="00F577A2" w14:paraId="6EEFA555" w14:textId="77777777" w:rsidTr="00232428">
        <w:trPr>
          <w:trHeight w:val="57"/>
          <w:jc w:val="center"/>
        </w:trPr>
        <w:tc>
          <w:tcPr>
            <w:tcW w:w="4552" w:type="dxa"/>
            <w:tcBorders>
              <w:top w:val="single" w:sz="4" w:space="0" w:color="auto"/>
              <w:left w:val="double" w:sz="4" w:space="0" w:color="000000" w:themeColor="text1"/>
              <w:bottom w:val="nil"/>
              <w:right w:val="single" w:sz="4" w:space="0" w:color="000000" w:themeColor="text1"/>
            </w:tcBorders>
            <w:hideMark/>
          </w:tcPr>
          <w:p w14:paraId="28537CC2" w14:textId="77777777" w:rsidR="00F577A2" w:rsidRPr="005A4B45" w:rsidRDefault="00F577A2" w:rsidP="00232428">
            <w:pPr>
              <w:pStyle w:val="p0"/>
              <w:tabs>
                <w:tab w:val="left" w:pos="355"/>
              </w:tabs>
              <w:spacing w:before="20" w:after="20"/>
              <w:ind w:left="372" w:hanging="182"/>
              <w:jc w:val="left"/>
              <w:rPr>
                <w:rFonts w:ascii="Arial" w:hAnsi="Arial"/>
                <w:b/>
                <w:color w:val="auto"/>
                <w:sz w:val="18"/>
              </w:rPr>
            </w:pPr>
            <w:r w:rsidRPr="005A4B45">
              <w:rPr>
                <w:rFonts w:ascii="Arial" w:hAnsi="Arial"/>
                <w:b/>
                <w:color w:val="000000" w:themeColor="text1"/>
                <w:sz w:val="18"/>
              </w:rPr>
              <w:t>Indicador Mensual de la Actividad Industrial</w:t>
            </w:r>
          </w:p>
        </w:tc>
        <w:tc>
          <w:tcPr>
            <w:tcW w:w="1402" w:type="dxa"/>
            <w:tcBorders>
              <w:top w:val="single" w:sz="4" w:space="0" w:color="auto"/>
              <w:left w:val="single" w:sz="4" w:space="0" w:color="000000" w:themeColor="text1"/>
              <w:bottom w:val="nil"/>
              <w:right w:val="nil"/>
            </w:tcBorders>
            <w:vAlign w:val="center"/>
            <w:hideMark/>
          </w:tcPr>
          <w:p w14:paraId="25E5DFBE" w14:textId="77777777" w:rsidR="00F577A2" w:rsidRPr="00576640" w:rsidRDefault="00F577A2" w:rsidP="00232428">
            <w:pPr>
              <w:widowControl w:val="0"/>
              <w:tabs>
                <w:tab w:val="decimal" w:pos="612"/>
              </w:tabs>
              <w:jc w:val="left"/>
              <w:rPr>
                <w:b/>
                <w:bCs/>
                <w:sz w:val="18"/>
              </w:rPr>
            </w:pPr>
            <w:r>
              <w:rPr>
                <w:b/>
                <w:sz w:val="18"/>
              </w:rPr>
              <w:t>0.4</w:t>
            </w:r>
          </w:p>
        </w:tc>
        <w:tc>
          <w:tcPr>
            <w:tcW w:w="1544" w:type="dxa"/>
            <w:tcBorders>
              <w:top w:val="single" w:sz="4" w:space="0" w:color="auto"/>
              <w:left w:val="nil"/>
              <w:bottom w:val="nil"/>
              <w:right w:val="double" w:sz="4" w:space="0" w:color="000000" w:themeColor="text1"/>
            </w:tcBorders>
            <w:vAlign w:val="center"/>
            <w:hideMark/>
          </w:tcPr>
          <w:p w14:paraId="7EC53783" w14:textId="77777777" w:rsidR="00F577A2" w:rsidRPr="00576640" w:rsidRDefault="00F577A2" w:rsidP="00232428">
            <w:pPr>
              <w:widowControl w:val="0"/>
              <w:tabs>
                <w:tab w:val="decimal" w:pos="689"/>
              </w:tabs>
              <w:jc w:val="left"/>
              <w:rPr>
                <w:b/>
                <w:bCs/>
                <w:sz w:val="18"/>
              </w:rPr>
            </w:pPr>
            <w:r>
              <w:rPr>
                <w:b/>
                <w:bCs/>
                <w:sz w:val="18"/>
              </w:rPr>
              <w:t>2.4</w:t>
            </w:r>
          </w:p>
        </w:tc>
      </w:tr>
      <w:tr w:rsidR="00F577A2" w14:paraId="061E7F76" w14:textId="77777777" w:rsidTr="00232428">
        <w:trPr>
          <w:trHeight w:val="57"/>
          <w:jc w:val="center"/>
        </w:trPr>
        <w:tc>
          <w:tcPr>
            <w:tcW w:w="4552" w:type="dxa"/>
            <w:tcBorders>
              <w:top w:val="nil"/>
              <w:left w:val="double" w:sz="4" w:space="0" w:color="000000" w:themeColor="text1"/>
              <w:bottom w:val="nil"/>
              <w:right w:val="single" w:sz="4" w:space="0" w:color="000000" w:themeColor="text1"/>
            </w:tcBorders>
            <w:hideMark/>
          </w:tcPr>
          <w:p w14:paraId="7AA69ABF" w14:textId="77777777" w:rsidR="00F577A2" w:rsidRPr="00576640" w:rsidRDefault="00F577A2" w:rsidP="00232428">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Minería</w:t>
            </w:r>
          </w:p>
        </w:tc>
        <w:tc>
          <w:tcPr>
            <w:tcW w:w="1402" w:type="dxa"/>
            <w:tcBorders>
              <w:top w:val="nil"/>
              <w:left w:val="single" w:sz="4" w:space="0" w:color="000000" w:themeColor="text1"/>
              <w:bottom w:val="nil"/>
              <w:right w:val="nil"/>
            </w:tcBorders>
            <w:vAlign w:val="center"/>
            <w:hideMark/>
          </w:tcPr>
          <w:p w14:paraId="648B8EBD" w14:textId="77777777" w:rsidR="00F577A2" w:rsidRPr="00576640" w:rsidRDefault="00F577A2" w:rsidP="00232428">
            <w:pPr>
              <w:widowControl w:val="0"/>
              <w:tabs>
                <w:tab w:val="decimal" w:pos="612"/>
              </w:tabs>
              <w:jc w:val="left"/>
              <w:rPr>
                <w:bCs/>
                <w:sz w:val="18"/>
              </w:rPr>
            </w:pPr>
            <w:r>
              <w:rPr>
                <w:bCs/>
                <w:sz w:val="18"/>
              </w:rPr>
              <w:t>-0.6</w:t>
            </w:r>
          </w:p>
        </w:tc>
        <w:tc>
          <w:tcPr>
            <w:tcW w:w="1544" w:type="dxa"/>
            <w:tcBorders>
              <w:top w:val="nil"/>
              <w:left w:val="nil"/>
              <w:bottom w:val="nil"/>
              <w:right w:val="double" w:sz="4" w:space="0" w:color="000000" w:themeColor="text1"/>
            </w:tcBorders>
            <w:vAlign w:val="center"/>
            <w:hideMark/>
          </w:tcPr>
          <w:p w14:paraId="58EFE484" w14:textId="77777777" w:rsidR="00F577A2" w:rsidRPr="00576640" w:rsidRDefault="00F577A2" w:rsidP="00232428">
            <w:pPr>
              <w:widowControl w:val="0"/>
              <w:tabs>
                <w:tab w:val="decimal" w:pos="689"/>
              </w:tabs>
              <w:jc w:val="left"/>
              <w:rPr>
                <w:sz w:val="18"/>
              </w:rPr>
            </w:pPr>
            <w:r>
              <w:rPr>
                <w:sz w:val="18"/>
              </w:rPr>
              <w:t>-1.0</w:t>
            </w:r>
          </w:p>
        </w:tc>
      </w:tr>
      <w:tr w:rsidR="00F577A2" w14:paraId="5E83AD07" w14:textId="77777777" w:rsidTr="00232428">
        <w:trPr>
          <w:trHeight w:val="57"/>
          <w:jc w:val="center"/>
        </w:trPr>
        <w:tc>
          <w:tcPr>
            <w:tcW w:w="4552" w:type="dxa"/>
            <w:tcBorders>
              <w:top w:val="nil"/>
              <w:left w:val="double" w:sz="4" w:space="0" w:color="000000" w:themeColor="text1"/>
              <w:bottom w:val="nil"/>
              <w:right w:val="single" w:sz="4" w:space="0" w:color="000000" w:themeColor="text1"/>
            </w:tcBorders>
            <w:hideMark/>
          </w:tcPr>
          <w:p w14:paraId="5B0C8DBC" w14:textId="77777777" w:rsidR="00F577A2" w:rsidRPr="00576640" w:rsidRDefault="00F577A2" w:rsidP="00232428">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Generación, transmisión y distribución de energía eléctrica, suministro de agua y de gas por ductos al consumidor final</w:t>
            </w:r>
          </w:p>
        </w:tc>
        <w:tc>
          <w:tcPr>
            <w:tcW w:w="1402" w:type="dxa"/>
            <w:tcBorders>
              <w:top w:val="nil"/>
              <w:left w:val="single" w:sz="4" w:space="0" w:color="000000" w:themeColor="text1"/>
              <w:bottom w:val="nil"/>
              <w:right w:val="nil"/>
            </w:tcBorders>
            <w:vAlign w:val="center"/>
            <w:hideMark/>
          </w:tcPr>
          <w:p w14:paraId="0BA64429" w14:textId="77777777" w:rsidR="00F577A2" w:rsidRPr="00576640" w:rsidRDefault="00F577A2" w:rsidP="00232428">
            <w:pPr>
              <w:widowControl w:val="0"/>
              <w:tabs>
                <w:tab w:val="decimal" w:pos="612"/>
              </w:tabs>
              <w:jc w:val="left"/>
              <w:rPr>
                <w:bCs/>
                <w:sz w:val="18"/>
              </w:rPr>
            </w:pPr>
            <w:r>
              <w:rPr>
                <w:bCs/>
                <w:sz w:val="18"/>
              </w:rPr>
              <w:t>2.3</w:t>
            </w:r>
          </w:p>
        </w:tc>
        <w:tc>
          <w:tcPr>
            <w:tcW w:w="1544" w:type="dxa"/>
            <w:tcBorders>
              <w:top w:val="nil"/>
              <w:left w:val="nil"/>
              <w:bottom w:val="nil"/>
              <w:right w:val="double" w:sz="4" w:space="0" w:color="000000" w:themeColor="text1"/>
            </w:tcBorders>
            <w:vAlign w:val="center"/>
            <w:hideMark/>
          </w:tcPr>
          <w:p w14:paraId="04918ABA" w14:textId="77777777" w:rsidR="00F577A2" w:rsidRPr="00576640" w:rsidRDefault="00F577A2" w:rsidP="00232428">
            <w:pPr>
              <w:widowControl w:val="0"/>
              <w:tabs>
                <w:tab w:val="decimal" w:pos="689"/>
              </w:tabs>
              <w:jc w:val="left"/>
              <w:rPr>
                <w:bCs/>
                <w:sz w:val="18"/>
              </w:rPr>
            </w:pPr>
            <w:r>
              <w:rPr>
                <w:bCs/>
                <w:sz w:val="18"/>
              </w:rPr>
              <w:t>2.2</w:t>
            </w:r>
          </w:p>
        </w:tc>
      </w:tr>
      <w:tr w:rsidR="00F577A2" w14:paraId="49FEACC1" w14:textId="77777777" w:rsidTr="00232428">
        <w:trPr>
          <w:trHeight w:val="57"/>
          <w:jc w:val="center"/>
        </w:trPr>
        <w:tc>
          <w:tcPr>
            <w:tcW w:w="4552" w:type="dxa"/>
            <w:tcBorders>
              <w:top w:val="nil"/>
              <w:left w:val="double" w:sz="4" w:space="0" w:color="000000" w:themeColor="text1"/>
              <w:bottom w:val="nil"/>
              <w:right w:val="single" w:sz="4" w:space="0" w:color="000000" w:themeColor="text1"/>
            </w:tcBorders>
            <w:hideMark/>
          </w:tcPr>
          <w:p w14:paraId="7C91CCDE" w14:textId="77777777" w:rsidR="00F577A2" w:rsidRPr="00576640" w:rsidRDefault="00F577A2" w:rsidP="00232428">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Construcción</w:t>
            </w:r>
          </w:p>
        </w:tc>
        <w:tc>
          <w:tcPr>
            <w:tcW w:w="1402" w:type="dxa"/>
            <w:tcBorders>
              <w:top w:val="nil"/>
              <w:left w:val="single" w:sz="4" w:space="0" w:color="000000" w:themeColor="text1"/>
              <w:bottom w:val="nil"/>
              <w:right w:val="nil"/>
            </w:tcBorders>
            <w:vAlign w:val="center"/>
            <w:hideMark/>
          </w:tcPr>
          <w:p w14:paraId="006D4D00" w14:textId="77777777" w:rsidR="00F577A2" w:rsidRPr="003521F2" w:rsidRDefault="00F577A2" w:rsidP="00232428">
            <w:pPr>
              <w:widowControl w:val="0"/>
              <w:tabs>
                <w:tab w:val="decimal" w:pos="612"/>
              </w:tabs>
              <w:jc w:val="left"/>
              <w:rPr>
                <w:bCs/>
                <w:sz w:val="18"/>
              </w:rPr>
            </w:pPr>
            <w:r>
              <w:rPr>
                <w:bCs/>
                <w:sz w:val="18"/>
              </w:rPr>
              <w:t>3.7</w:t>
            </w:r>
          </w:p>
        </w:tc>
        <w:tc>
          <w:tcPr>
            <w:tcW w:w="1544" w:type="dxa"/>
            <w:tcBorders>
              <w:top w:val="nil"/>
              <w:left w:val="nil"/>
              <w:bottom w:val="nil"/>
              <w:right w:val="double" w:sz="4" w:space="0" w:color="000000" w:themeColor="text1"/>
            </w:tcBorders>
            <w:vAlign w:val="center"/>
            <w:hideMark/>
          </w:tcPr>
          <w:p w14:paraId="7C2F9F49" w14:textId="77777777" w:rsidR="00F577A2" w:rsidRPr="00576640" w:rsidRDefault="00F577A2" w:rsidP="00232428">
            <w:pPr>
              <w:widowControl w:val="0"/>
              <w:tabs>
                <w:tab w:val="decimal" w:pos="689"/>
              </w:tabs>
              <w:jc w:val="left"/>
              <w:rPr>
                <w:sz w:val="18"/>
              </w:rPr>
            </w:pPr>
            <w:r>
              <w:rPr>
                <w:bCs/>
                <w:sz w:val="18"/>
              </w:rPr>
              <w:t>1.1</w:t>
            </w:r>
          </w:p>
        </w:tc>
      </w:tr>
      <w:tr w:rsidR="00F577A2" w14:paraId="42AE79A4" w14:textId="77777777" w:rsidTr="00232428">
        <w:trPr>
          <w:trHeight w:val="57"/>
          <w:jc w:val="center"/>
        </w:trPr>
        <w:tc>
          <w:tcPr>
            <w:tcW w:w="4552" w:type="dxa"/>
            <w:tcBorders>
              <w:top w:val="nil"/>
              <w:left w:val="double" w:sz="4" w:space="0" w:color="000000" w:themeColor="text1"/>
              <w:bottom w:val="double" w:sz="4" w:space="0" w:color="000000" w:themeColor="text1"/>
              <w:right w:val="single" w:sz="4" w:space="0" w:color="000000" w:themeColor="text1"/>
            </w:tcBorders>
            <w:hideMark/>
          </w:tcPr>
          <w:p w14:paraId="4A364972" w14:textId="77777777" w:rsidR="00F577A2" w:rsidRPr="00576640" w:rsidRDefault="00F577A2" w:rsidP="00232428">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 xml:space="preserve">Industrias </w:t>
            </w:r>
            <w:r>
              <w:rPr>
                <w:rFonts w:ascii="Arial" w:hAnsi="Arial"/>
                <w:color w:val="auto"/>
                <w:sz w:val="18"/>
              </w:rPr>
              <w:t>m</w:t>
            </w:r>
            <w:r w:rsidRPr="00576640">
              <w:rPr>
                <w:rFonts w:ascii="Arial" w:hAnsi="Arial"/>
                <w:color w:val="auto"/>
                <w:sz w:val="18"/>
              </w:rPr>
              <w:t>anufactureras</w:t>
            </w:r>
          </w:p>
        </w:tc>
        <w:tc>
          <w:tcPr>
            <w:tcW w:w="1402" w:type="dxa"/>
            <w:tcBorders>
              <w:top w:val="nil"/>
              <w:left w:val="single" w:sz="4" w:space="0" w:color="000000" w:themeColor="text1"/>
              <w:bottom w:val="double" w:sz="4" w:space="0" w:color="000000" w:themeColor="text1"/>
              <w:right w:val="nil"/>
            </w:tcBorders>
            <w:vAlign w:val="center"/>
            <w:hideMark/>
          </w:tcPr>
          <w:p w14:paraId="1FAC7262" w14:textId="77777777" w:rsidR="00F577A2" w:rsidRPr="00576640" w:rsidRDefault="00F577A2" w:rsidP="00232428">
            <w:pPr>
              <w:widowControl w:val="0"/>
              <w:tabs>
                <w:tab w:val="decimal" w:pos="612"/>
              </w:tabs>
              <w:jc w:val="left"/>
              <w:rPr>
                <w:bCs/>
                <w:sz w:val="18"/>
              </w:rPr>
            </w:pPr>
            <w:r>
              <w:rPr>
                <w:bCs/>
                <w:sz w:val="18"/>
              </w:rPr>
              <w:t>-0.2</w:t>
            </w:r>
          </w:p>
        </w:tc>
        <w:tc>
          <w:tcPr>
            <w:tcW w:w="1544" w:type="dxa"/>
            <w:tcBorders>
              <w:top w:val="nil"/>
              <w:left w:val="nil"/>
              <w:bottom w:val="double" w:sz="4" w:space="0" w:color="000000" w:themeColor="text1"/>
              <w:right w:val="double" w:sz="4" w:space="0" w:color="000000" w:themeColor="text1"/>
            </w:tcBorders>
            <w:vAlign w:val="center"/>
            <w:hideMark/>
          </w:tcPr>
          <w:p w14:paraId="35ACD685" w14:textId="77777777" w:rsidR="00F577A2" w:rsidRPr="00576640" w:rsidRDefault="00F577A2" w:rsidP="00232428">
            <w:pPr>
              <w:widowControl w:val="0"/>
              <w:tabs>
                <w:tab w:val="decimal" w:pos="689"/>
              </w:tabs>
              <w:jc w:val="left"/>
              <w:rPr>
                <w:bCs/>
                <w:sz w:val="18"/>
              </w:rPr>
            </w:pPr>
            <w:r>
              <w:rPr>
                <w:sz w:val="18"/>
              </w:rPr>
              <w:t>3.5</w:t>
            </w:r>
          </w:p>
        </w:tc>
      </w:tr>
    </w:tbl>
    <w:p w14:paraId="3A7D73CD" w14:textId="77777777" w:rsidR="00F577A2" w:rsidRPr="00057C0B" w:rsidRDefault="00F577A2" w:rsidP="00F577A2">
      <w:pPr>
        <w:pStyle w:val="bullet"/>
        <w:spacing w:before="0"/>
        <w:ind w:left="1985" w:right="1325" w:hanging="589"/>
        <w:jc w:val="both"/>
        <w:rPr>
          <w:rFonts w:ascii="Arial" w:hAnsi="Arial" w:cs="Arial"/>
          <w:b w:val="0"/>
          <w:color w:val="000000" w:themeColor="text1"/>
          <w:sz w:val="16"/>
          <w:szCs w:val="16"/>
        </w:rPr>
      </w:pPr>
      <w:r>
        <w:rPr>
          <w:rFonts w:ascii="Arial" w:hAnsi="Arial" w:cs="Arial"/>
          <w:b w:val="0"/>
          <w:color w:val="000000" w:themeColor="text1"/>
          <w:sz w:val="16"/>
          <w:szCs w:val="16"/>
        </w:rPr>
        <w:t xml:space="preserve">Nota: </w:t>
      </w:r>
      <w:r w:rsidRPr="00F36322">
        <w:rPr>
          <w:rFonts w:ascii="Arial" w:hAnsi="Arial" w:cs="Arial"/>
          <w:b w:val="0"/>
          <w:color w:val="000000" w:themeColor="text1"/>
          <w:sz w:val="16"/>
          <w:szCs w:val="16"/>
        </w:rPr>
        <w:tab/>
        <w:t>La serie desestacionalizada del Indicador Mensual de la Actividad Industrial</w:t>
      </w:r>
      <w:r>
        <w:rPr>
          <w:rFonts w:ascii="Arial" w:hAnsi="Arial" w:cs="Arial"/>
          <w:b w:val="0"/>
          <w:color w:val="000000" w:themeColor="text1"/>
          <w:sz w:val="16"/>
          <w:szCs w:val="16"/>
        </w:rPr>
        <w:t xml:space="preserve"> </w:t>
      </w:r>
      <w:r w:rsidRPr="00F36322">
        <w:rPr>
          <w:rFonts w:ascii="Arial" w:hAnsi="Arial" w:cs="Arial"/>
          <w:b w:val="0"/>
          <w:color w:val="000000" w:themeColor="text1"/>
          <w:sz w:val="16"/>
        </w:rPr>
        <w:t>se calcula de manera independiente a la de sus componentes</w:t>
      </w:r>
      <w:r w:rsidRPr="00F36322">
        <w:rPr>
          <w:rFonts w:ascii="Arial" w:hAnsi="Arial" w:cs="Arial"/>
          <w:color w:val="000000" w:themeColor="text1"/>
          <w:sz w:val="16"/>
        </w:rPr>
        <w:t>.</w:t>
      </w:r>
    </w:p>
    <w:p w14:paraId="79D05689" w14:textId="77777777" w:rsidR="00F577A2" w:rsidRPr="00115291" w:rsidRDefault="00F577A2" w:rsidP="00F577A2">
      <w:pPr>
        <w:pStyle w:val="bullet"/>
        <w:tabs>
          <w:tab w:val="left" w:pos="7513"/>
        </w:tabs>
        <w:spacing w:before="0"/>
        <w:ind w:left="2127" w:right="1325" w:hanging="709"/>
        <w:jc w:val="both"/>
        <w:rPr>
          <w:b w:val="0"/>
          <w:i/>
        </w:rPr>
      </w:pPr>
      <w:r w:rsidRPr="00115291">
        <w:rPr>
          <w:b w:val="0"/>
          <w:color w:val="000000" w:themeColor="text1"/>
          <w:sz w:val="16"/>
          <w:szCs w:val="16"/>
        </w:rPr>
        <w:t>Fuente: INEGI.</w:t>
      </w:r>
    </w:p>
    <w:p w14:paraId="4894C885" w14:textId="77777777" w:rsidR="00F577A2" w:rsidRPr="00B332C3" w:rsidRDefault="00F577A2" w:rsidP="00F577A2">
      <w:pPr>
        <w:pStyle w:val="parr2"/>
        <w:widowControl w:val="0"/>
        <w:spacing w:before="120"/>
        <w:ind w:left="0" w:right="0"/>
        <w:rPr>
          <w:b/>
          <w:i/>
          <w:smallCaps/>
          <w:sz w:val="16"/>
          <w:szCs w:val="16"/>
        </w:rPr>
      </w:pPr>
      <w:bookmarkStart w:id="3" w:name="_Hlk97203714"/>
    </w:p>
    <w:p w14:paraId="0EDD6ECF" w14:textId="77777777" w:rsidR="00F577A2" w:rsidRPr="00E01173" w:rsidRDefault="00F577A2" w:rsidP="00F577A2">
      <w:pPr>
        <w:pStyle w:val="parr2"/>
        <w:widowControl w:val="0"/>
        <w:ind w:left="0" w:right="0"/>
        <w:rPr>
          <w:b/>
          <w:i/>
          <w:smallCaps/>
        </w:rPr>
      </w:pPr>
      <w:r w:rsidRPr="00E01173">
        <w:rPr>
          <w:b/>
          <w:i/>
          <w:smallCaps/>
        </w:rPr>
        <w:t>Nota al usuario</w:t>
      </w:r>
    </w:p>
    <w:p w14:paraId="5FF0C288" w14:textId="77777777" w:rsidR="00F577A2" w:rsidRPr="00730E04" w:rsidRDefault="00F577A2" w:rsidP="00F577A2">
      <w:pPr>
        <w:pStyle w:val="Default"/>
        <w:spacing w:before="200"/>
        <w:jc w:val="both"/>
        <w:rPr>
          <w:color w:val="auto"/>
        </w:rPr>
      </w:pPr>
      <w:r w:rsidRPr="009E0A34">
        <w:t>Este indicador se actualiza una vez que se dispone</w:t>
      </w:r>
      <w:r w:rsidRPr="004B7724">
        <w:rPr>
          <w:color w:val="auto"/>
        </w:rPr>
        <w:t xml:space="preserve"> </w:t>
      </w:r>
      <w:r w:rsidRPr="00730E04">
        <w:t xml:space="preserve">de la información estadística </w:t>
      </w:r>
      <w:r>
        <w:t>más reciente</w:t>
      </w:r>
      <w:r w:rsidRPr="00730E04">
        <w:t xml:space="preserve"> de las </w:t>
      </w:r>
      <w:r w:rsidRPr="00730E04">
        <w:rPr>
          <w:color w:val="auto"/>
        </w:rPr>
        <w:t xml:space="preserve">encuestas, los registros administrativos y los datos primarios. </w:t>
      </w:r>
      <w:r>
        <w:rPr>
          <w:color w:val="auto"/>
        </w:rPr>
        <w:t xml:space="preserve">En esta ocasión también se consideró la versión revisada de las Cuentas de Bienes y Servicios 2020. </w:t>
      </w:r>
      <w:r w:rsidRPr="00730E04">
        <w:rPr>
          <w:color w:val="auto"/>
        </w:rPr>
        <w:t>Como resultado de incorporar dicha información, se identifican diferencias en los niveles de los índices y variaciones que fueron publicados oportunamente. La actualización se hace con base en los Lineamientos de cambios a la información divulgada en las publicaciones estadísticas y geográficas del INEGI que se complementan con las Normas Especiales para la Divulgación de Datos del FMI.</w:t>
      </w:r>
    </w:p>
    <w:p w14:paraId="3263B240" w14:textId="77777777" w:rsidR="00F577A2" w:rsidRDefault="00F577A2" w:rsidP="00F577A2">
      <w:pPr>
        <w:pStyle w:val="Default"/>
        <w:spacing w:before="200"/>
        <w:jc w:val="both"/>
      </w:pPr>
      <w:r w:rsidRPr="00D467CB">
        <w:rPr>
          <w:color w:val="auto"/>
        </w:rPr>
        <w:t xml:space="preserve">La </w:t>
      </w:r>
      <w:r>
        <w:rPr>
          <w:color w:val="auto"/>
        </w:rPr>
        <w:t>t</w:t>
      </w:r>
      <w:r w:rsidRPr="00D467CB">
        <w:rPr>
          <w:color w:val="auto"/>
        </w:rPr>
        <w:t xml:space="preserve">asa de </w:t>
      </w:r>
      <w:r>
        <w:rPr>
          <w:color w:val="auto"/>
        </w:rPr>
        <w:t>n</w:t>
      </w:r>
      <w:r w:rsidRPr="00D467CB">
        <w:rPr>
          <w:color w:val="auto"/>
        </w:rPr>
        <w:t xml:space="preserve">o </w:t>
      </w:r>
      <w:r>
        <w:rPr>
          <w:color w:val="auto"/>
        </w:rPr>
        <w:t>r</w:t>
      </w:r>
      <w:r w:rsidRPr="00D467CB">
        <w:rPr>
          <w:color w:val="auto"/>
        </w:rPr>
        <w:t xml:space="preserve">espuesta en la captación de las </w:t>
      </w:r>
      <w:r>
        <w:rPr>
          <w:color w:val="auto"/>
        </w:rPr>
        <w:t>e</w:t>
      </w:r>
      <w:r w:rsidRPr="00D467CB">
        <w:rPr>
          <w:color w:val="auto"/>
        </w:rPr>
        <w:t xml:space="preserve">ncuestas </w:t>
      </w:r>
      <w:r>
        <w:rPr>
          <w:color w:val="auto"/>
        </w:rPr>
        <w:t>e</w:t>
      </w:r>
      <w:r w:rsidRPr="00D467CB">
        <w:rPr>
          <w:color w:val="auto"/>
        </w:rPr>
        <w:t>conómicas que se consideraron para la integración del IMAI</w:t>
      </w:r>
      <w:r>
        <w:rPr>
          <w:rStyle w:val="Refdenotaalpie"/>
          <w:color w:val="auto"/>
        </w:rPr>
        <w:footnoteReference w:id="2"/>
      </w:r>
      <w:r w:rsidRPr="00D467CB">
        <w:rPr>
          <w:color w:val="auto"/>
        </w:rPr>
        <w:t xml:space="preserve"> en </w:t>
      </w:r>
      <w:r>
        <w:rPr>
          <w:color w:val="auto"/>
        </w:rPr>
        <w:t>marzo</w:t>
      </w:r>
      <w:r w:rsidRPr="00D467CB">
        <w:rPr>
          <w:color w:val="auto"/>
        </w:rPr>
        <w:t xml:space="preserve"> de 202</w:t>
      </w:r>
      <w:r>
        <w:rPr>
          <w:color w:val="auto"/>
        </w:rPr>
        <w:t>2</w:t>
      </w:r>
      <w:r w:rsidRPr="00D467CB">
        <w:rPr>
          <w:color w:val="auto"/>
        </w:rPr>
        <w:t xml:space="preserve"> registr</w:t>
      </w:r>
      <w:r>
        <w:rPr>
          <w:color w:val="auto"/>
        </w:rPr>
        <w:t>ó</w:t>
      </w:r>
      <w:r w:rsidRPr="00D467CB">
        <w:rPr>
          <w:color w:val="auto"/>
        </w:rPr>
        <w:t xml:space="preserve"> porcentajes apropiados de acuerdo con el diseño estadístico de las muestras</w:t>
      </w:r>
      <w:r>
        <w:t xml:space="preserve">. Asimismo, la captación de la Estadística de la Industria </w:t>
      </w:r>
      <w:proofErr w:type="spellStart"/>
      <w:r>
        <w:t>Minerometalúrgica</w:t>
      </w:r>
      <w:proofErr w:type="spellEnd"/>
      <w:r>
        <w:t xml:space="preserve"> (EIMM), de los registros administrativos y los datos primarios que divulga el Instituto permitió la generación de estadísticas con niveles altos de cobertura y precisión estadística. </w:t>
      </w:r>
    </w:p>
    <w:p w14:paraId="35BA08BC" w14:textId="77777777" w:rsidR="00F577A2" w:rsidRDefault="00F577A2" w:rsidP="00F577A2">
      <w:pPr>
        <w:pStyle w:val="parrafo1"/>
        <w:widowControl w:val="0"/>
        <w:spacing w:before="200"/>
        <w:ind w:left="0" w:right="0"/>
      </w:pPr>
    </w:p>
    <w:p w14:paraId="0AB975B9" w14:textId="77777777" w:rsidR="00F577A2" w:rsidRDefault="00F577A2" w:rsidP="00D905DC">
      <w:pPr>
        <w:pStyle w:val="parrafo1"/>
        <w:widowControl w:val="0"/>
        <w:spacing w:before="200"/>
        <w:ind w:left="0" w:right="49"/>
      </w:pPr>
      <w:r>
        <w:lastRenderedPageBreak/>
        <w:t>Para las actividades petroleras, de energía, gas y agua, se incluyeron los registros administrativos provenientes de las empresas y Unidades del Estado que se recibieron oportunamente vía correo electrónico y captación por internet.</w:t>
      </w:r>
    </w:p>
    <w:bookmarkEnd w:id="3"/>
    <w:p w14:paraId="07E5F960" w14:textId="77777777" w:rsidR="00F577A2" w:rsidRDefault="00F577A2" w:rsidP="00D905DC">
      <w:pPr>
        <w:pStyle w:val="NormalWeb"/>
        <w:spacing w:before="120" w:beforeAutospacing="0" w:after="0" w:afterAutospacing="0"/>
        <w:ind w:right="49"/>
        <w:contextualSpacing/>
        <w:jc w:val="center"/>
        <w:rPr>
          <w:rFonts w:ascii="Arial" w:hAnsi="Arial" w:cs="Arial"/>
          <w:sz w:val="20"/>
          <w:szCs w:val="20"/>
        </w:rPr>
      </w:pPr>
    </w:p>
    <w:p w14:paraId="1C9C9013"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3D4FE538"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3D1977A6"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15100123"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2208496C"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32F5866F"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10330DC5"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11A3EFF3"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5938E54A"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76C12192"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6A31C823"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12D7C859"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7B2DCBCE"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26F096FF"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76DD8388"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2B0C02E0"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06D718A1"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04D89662"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040DE26E"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23B44B9D"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56C57B9C"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7123E4A3"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090740AC"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7648B8E8"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5EEAA5D9"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6AE9628D"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1676AA92"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617A5384"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2CE2DCCD" w14:textId="77777777" w:rsidR="00F577A2" w:rsidRDefault="00F577A2" w:rsidP="00F577A2">
      <w:pPr>
        <w:pStyle w:val="NormalWeb"/>
        <w:spacing w:before="120" w:beforeAutospacing="0" w:after="0" w:afterAutospacing="0"/>
        <w:ind w:left="-426" w:right="-518"/>
        <w:contextualSpacing/>
        <w:jc w:val="center"/>
        <w:rPr>
          <w:rFonts w:ascii="Arial" w:hAnsi="Arial" w:cs="Arial"/>
          <w:sz w:val="20"/>
          <w:szCs w:val="20"/>
        </w:rPr>
      </w:pPr>
    </w:p>
    <w:p w14:paraId="163D62E4" w14:textId="77777777" w:rsidR="00F577A2" w:rsidRPr="00223C56" w:rsidRDefault="00F577A2" w:rsidP="00F577A2">
      <w:pPr>
        <w:pStyle w:val="NormalWeb"/>
        <w:spacing w:before="120" w:beforeAutospacing="0" w:after="0" w:afterAutospacing="0"/>
        <w:ind w:left="-426" w:right="-518"/>
        <w:contextualSpacing/>
        <w:jc w:val="center"/>
        <w:rPr>
          <w:rFonts w:ascii="Arial" w:hAnsi="Arial" w:cs="Arial"/>
          <w:sz w:val="16"/>
          <w:szCs w:val="16"/>
        </w:rPr>
      </w:pPr>
    </w:p>
    <w:p w14:paraId="4C078411" w14:textId="77777777" w:rsidR="00F577A2" w:rsidRPr="002443D7" w:rsidRDefault="00F577A2" w:rsidP="00F577A2">
      <w:pPr>
        <w:pStyle w:val="NormalWeb"/>
        <w:spacing w:before="360" w:beforeAutospacing="0" w:after="0" w:afterAutospacing="0"/>
        <w:ind w:left="-426" w:right="-518"/>
        <w:contextualSpacing/>
        <w:jc w:val="center"/>
        <w:rPr>
          <w:rFonts w:ascii="Arial" w:hAnsi="Arial" w:cs="Arial"/>
          <w:sz w:val="22"/>
          <w:szCs w:val="22"/>
        </w:rPr>
      </w:pPr>
      <w:r w:rsidRPr="002443D7">
        <w:rPr>
          <w:rFonts w:ascii="Arial" w:hAnsi="Arial" w:cs="Arial"/>
          <w:sz w:val="22"/>
          <w:szCs w:val="22"/>
        </w:rPr>
        <w:t xml:space="preserve">Para consultas de medios y periodistas, contactar a: </w:t>
      </w:r>
      <w:hyperlink r:id="rId9" w:history="1">
        <w:r w:rsidRPr="002443D7">
          <w:rPr>
            <w:rStyle w:val="Hipervnculo"/>
            <w:rFonts w:ascii="Arial" w:hAnsi="Arial" w:cs="Arial"/>
            <w:sz w:val="22"/>
            <w:szCs w:val="22"/>
          </w:rPr>
          <w:t>comunicacionsocial@inegi.org.mx</w:t>
        </w:r>
      </w:hyperlink>
      <w:r w:rsidRPr="002443D7">
        <w:rPr>
          <w:rFonts w:ascii="Arial" w:hAnsi="Arial" w:cs="Arial"/>
          <w:sz w:val="22"/>
          <w:szCs w:val="22"/>
        </w:rPr>
        <w:t xml:space="preserve"> </w:t>
      </w:r>
    </w:p>
    <w:p w14:paraId="576265B4" w14:textId="77777777" w:rsidR="00F577A2" w:rsidRPr="002443D7" w:rsidRDefault="00F577A2" w:rsidP="00F577A2">
      <w:pPr>
        <w:pStyle w:val="NormalWeb"/>
        <w:spacing w:before="0" w:beforeAutospacing="0" w:after="0" w:afterAutospacing="0"/>
        <w:ind w:left="-426" w:right="-518"/>
        <w:contextualSpacing/>
        <w:jc w:val="center"/>
        <w:rPr>
          <w:rFonts w:ascii="Arial" w:hAnsi="Arial" w:cs="Arial"/>
          <w:sz w:val="22"/>
          <w:szCs w:val="22"/>
        </w:rPr>
      </w:pPr>
      <w:r w:rsidRPr="002443D7">
        <w:rPr>
          <w:rFonts w:ascii="Arial" w:hAnsi="Arial" w:cs="Arial"/>
          <w:sz w:val="22"/>
          <w:szCs w:val="22"/>
        </w:rPr>
        <w:t xml:space="preserve">o llamar al teléfono (55) 52-78-10-00, </w:t>
      </w:r>
      <w:proofErr w:type="spellStart"/>
      <w:r w:rsidRPr="002443D7">
        <w:rPr>
          <w:rFonts w:ascii="Arial" w:hAnsi="Arial" w:cs="Arial"/>
          <w:sz w:val="22"/>
          <w:szCs w:val="22"/>
        </w:rPr>
        <w:t>exts</w:t>
      </w:r>
      <w:proofErr w:type="spellEnd"/>
      <w:r w:rsidRPr="002443D7">
        <w:rPr>
          <w:rFonts w:ascii="Arial" w:hAnsi="Arial" w:cs="Arial"/>
          <w:sz w:val="22"/>
          <w:szCs w:val="22"/>
        </w:rPr>
        <w:t>. 1134, 1260 y 1241.</w:t>
      </w:r>
    </w:p>
    <w:p w14:paraId="74E488F2" w14:textId="77777777" w:rsidR="00F577A2" w:rsidRPr="002443D7" w:rsidRDefault="00F577A2" w:rsidP="00F577A2">
      <w:pPr>
        <w:pStyle w:val="NormalWeb"/>
        <w:spacing w:before="0" w:beforeAutospacing="0" w:after="0" w:afterAutospacing="0"/>
        <w:ind w:left="-426" w:right="-518"/>
        <w:contextualSpacing/>
        <w:jc w:val="center"/>
        <w:rPr>
          <w:rFonts w:ascii="Arial" w:hAnsi="Arial" w:cs="Arial"/>
          <w:sz w:val="22"/>
          <w:szCs w:val="22"/>
        </w:rPr>
      </w:pPr>
    </w:p>
    <w:p w14:paraId="7E66B4F4" w14:textId="77777777" w:rsidR="00F577A2" w:rsidRPr="002443D7" w:rsidRDefault="00F577A2" w:rsidP="00F577A2">
      <w:pPr>
        <w:ind w:left="-426" w:right="-518"/>
        <w:contextualSpacing/>
        <w:jc w:val="center"/>
        <w:rPr>
          <w:sz w:val="22"/>
          <w:szCs w:val="22"/>
        </w:rPr>
      </w:pPr>
      <w:r w:rsidRPr="002443D7">
        <w:rPr>
          <w:sz w:val="22"/>
          <w:szCs w:val="22"/>
        </w:rPr>
        <w:t>Dirección de Atención a Medios / Dirección General Adjunta de Comunicación</w:t>
      </w:r>
    </w:p>
    <w:p w14:paraId="4538FD63" w14:textId="77777777" w:rsidR="00F577A2" w:rsidRPr="002443D7" w:rsidRDefault="00F577A2" w:rsidP="00F577A2">
      <w:pPr>
        <w:ind w:left="-426" w:right="-518"/>
        <w:contextualSpacing/>
        <w:jc w:val="center"/>
      </w:pPr>
    </w:p>
    <w:p w14:paraId="365D8579" w14:textId="77777777" w:rsidR="00F577A2" w:rsidRPr="0083010F" w:rsidRDefault="00F577A2" w:rsidP="00F577A2">
      <w:pPr>
        <w:ind w:left="-425" w:right="-516"/>
        <w:contextualSpacing/>
        <w:jc w:val="center"/>
        <w:rPr>
          <w:sz w:val="20"/>
          <w:szCs w:val="20"/>
        </w:rPr>
      </w:pPr>
      <w:r w:rsidRPr="00072FC1">
        <w:rPr>
          <w:noProof/>
          <w:sz w:val="22"/>
          <w:szCs w:val="22"/>
          <w:lang w:val="es-MX" w:eastAsia="es-MX"/>
        </w:rPr>
        <w:drawing>
          <wp:inline distT="0" distB="0" distL="0" distR="0" wp14:anchorId="1BD41624" wp14:editId="32622EAF">
            <wp:extent cx="274320" cy="365760"/>
            <wp:effectExtent l="0" t="0" r="0" b="0"/>
            <wp:docPr id="2" name="Imagen 2"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7BA5AD9D" wp14:editId="1E024929">
            <wp:extent cx="365760" cy="365760"/>
            <wp:effectExtent l="0" t="0" r="0" b="0"/>
            <wp:docPr id="13" name="Imagen 13"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58BD7DBD" wp14:editId="788D9F50">
            <wp:extent cx="365760" cy="365760"/>
            <wp:effectExtent l="0" t="0" r="0" b="0"/>
            <wp:docPr id="14" name="Imagen 14"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6C25B03A" wp14:editId="7CE69E1F">
            <wp:extent cx="365760" cy="365760"/>
            <wp:effectExtent l="0" t="0" r="0" b="0"/>
            <wp:docPr id="15" name="Imagen 15"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364D119C" wp14:editId="45A95B5F">
            <wp:extent cx="2286000" cy="274320"/>
            <wp:effectExtent l="0" t="0" r="0" b="0"/>
            <wp:docPr id="24" name="Imagen 2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CD649E0" w14:textId="77777777" w:rsidR="00F577A2" w:rsidRDefault="00F577A2" w:rsidP="00F577A2">
      <w:pPr>
        <w:ind w:left="-567"/>
        <w:jc w:val="center"/>
        <w:rPr>
          <w:noProof/>
          <w:lang w:eastAsia="es-MX"/>
        </w:rPr>
        <w:sectPr w:rsidR="00F577A2" w:rsidSect="006C6CF0">
          <w:headerReference w:type="default" r:id="rId20"/>
          <w:footerReference w:type="default" r:id="rId21"/>
          <w:pgSz w:w="12240" w:h="15840"/>
          <w:pgMar w:top="1418" w:right="1134" w:bottom="1276" w:left="1134" w:header="709" w:footer="709" w:gutter="0"/>
          <w:cols w:space="708"/>
          <w:docGrid w:linePitch="360"/>
        </w:sectPr>
      </w:pPr>
    </w:p>
    <w:p w14:paraId="03DCE4D4" w14:textId="77777777" w:rsidR="00F577A2" w:rsidRDefault="00F577A2" w:rsidP="00F577A2">
      <w:pPr>
        <w:pStyle w:val="Profesin"/>
        <w:outlineLvl w:val="0"/>
        <w:rPr>
          <w:sz w:val="24"/>
          <w:szCs w:val="24"/>
          <w:lang w:val="es-MX"/>
        </w:rPr>
      </w:pPr>
      <w:r w:rsidRPr="002A470D">
        <w:rPr>
          <w:sz w:val="24"/>
          <w:szCs w:val="24"/>
          <w:lang w:val="es-MX"/>
        </w:rPr>
        <w:lastRenderedPageBreak/>
        <w:t>ANEXO</w:t>
      </w:r>
    </w:p>
    <w:p w14:paraId="4C43534F" w14:textId="77777777" w:rsidR="00F577A2" w:rsidRPr="002A470D" w:rsidRDefault="00F577A2" w:rsidP="00F577A2">
      <w:pPr>
        <w:pStyle w:val="Profesin"/>
        <w:spacing w:before="240"/>
        <w:outlineLvl w:val="0"/>
        <w:rPr>
          <w:sz w:val="24"/>
          <w:szCs w:val="24"/>
          <w:lang w:val="es-MX"/>
        </w:rPr>
      </w:pPr>
      <w:r w:rsidRPr="002A470D">
        <w:rPr>
          <w:sz w:val="24"/>
          <w:szCs w:val="24"/>
          <w:lang w:val="es-MX"/>
        </w:rPr>
        <w:t>Nota técnica</w:t>
      </w:r>
    </w:p>
    <w:bookmarkEnd w:id="0"/>
    <w:p w14:paraId="70B56209" w14:textId="77777777" w:rsidR="006512BE" w:rsidRDefault="006512BE" w:rsidP="008068F3">
      <w:pPr>
        <w:pStyle w:val="parrafo1"/>
        <w:spacing w:before="360"/>
        <w:ind w:left="-567" w:right="-567"/>
        <w:jc w:val="center"/>
        <w:rPr>
          <w:b/>
          <w:i/>
        </w:rPr>
      </w:pPr>
    </w:p>
    <w:p w14:paraId="5348D630" w14:textId="1C0CBD21" w:rsidR="00EC2181" w:rsidRDefault="00EC2181" w:rsidP="00634447">
      <w:pPr>
        <w:pStyle w:val="parrafo1"/>
        <w:spacing w:before="240"/>
        <w:ind w:left="567" w:right="584"/>
        <w:rPr>
          <w:b/>
          <w:i/>
        </w:rPr>
      </w:pPr>
      <w:r>
        <w:rPr>
          <w:b/>
          <w:i/>
        </w:rPr>
        <w:t>Principales resultados</w:t>
      </w:r>
    </w:p>
    <w:p w14:paraId="49575076" w14:textId="6159F769" w:rsidR="00457E9F" w:rsidRDefault="00457E9F" w:rsidP="00453347">
      <w:pPr>
        <w:pStyle w:val="parrafo1"/>
        <w:spacing w:before="240"/>
        <w:ind w:left="1134" w:right="584"/>
        <w:rPr>
          <w:b/>
          <w:i/>
        </w:rPr>
      </w:pPr>
      <w:r w:rsidRPr="00457E9F">
        <w:rPr>
          <w:b/>
          <w:i/>
        </w:rPr>
        <w:t>Cifras desestacionalizadas</w:t>
      </w:r>
    </w:p>
    <w:p w14:paraId="2C4DD1D2" w14:textId="346AE56F" w:rsidR="00EC2181" w:rsidRDefault="00330455" w:rsidP="003071BE">
      <w:pPr>
        <w:pStyle w:val="parrafo1"/>
        <w:widowControl w:val="0"/>
        <w:spacing w:before="360"/>
        <w:ind w:left="0" w:right="0"/>
        <w:rPr>
          <w:szCs w:val="24"/>
        </w:rPr>
      </w:pPr>
      <w:r>
        <w:rPr>
          <w:szCs w:val="24"/>
        </w:rPr>
        <w:t xml:space="preserve">En </w:t>
      </w:r>
      <w:r w:rsidR="00586635">
        <w:rPr>
          <w:szCs w:val="24"/>
        </w:rPr>
        <w:t>marzo</w:t>
      </w:r>
      <w:r>
        <w:rPr>
          <w:szCs w:val="24"/>
        </w:rPr>
        <w:t xml:space="preserve"> </w:t>
      </w:r>
      <w:r>
        <w:rPr>
          <w:rFonts w:cs="Arial"/>
          <w:color w:val="000000" w:themeColor="text1"/>
          <w:szCs w:val="24"/>
        </w:rPr>
        <w:t>de 202</w:t>
      </w:r>
      <w:r w:rsidR="00A37965">
        <w:rPr>
          <w:rFonts w:cs="Arial"/>
          <w:color w:val="000000" w:themeColor="text1"/>
          <w:szCs w:val="24"/>
        </w:rPr>
        <w:t>2</w:t>
      </w:r>
      <w:r>
        <w:rPr>
          <w:rFonts w:cs="Arial"/>
          <w:color w:val="000000" w:themeColor="text1"/>
          <w:szCs w:val="24"/>
        </w:rPr>
        <w:t>, e</w:t>
      </w:r>
      <w:r w:rsidR="005A4B45">
        <w:rPr>
          <w:szCs w:val="24"/>
        </w:rPr>
        <w:t xml:space="preserve">l </w:t>
      </w:r>
      <w:r w:rsidR="005A4B45" w:rsidRPr="005A4B45">
        <w:rPr>
          <w:rFonts w:cs="Arial"/>
          <w:color w:val="000000" w:themeColor="text1"/>
        </w:rPr>
        <w:t xml:space="preserve">Indicador Mensual de la Actividad Industrial </w:t>
      </w:r>
      <w:r w:rsidR="00EC2181" w:rsidRPr="00215014">
        <w:rPr>
          <w:szCs w:val="24"/>
        </w:rPr>
        <w:t>(</w:t>
      </w:r>
      <w:r w:rsidR="00544420">
        <w:rPr>
          <w:szCs w:val="24"/>
        </w:rPr>
        <w:t xml:space="preserve">que incorpora a los sectores de </w:t>
      </w:r>
      <w:r w:rsidR="00EC2181" w:rsidRPr="00215014">
        <w:rPr>
          <w:szCs w:val="24"/>
        </w:rPr>
        <w:t xml:space="preserve">Minería; Generación, transmisión y distribución de energía eléctrica, suministro de agua y de gas por ductos al consumidor final; Construcción </w:t>
      </w:r>
      <w:r w:rsidR="00801A69">
        <w:rPr>
          <w:szCs w:val="24"/>
        </w:rPr>
        <w:t>e</w:t>
      </w:r>
      <w:r w:rsidR="00EC2181" w:rsidRPr="00215014">
        <w:rPr>
          <w:szCs w:val="24"/>
        </w:rPr>
        <w:t xml:space="preserve"> Industrias manufactureras) </w:t>
      </w:r>
      <w:r w:rsidR="00447939">
        <w:rPr>
          <w:szCs w:val="24"/>
        </w:rPr>
        <w:t>aumentó 0.4</w:t>
      </w:r>
      <w:r w:rsidR="00F21BF3">
        <w:rPr>
          <w:szCs w:val="24"/>
        </w:rPr>
        <w:t>%</w:t>
      </w:r>
      <w:r w:rsidR="00755D08">
        <w:rPr>
          <w:szCs w:val="24"/>
        </w:rPr>
        <w:t xml:space="preserve"> </w:t>
      </w:r>
      <w:r w:rsidR="00A231DF">
        <w:rPr>
          <w:szCs w:val="24"/>
        </w:rPr>
        <w:t>en términos reales</w:t>
      </w:r>
      <w:r w:rsidR="00565339">
        <w:rPr>
          <w:szCs w:val="24"/>
        </w:rPr>
        <w:t xml:space="preserve"> </w:t>
      </w:r>
      <w:r w:rsidR="00EC2181" w:rsidRPr="00215014">
        <w:rPr>
          <w:rFonts w:cs="Arial"/>
          <w:color w:val="000000" w:themeColor="text1"/>
          <w:szCs w:val="24"/>
        </w:rPr>
        <w:t xml:space="preserve">respecto </w:t>
      </w:r>
      <w:r>
        <w:rPr>
          <w:rFonts w:cs="Arial"/>
          <w:color w:val="000000" w:themeColor="text1"/>
          <w:szCs w:val="24"/>
        </w:rPr>
        <w:t xml:space="preserve">a </w:t>
      </w:r>
      <w:r w:rsidR="00851562">
        <w:rPr>
          <w:rFonts w:cs="Arial"/>
          <w:color w:val="000000" w:themeColor="text1"/>
          <w:szCs w:val="24"/>
        </w:rPr>
        <w:t>febrero</w:t>
      </w:r>
      <w:r w:rsidR="00EC2181" w:rsidRPr="00215014">
        <w:rPr>
          <w:szCs w:val="24"/>
        </w:rPr>
        <w:t>.</w:t>
      </w:r>
    </w:p>
    <w:p w14:paraId="31B2DE30" w14:textId="7B73BC65" w:rsidR="00AC2D6B" w:rsidRPr="00AC2D6B" w:rsidRDefault="00AC2D6B" w:rsidP="004A1D17">
      <w:pPr>
        <w:pStyle w:val="p0"/>
        <w:keepNext/>
        <w:spacing w:before="360"/>
        <w:jc w:val="center"/>
        <w:rPr>
          <w:rFonts w:ascii="Arial" w:hAnsi="Arial"/>
          <w:color w:val="auto"/>
          <w:sz w:val="20"/>
          <w:szCs w:val="22"/>
        </w:rPr>
      </w:pPr>
      <w:r>
        <w:rPr>
          <w:rFonts w:ascii="Arial" w:hAnsi="Arial"/>
          <w:color w:val="auto"/>
          <w:sz w:val="20"/>
          <w:szCs w:val="22"/>
        </w:rPr>
        <w:t>Gráfica 1</w:t>
      </w:r>
    </w:p>
    <w:p w14:paraId="40772BB9" w14:textId="6BFD6D02" w:rsidR="00EC2181" w:rsidRPr="000D1E2C" w:rsidRDefault="00E94706" w:rsidP="002500C0">
      <w:pPr>
        <w:pStyle w:val="p0"/>
        <w:keepNext/>
        <w:spacing w:before="0"/>
        <w:ind w:left="709" w:hanging="709"/>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p>
    <w:p w14:paraId="2A72591B" w14:textId="77777777" w:rsidR="00EC2181" w:rsidRDefault="00EC2181" w:rsidP="004A1D17">
      <w:pPr>
        <w:pStyle w:val="p0"/>
        <w:keepNext/>
        <w:spacing w:before="0"/>
        <w:jc w:val="center"/>
        <w:rPr>
          <w:color w:val="auto"/>
          <w:sz w:val="20"/>
          <w:lang w:val="es-MX"/>
        </w:rPr>
      </w:pPr>
      <w:r w:rsidRPr="000D1E2C">
        <w:rPr>
          <w:rFonts w:ascii="Arial" w:hAnsi="Arial"/>
          <w:color w:val="auto"/>
          <w:sz w:val="18"/>
          <w:lang w:val="es-MX"/>
        </w:rPr>
        <w:t>(Índice base 20</w:t>
      </w:r>
      <w:r w:rsidR="003A1C1F" w:rsidRPr="000D1E2C">
        <w:rPr>
          <w:rFonts w:ascii="Arial" w:hAnsi="Arial"/>
          <w:color w:val="auto"/>
          <w:sz w:val="18"/>
          <w:lang w:val="es-MX"/>
        </w:rPr>
        <w:t>13</w:t>
      </w:r>
      <w:r w:rsidRPr="000D1E2C">
        <w:rPr>
          <w:rFonts w:ascii="Arial" w:hAnsi="Arial"/>
          <w:color w:val="auto"/>
          <w:sz w:val="18"/>
          <w:lang w:val="es-MX"/>
        </w:rPr>
        <w:t>=100)</w:t>
      </w:r>
    </w:p>
    <w:p w14:paraId="07309BB0" w14:textId="422636C0" w:rsidR="004A1D17" w:rsidRDefault="00A411E0" w:rsidP="004A1D17">
      <w:pPr>
        <w:pStyle w:val="parrafo1"/>
        <w:spacing w:before="0"/>
        <w:ind w:left="0" w:right="0" w:hanging="84"/>
        <w:jc w:val="center"/>
        <w:rPr>
          <w:rFonts w:cs="Arial"/>
          <w:sz w:val="16"/>
          <w:lang w:val="es-MX"/>
        </w:rPr>
      </w:pPr>
      <w:r>
        <w:rPr>
          <w:noProof/>
        </w:rPr>
        <w:drawing>
          <wp:inline distT="0" distB="0" distL="0" distR="0" wp14:anchorId="4F0F3B31" wp14:editId="165E9FAB">
            <wp:extent cx="4669200" cy="2685600"/>
            <wp:effectExtent l="0" t="0" r="17145" b="19685"/>
            <wp:docPr id="1"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3FB3B13" w14:textId="316B949A" w:rsidR="00EC2181" w:rsidRDefault="00EC2181" w:rsidP="003071BE">
      <w:pPr>
        <w:pStyle w:val="parrafo1"/>
        <w:spacing w:before="0"/>
        <w:ind w:left="1134" w:right="0"/>
        <w:jc w:val="left"/>
        <w:rPr>
          <w:b/>
          <w:i/>
        </w:rPr>
      </w:pPr>
      <w:r>
        <w:rPr>
          <w:rFonts w:cs="Arial"/>
          <w:sz w:val="16"/>
          <w:lang w:val="es-MX"/>
        </w:rPr>
        <w:t>Fuente: INEGI.</w:t>
      </w:r>
    </w:p>
    <w:p w14:paraId="44FE3F96" w14:textId="268D8C7F" w:rsidR="00213D36" w:rsidRPr="005E5614" w:rsidRDefault="00447939" w:rsidP="003071BE">
      <w:pPr>
        <w:pStyle w:val="parrafo1"/>
        <w:widowControl w:val="0"/>
        <w:spacing w:before="360"/>
        <w:ind w:left="0" w:right="0"/>
        <w:rPr>
          <w:rFonts w:cs="Arial"/>
          <w:color w:val="000000" w:themeColor="text1"/>
          <w:sz w:val="28"/>
          <w:szCs w:val="28"/>
        </w:rPr>
      </w:pPr>
      <w:r w:rsidRPr="00447939">
        <w:rPr>
          <w:rFonts w:cs="Arial"/>
          <w:color w:val="000000" w:themeColor="text1"/>
          <w:szCs w:val="22"/>
        </w:rPr>
        <w:t>Por componente y con series ajustadas por estacionalidad, la variación mensual en marzo de 2022 fue la siguiente: la Construcción avanzó 3.7%, la Generación, transmisión y distribución de energía eléctrica, suministro de agua y de gas por ductos al consumidor final 2.3%, la Minería descendió 0.6% y las Industrias manufactureras cayeron 0.2%.</w:t>
      </w:r>
    </w:p>
    <w:p w14:paraId="58D79707" w14:textId="0E073162" w:rsidR="000F6AC4" w:rsidRPr="005E5614" w:rsidRDefault="000F6AC4" w:rsidP="0086723F">
      <w:pPr>
        <w:pStyle w:val="parrafo1"/>
        <w:widowControl w:val="0"/>
        <w:spacing w:before="360"/>
        <w:ind w:left="567" w:right="584"/>
        <w:rPr>
          <w:rFonts w:ascii="Helvetica" w:hAnsi="Helvetica"/>
          <w:b/>
          <w:smallCaps/>
          <w:snapToGrid w:val="0"/>
          <w:color w:val="000000"/>
          <w:sz w:val="28"/>
          <w:szCs w:val="28"/>
          <w:lang w:val="es-MX"/>
        </w:rPr>
      </w:pPr>
      <w:r w:rsidRPr="005E5614">
        <w:rPr>
          <w:b/>
          <w:smallCaps/>
          <w:color w:val="000000"/>
          <w:sz w:val="28"/>
          <w:szCs w:val="28"/>
          <w:lang w:val="es-MX"/>
        </w:rPr>
        <w:br w:type="page"/>
      </w:r>
    </w:p>
    <w:p w14:paraId="02E47AAB" w14:textId="1BDD912E" w:rsidR="00AC2D6B" w:rsidRDefault="00AC2D6B" w:rsidP="00C42FCD">
      <w:pPr>
        <w:pStyle w:val="p0"/>
        <w:spacing w:before="120"/>
        <w:jc w:val="center"/>
        <w:rPr>
          <w:rFonts w:ascii="Arial" w:hAnsi="Arial"/>
          <w:b/>
          <w:smallCaps/>
          <w:color w:val="000000"/>
          <w:sz w:val="22"/>
          <w:lang w:val="es-MX"/>
        </w:rPr>
      </w:pPr>
      <w:r>
        <w:rPr>
          <w:rFonts w:ascii="Arial" w:hAnsi="Arial"/>
          <w:color w:val="auto"/>
          <w:sz w:val="20"/>
          <w:szCs w:val="22"/>
        </w:rPr>
        <w:lastRenderedPageBreak/>
        <w:t>Gráfica 2</w:t>
      </w:r>
    </w:p>
    <w:p w14:paraId="61C9D29D" w14:textId="06589ADF" w:rsidR="00EC2181" w:rsidRPr="000D1E2C" w:rsidRDefault="00E94706" w:rsidP="00AC2D6B">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Minería</w:t>
      </w:r>
      <w:r w:rsidR="00EC2181" w:rsidRPr="000D1E2C">
        <w:rPr>
          <w:rFonts w:ascii="Arial" w:hAnsi="Arial"/>
          <w:b/>
          <w:smallCaps/>
          <w:color w:val="000000"/>
          <w:sz w:val="22"/>
          <w:lang w:val="es-MX"/>
        </w:rPr>
        <w:t xml:space="preserve"> </w:t>
      </w:r>
    </w:p>
    <w:p w14:paraId="5663DFAC"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r w:rsidR="00EC2181">
        <w:rPr>
          <w:sz w:val="18"/>
          <w:szCs w:val="18"/>
          <w:lang w:val="es-MX"/>
        </w:rPr>
        <w:t xml:space="preserve"> </w:t>
      </w:r>
    </w:p>
    <w:p w14:paraId="5088A126" w14:textId="152DEDF6" w:rsidR="001B6A8A" w:rsidRDefault="00A411E0" w:rsidP="001B6A8A">
      <w:pPr>
        <w:widowControl w:val="0"/>
        <w:jc w:val="center"/>
        <w:rPr>
          <w:sz w:val="16"/>
          <w:lang w:val="es-MX"/>
        </w:rPr>
      </w:pPr>
      <w:r>
        <w:rPr>
          <w:noProof/>
        </w:rPr>
        <w:drawing>
          <wp:inline distT="0" distB="0" distL="0" distR="0" wp14:anchorId="1E0EB0E3" wp14:editId="34A4C8FC">
            <wp:extent cx="4669200" cy="2685600"/>
            <wp:effectExtent l="0" t="0" r="17145" b="19685"/>
            <wp:docPr id="8" name="Gráfico 8">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49B1C94" w14:textId="77777777"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166783F4" w14:textId="7F80C031" w:rsidR="00AC2D6B" w:rsidRDefault="00AC2D6B" w:rsidP="00634447">
      <w:pPr>
        <w:pStyle w:val="p0"/>
        <w:spacing w:before="360"/>
        <w:jc w:val="center"/>
        <w:rPr>
          <w:rFonts w:ascii="Arial" w:hAnsi="Arial"/>
          <w:color w:val="auto"/>
          <w:sz w:val="20"/>
          <w:szCs w:val="22"/>
        </w:rPr>
      </w:pPr>
      <w:r>
        <w:rPr>
          <w:rFonts w:ascii="Arial" w:hAnsi="Arial"/>
          <w:color w:val="auto"/>
          <w:sz w:val="20"/>
          <w:szCs w:val="22"/>
        </w:rPr>
        <w:t>Gráfica 3</w:t>
      </w:r>
    </w:p>
    <w:p w14:paraId="4A352E57" w14:textId="63209A13" w:rsidR="00EC2181" w:rsidRPr="000D1E2C" w:rsidRDefault="00E94706" w:rsidP="00AC2D6B">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w:t>
      </w:r>
    </w:p>
    <w:p w14:paraId="753FA4D5" w14:textId="74C3C495" w:rsidR="00EC2181" w:rsidRPr="000D1E2C" w:rsidRDefault="000A431C"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suministro de agua </w:t>
      </w:r>
      <w:r w:rsidR="00E94706">
        <w:rPr>
          <w:rFonts w:ascii="Arial" w:hAnsi="Arial"/>
          <w:b/>
          <w:smallCaps/>
          <w:color w:val="000000"/>
          <w:sz w:val="22"/>
          <w:lang w:val="es-MX"/>
        </w:rPr>
        <w:t>y</w:t>
      </w:r>
      <w:r w:rsidR="00E94706" w:rsidRPr="000D1E2C">
        <w:rPr>
          <w:rFonts w:ascii="Arial" w:hAnsi="Arial"/>
          <w:b/>
          <w:smallCaps/>
          <w:color w:val="000000"/>
          <w:sz w:val="22"/>
          <w:lang w:val="es-MX"/>
        </w:rPr>
        <w:t xml:space="preserve"> de gas por ductos al consumidor final </w:t>
      </w:r>
    </w:p>
    <w:p w14:paraId="08EA10EA"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1697A964" w14:textId="4A1F22F1" w:rsidR="00EC2181" w:rsidRDefault="00A411E0" w:rsidP="00EC2181">
      <w:pPr>
        <w:widowControl w:val="0"/>
        <w:jc w:val="center"/>
        <w:rPr>
          <w:sz w:val="18"/>
          <w:szCs w:val="18"/>
          <w:lang w:val="es-MX"/>
        </w:rPr>
      </w:pPr>
      <w:r>
        <w:rPr>
          <w:noProof/>
        </w:rPr>
        <w:drawing>
          <wp:inline distT="0" distB="0" distL="0" distR="0" wp14:anchorId="278C5A02" wp14:editId="4E65CC20">
            <wp:extent cx="4669200" cy="2685600"/>
            <wp:effectExtent l="0" t="0" r="17145" b="19685"/>
            <wp:docPr id="9" name="Gráfico 9">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34A26A3" w14:textId="77777777"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5EB915BA" w14:textId="7B5E1428" w:rsidR="00352412" w:rsidRDefault="00352412">
      <w:pPr>
        <w:jc w:val="left"/>
        <w:rPr>
          <w:rFonts w:cs="Times New Roman"/>
        </w:rPr>
      </w:pPr>
      <w:r>
        <w:br w:type="page"/>
      </w:r>
    </w:p>
    <w:p w14:paraId="7923850A" w14:textId="5AA2BE3A" w:rsidR="00AC2D6B" w:rsidRDefault="00AC2D6B" w:rsidP="00EC2181">
      <w:pPr>
        <w:pStyle w:val="p0"/>
        <w:spacing w:before="0"/>
        <w:jc w:val="center"/>
        <w:rPr>
          <w:rFonts w:ascii="Arial" w:hAnsi="Arial"/>
          <w:b/>
          <w:smallCaps/>
          <w:color w:val="000000"/>
          <w:sz w:val="22"/>
          <w:lang w:val="es-MX"/>
        </w:rPr>
      </w:pPr>
      <w:r>
        <w:rPr>
          <w:rFonts w:ascii="Arial" w:hAnsi="Arial"/>
          <w:color w:val="auto"/>
          <w:sz w:val="20"/>
          <w:szCs w:val="22"/>
        </w:rPr>
        <w:lastRenderedPageBreak/>
        <w:t>Gráfica 4</w:t>
      </w:r>
    </w:p>
    <w:p w14:paraId="3FD3E8E8" w14:textId="689A0D1B" w:rsidR="00EC2181" w:rsidRPr="000D1E2C" w:rsidRDefault="00E94706"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p>
    <w:p w14:paraId="326CFC9A"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1A236C3A" w14:textId="5E07E75F" w:rsidR="00EC2181" w:rsidRDefault="00A411E0" w:rsidP="00EC2181">
      <w:pPr>
        <w:widowControl w:val="0"/>
        <w:jc w:val="center"/>
        <w:rPr>
          <w:sz w:val="18"/>
          <w:szCs w:val="18"/>
          <w:lang w:val="es-MX"/>
        </w:rPr>
      </w:pPr>
      <w:r>
        <w:rPr>
          <w:noProof/>
        </w:rPr>
        <w:drawing>
          <wp:inline distT="0" distB="0" distL="0" distR="0" wp14:anchorId="70440ADD" wp14:editId="7D61BAF0">
            <wp:extent cx="4669200" cy="2685600"/>
            <wp:effectExtent l="0" t="0" r="17145" b="19685"/>
            <wp:docPr id="11" name="Gráfico 1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BFB9D19" w14:textId="77777777"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03DE8D46" w14:textId="5DC18798" w:rsidR="00AC2D6B" w:rsidRDefault="00AC2D6B" w:rsidP="00A17972">
      <w:pPr>
        <w:pStyle w:val="p0"/>
        <w:jc w:val="center"/>
        <w:rPr>
          <w:rFonts w:ascii="Arial" w:hAnsi="Arial"/>
          <w:color w:val="auto"/>
          <w:sz w:val="20"/>
          <w:szCs w:val="22"/>
        </w:rPr>
      </w:pPr>
      <w:r>
        <w:rPr>
          <w:rFonts w:ascii="Arial" w:hAnsi="Arial"/>
          <w:color w:val="auto"/>
          <w:sz w:val="20"/>
          <w:szCs w:val="22"/>
        </w:rPr>
        <w:t>Gráfica 5</w:t>
      </w:r>
    </w:p>
    <w:p w14:paraId="03325503" w14:textId="580F1E5A" w:rsidR="00EC2181" w:rsidRPr="000D1E2C" w:rsidRDefault="00E94706"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Industrias manufactureras </w:t>
      </w:r>
    </w:p>
    <w:p w14:paraId="77FE60EB"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74D905D0" w14:textId="13F69013" w:rsidR="00EC2181" w:rsidRDefault="00A411E0" w:rsidP="00EC2181">
      <w:pPr>
        <w:widowControl w:val="0"/>
        <w:jc w:val="center"/>
        <w:rPr>
          <w:sz w:val="18"/>
          <w:szCs w:val="18"/>
          <w:lang w:val="es-MX"/>
        </w:rPr>
      </w:pPr>
      <w:r>
        <w:rPr>
          <w:noProof/>
        </w:rPr>
        <w:drawing>
          <wp:inline distT="0" distB="0" distL="0" distR="0" wp14:anchorId="7501EAE9" wp14:editId="659DEDD2">
            <wp:extent cx="4669200" cy="2685600"/>
            <wp:effectExtent l="0" t="0" r="17145" b="19685"/>
            <wp:docPr id="12" name="Gráfico 1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4C0F2E0" w14:textId="77777777" w:rsidR="00EC2181" w:rsidRPr="00412D95" w:rsidRDefault="00EC2181" w:rsidP="003071BE">
      <w:pPr>
        <w:pStyle w:val="parrafo1"/>
        <w:spacing w:before="0"/>
        <w:ind w:left="1134" w:right="0"/>
        <w:jc w:val="left"/>
        <w:rPr>
          <w:rFonts w:cs="Arial"/>
          <w:sz w:val="16"/>
          <w:lang w:val="es-MX"/>
        </w:rPr>
      </w:pPr>
      <w:r>
        <w:rPr>
          <w:rFonts w:cs="Arial"/>
          <w:sz w:val="16"/>
          <w:lang w:val="es-MX"/>
        </w:rPr>
        <w:t>Fuente: INEGI.</w:t>
      </w:r>
    </w:p>
    <w:p w14:paraId="39324E06" w14:textId="3381D3DB" w:rsidR="00312383" w:rsidRDefault="00312383">
      <w:pPr>
        <w:jc w:val="left"/>
        <w:rPr>
          <w:b/>
          <w:i/>
        </w:rPr>
      </w:pPr>
      <w:r>
        <w:rPr>
          <w:b/>
          <w:i/>
        </w:rPr>
        <w:br w:type="page"/>
      </w:r>
    </w:p>
    <w:p w14:paraId="33E45A8E" w14:textId="77777777" w:rsidR="00853669" w:rsidRDefault="00853669" w:rsidP="00312383">
      <w:pPr>
        <w:pStyle w:val="parrafo1"/>
        <w:spacing w:before="120"/>
        <w:ind w:left="1134" w:right="584"/>
        <w:rPr>
          <w:b/>
          <w:i/>
        </w:rPr>
      </w:pPr>
      <w:r>
        <w:rPr>
          <w:b/>
          <w:i/>
        </w:rPr>
        <w:lastRenderedPageBreak/>
        <w:t xml:space="preserve">Cifras originales </w:t>
      </w:r>
    </w:p>
    <w:p w14:paraId="20ECD17E" w14:textId="084BA2D1" w:rsidR="00F4544F" w:rsidRPr="00F4544F" w:rsidRDefault="00F4544F" w:rsidP="00853669">
      <w:pPr>
        <w:pStyle w:val="p0"/>
        <w:keepNext/>
        <w:jc w:val="center"/>
        <w:rPr>
          <w:rFonts w:ascii="Arial" w:hAnsi="Arial"/>
          <w:color w:val="auto"/>
          <w:sz w:val="20"/>
          <w:szCs w:val="22"/>
        </w:rPr>
      </w:pPr>
      <w:r w:rsidRPr="00F4544F">
        <w:rPr>
          <w:rFonts w:ascii="Arial" w:hAnsi="Arial"/>
          <w:color w:val="auto"/>
          <w:sz w:val="20"/>
          <w:szCs w:val="22"/>
        </w:rPr>
        <w:t>Cuadro 2</w:t>
      </w:r>
    </w:p>
    <w:p w14:paraId="1F6DF376" w14:textId="2D8F7FBA" w:rsidR="00AD58FE" w:rsidRDefault="00086EC8" w:rsidP="005A4B45">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 xml:space="preserve">Indicador mensual de la actividad industrial </w:t>
      </w:r>
      <w:r>
        <w:rPr>
          <w:rFonts w:ascii="Arial" w:hAnsi="Arial"/>
          <w:b/>
          <w:smallCaps/>
          <w:color w:val="auto"/>
          <w:sz w:val="22"/>
          <w:szCs w:val="22"/>
        </w:rPr>
        <w:t>p</w:t>
      </w:r>
      <w:r w:rsidRPr="000D1E2C">
        <w:rPr>
          <w:rFonts w:ascii="Arial" w:hAnsi="Arial"/>
          <w:b/>
          <w:smallCaps/>
          <w:color w:val="auto"/>
          <w:sz w:val="22"/>
          <w:szCs w:val="22"/>
        </w:rPr>
        <w:t>or subsector de actividad</w:t>
      </w:r>
    </w:p>
    <w:p w14:paraId="039225E9" w14:textId="1E40D40F" w:rsidR="00853669" w:rsidRPr="003F77A8" w:rsidRDefault="00853669" w:rsidP="00853669">
      <w:pPr>
        <w:pStyle w:val="p0"/>
        <w:keepNext/>
        <w:spacing w:before="0"/>
        <w:jc w:val="center"/>
        <w:rPr>
          <w:rFonts w:ascii="Arial" w:hAnsi="Arial"/>
          <w:color w:val="auto"/>
          <w:sz w:val="18"/>
          <w:szCs w:val="18"/>
        </w:rPr>
      </w:pPr>
      <w:r w:rsidRPr="000D1E2C">
        <w:rPr>
          <w:rFonts w:ascii="Arial" w:hAnsi="Arial"/>
          <w:color w:val="auto"/>
          <w:sz w:val="18"/>
          <w:szCs w:val="18"/>
        </w:rPr>
        <w:t xml:space="preserve">(Variación porcentual </w:t>
      </w:r>
      <w:r w:rsidR="00F4544F">
        <w:rPr>
          <w:rFonts w:ascii="Arial" w:hAnsi="Arial"/>
          <w:color w:val="auto"/>
          <w:sz w:val="18"/>
          <w:szCs w:val="18"/>
        </w:rPr>
        <w:t>anual</w:t>
      </w:r>
      <w:r w:rsidRPr="000D1E2C">
        <w:rPr>
          <w:rFonts w:ascii="Arial" w:hAnsi="Arial"/>
          <w:color w:val="auto"/>
          <w:sz w:val="18"/>
          <w:szCs w:val="18"/>
        </w:rPr>
        <w:t>)</w:t>
      </w:r>
    </w:p>
    <w:tbl>
      <w:tblPr>
        <w:tblW w:w="5040" w:type="pct"/>
        <w:jc w:val="center"/>
        <w:tblBorders>
          <w:top w:val="single" w:sz="8" w:space="0" w:color="006600"/>
          <w:left w:val="single" w:sz="8" w:space="0" w:color="006600"/>
          <w:bottom w:val="single" w:sz="8" w:space="0" w:color="006600"/>
          <w:right w:val="single" w:sz="8" w:space="0" w:color="006600"/>
        </w:tblBorders>
        <w:tblLayout w:type="fixed"/>
        <w:tblCellMar>
          <w:left w:w="70" w:type="dxa"/>
          <w:right w:w="70" w:type="dxa"/>
        </w:tblCellMar>
        <w:tblLook w:val="0000" w:firstRow="0" w:lastRow="0" w:firstColumn="0" w:lastColumn="0" w:noHBand="0" w:noVBand="0"/>
      </w:tblPr>
      <w:tblGrid>
        <w:gridCol w:w="694"/>
        <w:gridCol w:w="6169"/>
        <w:gridCol w:w="1080"/>
        <w:gridCol w:w="1080"/>
      </w:tblGrid>
      <w:tr w:rsidR="00B669E8" w:rsidRPr="00B669E8" w14:paraId="75CF3080" w14:textId="0B8A6DDE" w:rsidTr="00115291">
        <w:trPr>
          <w:trHeight w:val="397"/>
          <w:jc w:val="center"/>
        </w:trPr>
        <w:tc>
          <w:tcPr>
            <w:tcW w:w="6863" w:type="dxa"/>
            <w:gridSpan w:val="2"/>
            <w:vMerge w:val="restart"/>
            <w:tcBorders>
              <w:top w:val="double" w:sz="4" w:space="0" w:color="000000" w:themeColor="text1"/>
              <w:left w:val="double" w:sz="4" w:space="0" w:color="000000" w:themeColor="text1"/>
              <w:right w:val="single" w:sz="4" w:space="0" w:color="000000" w:themeColor="text1"/>
            </w:tcBorders>
            <w:shd w:val="clear" w:color="auto" w:fill="C2D69B" w:themeFill="accent3" w:themeFillTint="99"/>
            <w:vAlign w:val="center"/>
          </w:tcPr>
          <w:p w14:paraId="57FC56CC" w14:textId="77777777" w:rsidR="00B669E8" w:rsidRPr="0036176C" w:rsidRDefault="00B669E8" w:rsidP="00115291">
            <w:pPr>
              <w:pStyle w:val="p0"/>
              <w:keepLines w:val="0"/>
              <w:spacing w:before="0"/>
              <w:ind w:left="619"/>
              <w:jc w:val="left"/>
              <w:rPr>
                <w:rFonts w:ascii="Arial" w:hAnsi="Arial"/>
                <w:color w:val="auto"/>
                <w:sz w:val="18"/>
                <w:szCs w:val="16"/>
              </w:rPr>
            </w:pPr>
            <w:r w:rsidRPr="0036176C">
              <w:rPr>
                <w:rFonts w:ascii="Arial" w:hAnsi="Arial"/>
                <w:color w:val="auto"/>
                <w:sz w:val="18"/>
                <w:szCs w:val="16"/>
              </w:rPr>
              <w:t>Sector / Subsector</w:t>
            </w:r>
          </w:p>
        </w:tc>
        <w:tc>
          <w:tcPr>
            <w:tcW w:w="2160" w:type="dxa"/>
            <w:gridSpan w:val="2"/>
            <w:tcBorders>
              <w:top w:val="double" w:sz="4" w:space="0" w:color="000000" w:themeColor="text1"/>
              <w:left w:val="single" w:sz="4" w:space="0" w:color="000000" w:themeColor="text1"/>
              <w:bottom w:val="single" w:sz="4" w:space="0" w:color="000000" w:themeColor="text1"/>
              <w:right w:val="double" w:sz="4" w:space="0" w:color="000000" w:themeColor="text1"/>
            </w:tcBorders>
            <w:shd w:val="clear" w:color="auto" w:fill="C2D69B" w:themeFill="accent3" w:themeFillTint="99"/>
            <w:vAlign w:val="center"/>
          </w:tcPr>
          <w:p w14:paraId="58A59060" w14:textId="0172DC5D" w:rsidR="00B669E8" w:rsidRDefault="00B669E8" w:rsidP="00115291">
            <w:pPr>
              <w:pStyle w:val="p0"/>
              <w:keepNext/>
              <w:spacing w:before="0"/>
              <w:jc w:val="center"/>
              <w:rPr>
                <w:rFonts w:ascii="Arial" w:hAnsi="Arial"/>
                <w:color w:val="auto"/>
                <w:sz w:val="18"/>
                <w:szCs w:val="16"/>
              </w:rPr>
            </w:pPr>
            <w:r>
              <w:rPr>
                <w:rFonts w:ascii="Arial" w:hAnsi="Arial"/>
                <w:color w:val="auto"/>
                <w:sz w:val="18"/>
                <w:szCs w:val="16"/>
              </w:rPr>
              <w:t>2022</w:t>
            </w:r>
            <w:r w:rsidRPr="00F4544F">
              <w:rPr>
                <w:rFonts w:ascii="Arial" w:hAnsi="Arial"/>
                <w:color w:val="auto"/>
                <w:sz w:val="18"/>
                <w:szCs w:val="16"/>
                <w:vertAlign w:val="superscript"/>
              </w:rPr>
              <w:t>P/</w:t>
            </w:r>
          </w:p>
        </w:tc>
      </w:tr>
      <w:tr w:rsidR="00B669E8" w:rsidRPr="00B669E8" w14:paraId="0B4E086D" w14:textId="62A08B97" w:rsidTr="00115291">
        <w:trPr>
          <w:trHeight w:val="397"/>
          <w:jc w:val="center"/>
        </w:trPr>
        <w:tc>
          <w:tcPr>
            <w:tcW w:w="6863" w:type="dxa"/>
            <w:gridSpan w:val="2"/>
            <w:vMerge/>
            <w:tcBorders>
              <w:left w:val="double" w:sz="4" w:space="0" w:color="000000" w:themeColor="text1"/>
              <w:bottom w:val="single" w:sz="4" w:space="0" w:color="000000" w:themeColor="text1"/>
              <w:right w:val="single" w:sz="4" w:space="0" w:color="000000" w:themeColor="text1"/>
            </w:tcBorders>
            <w:shd w:val="clear" w:color="auto" w:fill="C2D69B" w:themeFill="accent3" w:themeFillTint="99"/>
          </w:tcPr>
          <w:p w14:paraId="27B6119E" w14:textId="77777777" w:rsidR="00B669E8" w:rsidRPr="0036176C" w:rsidRDefault="00B669E8" w:rsidP="00115291">
            <w:pPr>
              <w:pStyle w:val="p0"/>
              <w:keepLines w:val="0"/>
              <w:spacing w:before="0"/>
              <w:ind w:firstLine="428"/>
              <w:jc w:val="left"/>
              <w:rPr>
                <w:rFonts w:ascii="Arial" w:hAnsi="Arial"/>
                <w:color w:val="auto"/>
                <w:sz w:val="18"/>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tcPr>
          <w:p w14:paraId="0ECE92E6" w14:textId="2E3ADFD9" w:rsidR="00B669E8" w:rsidRDefault="00586635" w:rsidP="00115291">
            <w:pPr>
              <w:pStyle w:val="p0"/>
              <w:keepNext/>
              <w:spacing w:before="0"/>
              <w:jc w:val="center"/>
              <w:rPr>
                <w:rFonts w:ascii="Arial" w:hAnsi="Arial"/>
                <w:color w:val="auto"/>
                <w:sz w:val="18"/>
                <w:szCs w:val="16"/>
              </w:rPr>
            </w:pPr>
            <w:r>
              <w:rPr>
                <w:rFonts w:ascii="Arial" w:hAnsi="Arial"/>
                <w:color w:val="auto"/>
                <w:sz w:val="18"/>
                <w:szCs w:val="16"/>
              </w:rPr>
              <w:t>Marzo</w:t>
            </w:r>
          </w:p>
        </w:tc>
        <w:tc>
          <w:tcPr>
            <w:tcW w:w="1080"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clear" w:color="auto" w:fill="C2D69B" w:themeFill="accent3" w:themeFillTint="99"/>
            <w:vAlign w:val="center"/>
          </w:tcPr>
          <w:p w14:paraId="4417FC18" w14:textId="3549BD61" w:rsidR="00B669E8" w:rsidRDefault="00B669E8" w:rsidP="00115291">
            <w:pPr>
              <w:pStyle w:val="p0"/>
              <w:keepNext/>
              <w:spacing w:before="0"/>
              <w:jc w:val="center"/>
              <w:rPr>
                <w:rFonts w:ascii="Arial" w:hAnsi="Arial"/>
                <w:color w:val="auto"/>
                <w:sz w:val="18"/>
                <w:szCs w:val="16"/>
              </w:rPr>
            </w:pPr>
            <w:r>
              <w:rPr>
                <w:rFonts w:ascii="Arial" w:hAnsi="Arial"/>
                <w:color w:val="auto"/>
                <w:sz w:val="18"/>
                <w:szCs w:val="16"/>
              </w:rPr>
              <w:t>Ene-</w:t>
            </w:r>
            <w:r w:rsidR="00586635">
              <w:rPr>
                <w:rFonts w:ascii="Arial" w:hAnsi="Arial"/>
                <w:color w:val="auto"/>
                <w:sz w:val="18"/>
                <w:szCs w:val="16"/>
              </w:rPr>
              <w:t>Mar</w:t>
            </w:r>
          </w:p>
        </w:tc>
      </w:tr>
      <w:tr w:rsidR="00B669E8" w:rsidRPr="00E464CF" w14:paraId="1D93E5E5" w14:textId="672EEF32" w:rsidTr="00331574">
        <w:trPr>
          <w:jc w:val="center"/>
        </w:trPr>
        <w:tc>
          <w:tcPr>
            <w:tcW w:w="6863" w:type="dxa"/>
            <w:gridSpan w:val="2"/>
            <w:tcBorders>
              <w:top w:val="single" w:sz="4" w:space="0" w:color="000000" w:themeColor="text1"/>
              <w:left w:val="double" w:sz="4" w:space="0" w:color="000000" w:themeColor="text1"/>
              <w:bottom w:val="nil"/>
              <w:right w:val="single" w:sz="4" w:space="0" w:color="000000" w:themeColor="text1"/>
            </w:tcBorders>
            <w:shd w:val="clear" w:color="auto" w:fill="auto"/>
          </w:tcPr>
          <w:p w14:paraId="28848381" w14:textId="77777777" w:rsidR="00B669E8" w:rsidRPr="000D1E2C" w:rsidRDefault="00B669E8" w:rsidP="006F4E87">
            <w:pPr>
              <w:pStyle w:val="p0"/>
              <w:keepLines w:val="0"/>
              <w:spacing w:before="60" w:after="60"/>
              <w:ind w:left="469" w:hanging="469"/>
              <w:jc w:val="left"/>
              <w:rPr>
                <w:rFonts w:ascii="Arial" w:hAnsi="Arial"/>
                <w:b/>
                <w:color w:val="auto"/>
                <w:sz w:val="18"/>
                <w:szCs w:val="18"/>
              </w:rPr>
            </w:pPr>
            <w:r>
              <w:rPr>
                <w:rFonts w:ascii="Arial" w:hAnsi="Arial"/>
                <w:b/>
                <w:color w:val="auto"/>
                <w:sz w:val="18"/>
                <w:szCs w:val="18"/>
              </w:rPr>
              <w:t xml:space="preserve">Indicador Mensual de la </w:t>
            </w:r>
            <w:r w:rsidRPr="000D1E2C">
              <w:rPr>
                <w:rFonts w:ascii="Arial" w:hAnsi="Arial"/>
                <w:b/>
                <w:color w:val="auto"/>
                <w:sz w:val="18"/>
                <w:szCs w:val="18"/>
              </w:rPr>
              <w:t xml:space="preserve">Actividad Industrial </w:t>
            </w:r>
          </w:p>
        </w:tc>
        <w:tc>
          <w:tcPr>
            <w:tcW w:w="1080" w:type="dxa"/>
            <w:tcBorders>
              <w:top w:val="single" w:sz="4" w:space="0" w:color="000000" w:themeColor="text1"/>
              <w:left w:val="single" w:sz="4" w:space="0" w:color="000000" w:themeColor="text1"/>
              <w:bottom w:val="nil"/>
              <w:right w:val="single" w:sz="4" w:space="0" w:color="000000" w:themeColor="text1"/>
            </w:tcBorders>
            <w:vAlign w:val="center"/>
          </w:tcPr>
          <w:p w14:paraId="0C514F86" w14:textId="567ED7A9" w:rsidR="00B669E8" w:rsidRPr="00C01C52" w:rsidRDefault="00FC5688" w:rsidP="00B669E8">
            <w:pPr>
              <w:tabs>
                <w:tab w:val="decimal" w:pos="433"/>
              </w:tabs>
              <w:jc w:val="left"/>
              <w:rPr>
                <w:b/>
                <w:bCs/>
                <w:color w:val="000000"/>
                <w:sz w:val="18"/>
                <w:szCs w:val="18"/>
                <w:lang w:eastAsia="es-MX"/>
              </w:rPr>
            </w:pPr>
            <w:r>
              <w:rPr>
                <w:b/>
                <w:bCs/>
                <w:color w:val="000000"/>
                <w:sz w:val="18"/>
                <w:szCs w:val="18"/>
                <w:lang w:eastAsia="es-MX"/>
              </w:rPr>
              <w:t>2.</w:t>
            </w:r>
            <w:r w:rsidR="005628C0">
              <w:rPr>
                <w:b/>
                <w:bCs/>
                <w:color w:val="000000"/>
                <w:sz w:val="18"/>
                <w:szCs w:val="18"/>
                <w:lang w:eastAsia="es-MX"/>
              </w:rPr>
              <w:t>6</w:t>
            </w:r>
          </w:p>
        </w:tc>
        <w:tc>
          <w:tcPr>
            <w:tcW w:w="1080" w:type="dxa"/>
            <w:tcBorders>
              <w:top w:val="single" w:sz="4" w:space="0" w:color="000000" w:themeColor="text1"/>
              <w:left w:val="single" w:sz="4" w:space="0" w:color="000000" w:themeColor="text1"/>
              <w:bottom w:val="nil"/>
              <w:right w:val="double" w:sz="4" w:space="0" w:color="000000" w:themeColor="text1"/>
            </w:tcBorders>
            <w:vAlign w:val="center"/>
          </w:tcPr>
          <w:p w14:paraId="0E9B4023" w14:textId="051FD0D5" w:rsidR="00B669E8" w:rsidRDefault="005628C0" w:rsidP="00B669E8">
            <w:pPr>
              <w:tabs>
                <w:tab w:val="decimal" w:pos="433"/>
              </w:tabs>
              <w:jc w:val="left"/>
              <w:rPr>
                <w:b/>
                <w:bCs/>
                <w:color w:val="000000"/>
                <w:sz w:val="18"/>
                <w:szCs w:val="18"/>
                <w:lang w:eastAsia="es-MX"/>
              </w:rPr>
            </w:pPr>
            <w:r>
              <w:rPr>
                <w:b/>
                <w:bCs/>
                <w:color w:val="000000"/>
                <w:sz w:val="18"/>
                <w:szCs w:val="18"/>
                <w:lang w:eastAsia="es-MX"/>
              </w:rPr>
              <w:t>3.1</w:t>
            </w:r>
          </w:p>
        </w:tc>
      </w:tr>
      <w:tr w:rsidR="005628C0" w:rsidRPr="00E464CF" w14:paraId="4568F029" w14:textId="74F83290" w:rsidTr="00331574">
        <w:trPr>
          <w:jc w:val="center"/>
        </w:trPr>
        <w:tc>
          <w:tcPr>
            <w:tcW w:w="694" w:type="dxa"/>
            <w:tcBorders>
              <w:top w:val="nil"/>
              <w:left w:val="double" w:sz="4" w:space="0" w:color="000000" w:themeColor="text1"/>
              <w:bottom w:val="nil"/>
              <w:right w:val="nil"/>
            </w:tcBorders>
            <w:shd w:val="clear" w:color="auto" w:fill="auto"/>
            <w:vAlign w:val="center"/>
          </w:tcPr>
          <w:p w14:paraId="4DE73BA9" w14:textId="77777777" w:rsidR="005628C0" w:rsidRPr="000D1E2C" w:rsidRDefault="005628C0" w:rsidP="005628C0">
            <w:pPr>
              <w:ind w:right="57"/>
              <w:jc w:val="right"/>
              <w:rPr>
                <w:b/>
                <w:bCs/>
                <w:sz w:val="18"/>
                <w:szCs w:val="18"/>
                <w:lang w:eastAsia="es-MX"/>
              </w:rPr>
            </w:pPr>
            <w:r w:rsidRPr="000D1E2C">
              <w:rPr>
                <w:b/>
                <w:bCs/>
                <w:sz w:val="18"/>
                <w:szCs w:val="18"/>
              </w:rPr>
              <w:t>21</w:t>
            </w:r>
          </w:p>
        </w:tc>
        <w:tc>
          <w:tcPr>
            <w:tcW w:w="6169" w:type="dxa"/>
            <w:tcBorders>
              <w:top w:val="nil"/>
              <w:left w:val="nil"/>
              <w:bottom w:val="nil"/>
              <w:right w:val="single" w:sz="4" w:space="0" w:color="000000" w:themeColor="text1"/>
            </w:tcBorders>
            <w:shd w:val="clear" w:color="auto" w:fill="auto"/>
            <w:vAlign w:val="center"/>
          </w:tcPr>
          <w:p w14:paraId="3AE8A873" w14:textId="77777777" w:rsidR="005628C0" w:rsidRPr="000D1E2C" w:rsidRDefault="005628C0" w:rsidP="005628C0">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Minería</w:t>
            </w:r>
          </w:p>
        </w:tc>
        <w:tc>
          <w:tcPr>
            <w:tcW w:w="1080" w:type="dxa"/>
            <w:tcBorders>
              <w:top w:val="nil"/>
              <w:left w:val="single" w:sz="4" w:space="0" w:color="000000" w:themeColor="text1"/>
              <w:bottom w:val="nil"/>
              <w:right w:val="single" w:sz="4" w:space="0" w:color="000000" w:themeColor="text1"/>
            </w:tcBorders>
            <w:vAlign w:val="center"/>
          </w:tcPr>
          <w:p w14:paraId="6EEB0099" w14:textId="604E9EC8" w:rsidR="005628C0" w:rsidRPr="00D5001D" w:rsidRDefault="005628C0" w:rsidP="005628C0">
            <w:pPr>
              <w:tabs>
                <w:tab w:val="decimal" w:pos="433"/>
              </w:tabs>
              <w:jc w:val="left"/>
              <w:rPr>
                <w:b/>
                <w:bCs/>
                <w:color w:val="000000"/>
                <w:sz w:val="18"/>
                <w:szCs w:val="18"/>
                <w:lang w:eastAsia="es-MX"/>
              </w:rPr>
            </w:pPr>
            <w:r w:rsidRPr="00D5001D">
              <w:rPr>
                <w:b/>
                <w:bCs/>
                <w:color w:val="000000"/>
                <w:sz w:val="18"/>
                <w:szCs w:val="18"/>
              </w:rPr>
              <w:t>-1.3</w:t>
            </w:r>
          </w:p>
        </w:tc>
        <w:tc>
          <w:tcPr>
            <w:tcW w:w="1080" w:type="dxa"/>
            <w:tcBorders>
              <w:top w:val="nil"/>
              <w:left w:val="single" w:sz="4" w:space="0" w:color="000000" w:themeColor="text1"/>
              <w:bottom w:val="nil"/>
              <w:right w:val="double" w:sz="4" w:space="0" w:color="000000" w:themeColor="text1"/>
            </w:tcBorders>
            <w:vAlign w:val="center"/>
          </w:tcPr>
          <w:p w14:paraId="70B8B2D3" w14:textId="77ED483B" w:rsidR="005628C0" w:rsidRPr="00D5001D" w:rsidRDefault="005628C0" w:rsidP="005628C0">
            <w:pPr>
              <w:tabs>
                <w:tab w:val="decimal" w:pos="433"/>
              </w:tabs>
              <w:jc w:val="left"/>
              <w:rPr>
                <w:b/>
                <w:bCs/>
                <w:color w:val="000000"/>
                <w:sz w:val="18"/>
                <w:szCs w:val="18"/>
                <w:lang w:eastAsia="es-MX"/>
              </w:rPr>
            </w:pPr>
            <w:r w:rsidRPr="00D5001D">
              <w:rPr>
                <w:b/>
                <w:bCs/>
                <w:color w:val="000000"/>
                <w:sz w:val="18"/>
                <w:szCs w:val="18"/>
              </w:rPr>
              <w:t>2.3</w:t>
            </w:r>
          </w:p>
        </w:tc>
      </w:tr>
      <w:tr w:rsidR="005628C0" w:rsidRPr="00E464CF" w14:paraId="44DD6348" w14:textId="78B133DF" w:rsidTr="00331574">
        <w:trPr>
          <w:jc w:val="center"/>
        </w:trPr>
        <w:tc>
          <w:tcPr>
            <w:tcW w:w="694" w:type="dxa"/>
            <w:tcBorders>
              <w:top w:val="nil"/>
              <w:left w:val="double" w:sz="4" w:space="0" w:color="000000" w:themeColor="text1"/>
              <w:bottom w:val="nil"/>
              <w:right w:val="nil"/>
            </w:tcBorders>
            <w:shd w:val="clear" w:color="auto" w:fill="auto"/>
            <w:vAlign w:val="center"/>
          </w:tcPr>
          <w:p w14:paraId="65D239D2" w14:textId="77777777" w:rsidR="005628C0" w:rsidRPr="000D1E2C" w:rsidRDefault="005628C0" w:rsidP="005628C0">
            <w:pPr>
              <w:ind w:right="57"/>
              <w:jc w:val="right"/>
              <w:rPr>
                <w:sz w:val="18"/>
                <w:szCs w:val="18"/>
              </w:rPr>
            </w:pPr>
            <w:r w:rsidRPr="000D1E2C">
              <w:rPr>
                <w:sz w:val="18"/>
                <w:szCs w:val="18"/>
              </w:rPr>
              <w:t>211</w:t>
            </w:r>
          </w:p>
        </w:tc>
        <w:tc>
          <w:tcPr>
            <w:tcW w:w="6169" w:type="dxa"/>
            <w:tcBorders>
              <w:top w:val="nil"/>
              <w:left w:val="nil"/>
              <w:bottom w:val="nil"/>
              <w:right w:val="single" w:sz="4" w:space="0" w:color="000000" w:themeColor="text1"/>
            </w:tcBorders>
            <w:shd w:val="clear" w:color="auto" w:fill="auto"/>
            <w:vAlign w:val="center"/>
          </w:tcPr>
          <w:p w14:paraId="4D0120D4" w14:textId="77777777" w:rsidR="005628C0" w:rsidRPr="000D1E2C" w:rsidRDefault="005628C0" w:rsidP="005628C0">
            <w:pPr>
              <w:ind w:left="-57"/>
              <w:jc w:val="left"/>
              <w:rPr>
                <w:sz w:val="18"/>
                <w:szCs w:val="18"/>
              </w:rPr>
            </w:pPr>
            <w:r w:rsidRPr="000D1E2C">
              <w:rPr>
                <w:sz w:val="18"/>
                <w:szCs w:val="18"/>
              </w:rPr>
              <w:t xml:space="preserve">Extracción de petróleo y gas </w:t>
            </w:r>
          </w:p>
        </w:tc>
        <w:tc>
          <w:tcPr>
            <w:tcW w:w="1080" w:type="dxa"/>
            <w:tcBorders>
              <w:top w:val="nil"/>
              <w:left w:val="single" w:sz="4" w:space="0" w:color="000000" w:themeColor="text1"/>
              <w:bottom w:val="nil"/>
              <w:right w:val="single" w:sz="4" w:space="0" w:color="000000" w:themeColor="text1"/>
            </w:tcBorders>
            <w:vAlign w:val="center"/>
          </w:tcPr>
          <w:p w14:paraId="5F2BA952" w14:textId="60230755" w:rsidR="005628C0" w:rsidRPr="00D5001D" w:rsidRDefault="005628C0" w:rsidP="005628C0">
            <w:pPr>
              <w:tabs>
                <w:tab w:val="decimal" w:pos="433"/>
              </w:tabs>
              <w:jc w:val="left"/>
              <w:rPr>
                <w:color w:val="000000"/>
                <w:sz w:val="18"/>
                <w:szCs w:val="18"/>
                <w:lang w:eastAsia="es-MX"/>
              </w:rPr>
            </w:pPr>
            <w:r w:rsidRPr="00D5001D">
              <w:rPr>
                <w:color w:val="000000"/>
                <w:sz w:val="18"/>
                <w:szCs w:val="18"/>
              </w:rPr>
              <w:t>-1.8</w:t>
            </w:r>
          </w:p>
        </w:tc>
        <w:tc>
          <w:tcPr>
            <w:tcW w:w="1080" w:type="dxa"/>
            <w:tcBorders>
              <w:top w:val="nil"/>
              <w:left w:val="single" w:sz="4" w:space="0" w:color="000000" w:themeColor="text1"/>
              <w:bottom w:val="nil"/>
              <w:right w:val="double" w:sz="4" w:space="0" w:color="000000" w:themeColor="text1"/>
            </w:tcBorders>
            <w:vAlign w:val="center"/>
          </w:tcPr>
          <w:p w14:paraId="411FEF84" w14:textId="3D041E1A" w:rsidR="005628C0" w:rsidRPr="00D5001D" w:rsidRDefault="005628C0" w:rsidP="005628C0">
            <w:pPr>
              <w:tabs>
                <w:tab w:val="decimal" w:pos="433"/>
              </w:tabs>
              <w:jc w:val="left"/>
              <w:rPr>
                <w:color w:val="000000"/>
                <w:sz w:val="18"/>
                <w:szCs w:val="18"/>
                <w:lang w:eastAsia="es-MX"/>
              </w:rPr>
            </w:pPr>
            <w:r w:rsidRPr="00D5001D">
              <w:rPr>
                <w:color w:val="000000"/>
                <w:sz w:val="18"/>
                <w:szCs w:val="18"/>
              </w:rPr>
              <w:t>-0.8</w:t>
            </w:r>
          </w:p>
        </w:tc>
      </w:tr>
      <w:tr w:rsidR="005628C0" w:rsidRPr="00E464CF" w14:paraId="6FAFBF30" w14:textId="01347E63" w:rsidTr="00331574">
        <w:trPr>
          <w:jc w:val="center"/>
        </w:trPr>
        <w:tc>
          <w:tcPr>
            <w:tcW w:w="694" w:type="dxa"/>
            <w:tcBorders>
              <w:top w:val="nil"/>
              <w:left w:val="double" w:sz="4" w:space="0" w:color="000000" w:themeColor="text1"/>
              <w:bottom w:val="nil"/>
              <w:right w:val="nil"/>
            </w:tcBorders>
            <w:shd w:val="clear" w:color="auto" w:fill="auto"/>
            <w:vAlign w:val="center"/>
          </w:tcPr>
          <w:p w14:paraId="7C369CCA" w14:textId="77777777" w:rsidR="005628C0" w:rsidRPr="000D1E2C" w:rsidRDefault="005628C0" w:rsidP="005628C0">
            <w:pPr>
              <w:ind w:right="57"/>
              <w:jc w:val="right"/>
              <w:rPr>
                <w:sz w:val="18"/>
                <w:szCs w:val="18"/>
              </w:rPr>
            </w:pPr>
            <w:r w:rsidRPr="000D1E2C">
              <w:rPr>
                <w:sz w:val="18"/>
                <w:szCs w:val="18"/>
              </w:rPr>
              <w:t>212</w:t>
            </w:r>
          </w:p>
        </w:tc>
        <w:tc>
          <w:tcPr>
            <w:tcW w:w="6169" w:type="dxa"/>
            <w:tcBorders>
              <w:top w:val="nil"/>
              <w:left w:val="nil"/>
              <w:bottom w:val="nil"/>
              <w:right w:val="single" w:sz="4" w:space="0" w:color="000000" w:themeColor="text1"/>
            </w:tcBorders>
            <w:shd w:val="clear" w:color="auto" w:fill="auto"/>
            <w:vAlign w:val="center"/>
          </w:tcPr>
          <w:p w14:paraId="5629F734" w14:textId="77777777" w:rsidR="005628C0" w:rsidRPr="000D1E2C" w:rsidRDefault="005628C0" w:rsidP="005628C0">
            <w:pPr>
              <w:ind w:left="-57"/>
              <w:jc w:val="left"/>
              <w:rPr>
                <w:sz w:val="18"/>
                <w:szCs w:val="18"/>
              </w:rPr>
            </w:pPr>
            <w:r w:rsidRPr="000D1E2C">
              <w:rPr>
                <w:sz w:val="18"/>
                <w:szCs w:val="18"/>
              </w:rPr>
              <w:t>Minería de minerales metálicos y no metálicos, excepto petróleo y gas</w:t>
            </w:r>
          </w:p>
        </w:tc>
        <w:tc>
          <w:tcPr>
            <w:tcW w:w="1080" w:type="dxa"/>
            <w:tcBorders>
              <w:top w:val="nil"/>
              <w:left w:val="single" w:sz="4" w:space="0" w:color="000000" w:themeColor="text1"/>
              <w:bottom w:val="nil"/>
              <w:right w:val="single" w:sz="4" w:space="0" w:color="000000" w:themeColor="text1"/>
            </w:tcBorders>
            <w:vAlign w:val="center"/>
          </w:tcPr>
          <w:p w14:paraId="3CB5E0F1" w14:textId="5209EE81" w:rsidR="005628C0" w:rsidRPr="00D5001D" w:rsidRDefault="005628C0" w:rsidP="005628C0">
            <w:pPr>
              <w:tabs>
                <w:tab w:val="decimal" w:pos="433"/>
              </w:tabs>
              <w:jc w:val="left"/>
              <w:rPr>
                <w:color w:val="000000"/>
                <w:sz w:val="18"/>
                <w:szCs w:val="18"/>
                <w:lang w:eastAsia="es-MX"/>
              </w:rPr>
            </w:pPr>
            <w:r w:rsidRPr="00D5001D">
              <w:rPr>
                <w:color w:val="000000"/>
                <w:sz w:val="18"/>
                <w:szCs w:val="18"/>
              </w:rPr>
              <w:t>2.5</w:t>
            </w:r>
          </w:p>
        </w:tc>
        <w:tc>
          <w:tcPr>
            <w:tcW w:w="1080" w:type="dxa"/>
            <w:tcBorders>
              <w:top w:val="nil"/>
              <w:left w:val="single" w:sz="4" w:space="0" w:color="000000" w:themeColor="text1"/>
              <w:bottom w:val="nil"/>
              <w:right w:val="double" w:sz="4" w:space="0" w:color="000000" w:themeColor="text1"/>
            </w:tcBorders>
            <w:vAlign w:val="center"/>
          </w:tcPr>
          <w:p w14:paraId="55E150DD" w14:textId="3EF76991" w:rsidR="005628C0" w:rsidRPr="00D5001D" w:rsidRDefault="005628C0" w:rsidP="005628C0">
            <w:pPr>
              <w:tabs>
                <w:tab w:val="decimal" w:pos="433"/>
              </w:tabs>
              <w:jc w:val="left"/>
              <w:rPr>
                <w:color w:val="000000"/>
                <w:sz w:val="18"/>
                <w:szCs w:val="18"/>
                <w:lang w:eastAsia="es-MX"/>
              </w:rPr>
            </w:pPr>
            <w:r w:rsidRPr="00D5001D">
              <w:rPr>
                <w:color w:val="000000"/>
                <w:sz w:val="18"/>
                <w:szCs w:val="18"/>
              </w:rPr>
              <w:t>1.0</w:t>
            </w:r>
          </w:p>
        </w:tc>
      </w:tr>
      <w:tr w:rsidR="005628C0" w:rsidRPr="00E464CF" w14:paraId="434ABB2F" w14:textId="3FE81144" w:rsidTr="00331574">
        <w:trPr>
          <w:jc w:val="center"/>
        </w:trPr>
        <w:tc>
          <w:tcPr>
            <w:tcW w:w="694" w:type="dxa"/>
            <w:tcBorders>
              <w:top w:val="nil"/>
              <w:left w:val="double" w:sz="4" w:space="0" w:color="000000" w:themeColor="text1"/>
              <w:bottom w:val="nil"/>
              <w:right w:val="nil"/>
            </w:tcBorders>
            <w:shd w:val="clear" w:color="auto" w:fill="auto"/>
            <w:vAlign w:val="center"/>
          </w:tcPr>
          <w:p w14:paraId="44467685" w14:textId="77777777" w:rsidR="005628C0" w:rsidRPr="000D1E2C" w:rsidRDefault="005628C0" w:rsidP="005628C0">
            <w:pPr>
              <w:ind w:right="57"/>
              <w:jc w:val="right"/>
              <w:rPr>
                <w:sz w:val="18"/>
                <w:szCs w:val="18"/>
              </w:rPr>
            </w:pPr>
            <w:r w:rsidRPr="000D1E2C">
              <w:rPr>
                <w:sz w:val="18"/>
                <w:szCs w:val="18"/>
              </w:rPr>
              <w:t>213</w:t>
            </w:r>
          </w:p>
        </w:tc>
        <w:tc>
          <w:tcPr>
            <w:tcW w:w="6169" w:type="dxa"/>
            <w:tcBorders>
              <w:top w:val="nil"/>
              <w:left w:val="nil"/>
              <w:bottom w:val="nil"/>
              <w:right w:val="single" w:sz="4" w:space="0" w:color="000000" w:themeColor="text1"/>
            </w:tcBorders>
            <w:shd w:val="clear" w:color="auto" w:fill="auto"/>
            <w:vAlign w:val="center"/>
          </w:tcPr>
          <w:p w14:paraId="5E3D9D50" w14:textId="77777777" w:rsidR="005628C0" w:rsidRPr="000D1E2C" w:rsidRDefault="005628C0" w:rsidP="005628C0">
            <w:pPr>
              <w:ind w:left="-57"/>
              <w:jc w:val="left"/>
              <w:rPr>
                <w:sz w:val="18"/>
                <w:szCs w:val="18"/>
              </w:rPr>
            </w:pPr>
            <w:r w:rsidRPr="000D1E2C">
              <w:rPr>
                <w:sz w:val="18"/>
                <w:szCs w:val="18"/>
              </w:rPr>
              <w:t xml:space="preserve">Servicios relacionados con la minería </w:t>
            </w:r>
          </w:p>
        </w:tc>
        <w:tc>
          <w:tcPr>
            <w:tcW w:w="1080" w:type="dxa"/>
            <w:tcBorders>
              <w:top w:val="nil"/>
              <w:left w:val="single" w:sz="4" w:space="0" w:color="000000" w:themeColor="text1"/>
              <w:bottom w:val="nil"/>
              <w:right w:val="single" w:sz="4" w:space="0" w:color="000000" w:themeColor="text1"/>
            </w:tcBorders>
            <w:vAlign w:val="center"/>
          </w:tcPr>
          <w:p w14:paraId="51F8C649" w14:textId="0E50B201" w:rsidR="005628C0" w:rsidRPr="00D5001D" w:rsidRDefault="005628C0" w:rsidP="005628C0">
            <w:pPr>
              <w:tabs>
                <w:tab w:val="decimal" w:pos="433"/>
              </w:tabs>
              <w:jc w:val="left"/>
              <w:rPr>
                <w:color w:val="000000"/>
                <w:sz w:val="18"/>
                <w:szCs w:val="18"/>
                <w:lang w:eastAsia="es-MX"/>
              </w:rPr>
            </w:pPr>
            <w:r w:rsidRPr="00D5001D">
              <w:rPr>
                <w:color w:val="000000"/>
                <w:sz w:val="18"/>
                <w:szCs w:val="18"/>
              </w:rPr>
              <w:t>-6.3</w:t>
            </w:r>
          </w:p>
        </w:tc>
        <w:tc>
          <w:tcPr>
            <w:tcW w:w="1080" w:type="dxa"/>
            <w:tcBorders>
              <w:top w:val="nil"/>
              <w:left w:val="single" w:sz="4" w:space="0" w:color="000000" w:themeColor="text1"/>
              <w:bottom w:val="nil"/>
              <w:right w:val="double" w:sz="4" w:space="0" w:color="000000" w:themeColor="text1"/>
            </w:tcBorders>
            <w:vAlign w:val="center"/>
          </w:tcPr>
          <w:p w14:paraId="44EB40FC" w14:textId="05F94AF4" w:rsidR="005628C0" w:rsidRPr="00D5001D" w:rsidRDefault="005628C0" w:rsidP="005628C0">
            <w:pPr>
              <w:tabs>
                <w:tab w:val="decimal" w:pos="433"/>
              </w:tabs>
              <w:jc w:val="left"/>
              <w:rPr>
                <w:color w:val="000000"/>
                <w:sz w:val="18"/>
                <w:szCs w:val="18"/>
                <w:lang w:eastAsia="es-MX"/>
              </w:rPr>
            </w:pPr>
            <w:r w:rsidRPr="00D5001D">
              <w:rPr>
                <w:color w:val="000000"/>
                <w:sz w:val="18"/>
                <w:szCs w:val="18"/>
              </w:rPr>
              <w:t>22.4</w:t>
            </w:r>
          </w:p>
        </w:tc>
      </w:tr>
      <w:tr w:rsidR="005628C0" w:rsidRPr="00E464CF" w14:paraId="715C8020" w14:textId="1028D0E0" w:rsidTr="00331574">
        <w:trPr>
          <w:jc w:val="center"/>
        </w:trPr>
        <w:tc>
          <w:tcPr>
            <w:tcW w:w="694" w:type="dxa"/>
            <w:tcBorders>
              <w:top w:val="nil"/>
              <w:left w:val="double" w:sz="4" w:space="0" w:color="000000" w:themeColor="text1"/>
              <w:bottom w:val="nil"/>
              <w:right w:val="nil"/>
            </w:tcBorders>
            <w:shd w:val="clear" w:color="auto" w:fill="auto"/>
          </w:tcPr>
          <w:p w14:paraId="24FBC288" w14:textId="77777777" w:rsidR="005628C0" w:rsidRPr="000D1E2C" w:rsidRDefault="005628C0" w:rsidP="005628C0">
            <w:pPr>
              <w:ind w:right="57"/>
              <w:jc w:val="right"/>
              <w:rPr>
                <w:b/>
                <w:bCs/>
                <w:sz w:val="18"/>
                <w:szCs w:val="18"/>
              </w:rPr>
            </w:pPr>
            <w:r w:rsidRPr="000D1E2C">
              <w:rPr>
                <w:b/>
                <w:bCs/>
                <w:sz w:val="18"/>
                <w:szCs w:val="18"/>
              </w:rPr>
              <w:t>22</w:t>
            </w:r>
          </w:p>
        </w:tc>
        <w:tc>
          <w:tcPr>
            <w:tcW w:w="6169" w:type="dxa"/>
            <w:tcBorders>
              <w:top w:val="nil"/>
              <w:left w:val="nil"/>
              <w:bottom w:val="nil"/>
              <w:right w:val="single" w:sz="4" w:space="0" w:color="000000" w:themeColor="text1"/>
            </w:tcBorders>
            <w:shd w:val="clear" w:color="auto" w:fill="auto"/>
            <w:vAlign w:val="center"/>
          </w:tcPr>
          <w:p w14:paraId="6962A7AE" w14:textId="77777777" w:rsidR="005628C0" w:rsidRPr="000D1E2C" w:rsidRDefault="005628C0" w:rsidP="005628C0">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Generación, transmisión y distribución de energía eléctrica, suministro de agua y de gas por ductos al consumidor final</w:t>
            </w:r>
          </w:p>
        </w:tc>
        <w:tc>
          <w:tcPr>
            <w:tcW w:w="1080" w:type="dxa"/>
            <w:tcBorders>
              <w:top w:val="nil"/>
              <w:left w:val="single" w:sz="4" w:space="0" w:color="000000" w:themeColor="text1"/>
              <w:bottom w:val="nil"/>
              <w:right w:val="single" w:sz="4" w:space="0" w:color="000000" w:themeColor="text1"/>
            </w:tcBorders>
            <w:vAlign w:val="center"/>
          </w:tcPr>
          <w:p w14:paraId="39B2A4D0" w14:textId="769FB798" w:rsidR="005628C0" w:rsidRPr="00D5001D" w:rsidRDefault="005628C0" w:rsidP="005628C0">
            <w:pPr>
              <w:tabs>
                <w:tab w:val="decimal" w:pos="433"/>
              </w:tabs>
              <w:jc w:val="left"/>
              <w:rPr>
                <w:b/>
                <w:bCs/>
                <w:color w:val="000000"/>
                <w:sz w:val="18"/>
                <w:szCs w:val="18"/>
                <w:lang w:eastAsia="es-MX"/>
              </w:rPr>
            </w:pPr>
            <w:r w:rsidRPr="00D5001D">
              <w:rPr>
                <w:b/>
                <w:bCs/>
                <w:color w:val="000000"/>
                <w:sz w:val="18"/>
                <w:szCs w:val="18"/>
              </w:rPr>
              <w:t>2.8</w:t>
            </w:r>
          </w:p>
        </w:tc>
        <w:tc>
          <w:tcPr>
            <w:tcW w:w="1080" w:type="dxa"/>
            <w:tcBorders>
              <w:top w:val="nil"/>
              <w:left w:val="single" w:sz="4" w:space="0" w:color="000000" w:themeColor="text1"/>
              <w:bottom w:val="nil"/>
              <w:right w:val="double" w:sz="4" w:space="0" w:color="000000" w:themeColor="text1"/>
            </w:tcBorders>
            <w:vAlign w:val="center"/>
          </w:tcPr>
          <w:p w14:paraId="08E1E63D" w14:textId="3BA05EC6" w:rsidR="005628C0" w:rsidRPr="00D5001D" w:rsidRDefault="005628C0" w:rsidP="005628C0">
            <w:pPr>
              <w:tabs>
                <w:tab w:val="decimal" w:pos="433"/>
              </w:tabs>
              <w:jc w:val="left"/>
              <w:rPr>
                <w:b/>
                <w:bCs/>
                <w:color w:val="000000"/>
                <w:sz w:val="18"/>
                <w:szCs w:val="18"/>
                <w:lang w:eastAsia="es-MX"/>
              </w:rPr>
            </w:pPr>
            <w:r w:rsidRPr="00D5001D">
              <w:rPr>
                <w:b/>
                <w:bCs/>
                <w:color w:val="000000"/>
                <w:sz w:val="18"/>
                <w:szCs w:val="18"/>
              </w:rPr>
              <w:t>2.2</w:t>
            </w:r>
          </w:p>
        </w:tc>
      </w:tr>
      <w:tr w:rsidR="005628C0" w:rsidRPr="00E464CF" w14:paraId="700F7954" w14:textId="5D4A62DD" w:rsidTr="00331574">
        <w:trPr>
          <w:jc w:val="center"/>
        </w:trPr>
        <w:tc>
          <w:tcPr>
            <w:tcW w:w="694" w:type="dxa"/>
            <w:tcBorders>
              <w:top w:val="nil"/>
              <w:left w:val="double" w:sz="4" w:space="0" w:color="000000" w:themeColor="text1"/>
              <w:bottom w:val="nil"/>
              <w:right w:val="nil"/>
            </w:tcBorders>
            <w:shd w:val="clear" w:color="auto" w:fill="auto"/>
            <w:vAlign w:val="center"/>
          </w:tcPr>
          <w:p w14:paraId="04AC4922" w14:textId="77777777" w:rsidR="005628C0" w:rsidRPr="000D1E2C" w:rsidRDefault="005628C0" w:rsidP="005628C0">
            <w:pPr>
              <w:ind w:right="57"/>
              <w:jc w:val="right"/>
              <w:rPr>
                <w:sz w:val="18"/>
                <w:szCs w:val="18"/>
              </w:rPr>
            </w:pPr>
            <w:r w:rsidRPr="000D1E2C">
              <w:rPr>
                <w:sz w:val="18"/>
                <w:szCs w:val="18"/>
              </w:rPr>
              <w:t>221</w:t>
            </w:r>
          </w:p>
        </w:tc>
        <w:tc>
          <w:tcPr>
            <w:tcW w:w="6169" w:type="dxa"/>
            <w:tcBorders>
              <w:top w:val="nil"/>
              <w:left w:val="nil"/>
              <w:bottom w:val="nil"/>
              <w:right w:val="single" w:sz="4" w:space="0" w:color="000000" w:themeColor="text1"/>
            </w:tcBorders>
            <w:shd w:val="clear" w:color="auto" w:fill="auto"/>
            <w:vAlign w:val="center"/>
          </w:tcPr>
          <w:p w14:paraId="607E5A6B" w14:textId="77777777" w:rsidR="005628C0" w:rsidRPr="000D1E2C" w:rsidRDefault="005628C0" w:rsidP="005628C0">
            <w:pPr>
              <w:ind w:left="-57"/>
              <w:jc w:val="left"/>
              <w:rPr>
                <w:sz w:val="18"/>
                <w:szCs w:val="18"/>
              </w:rPr>
            </w:pPr>
            <w:r w:rsidRPr="000D1E2C">
              <w:rPr>
                <w:sz w:val="18"/>
                <w:szCs w:val="18"/>
              </w:rPr>
              <w:t>Generación, transmisión y distribución de energía eléctrica</w:t>
            </w:r>
          </w:p>
        </w:tc>
        <w:tc>
          <w:tcPr>
            <w:tcW w:w="1080" w:type="dxa"/>
            <w:tcBorders>
              <w:top w:val="nil"/>
              <w:left w:val="single" w:sz="4" w:space="0" w:color="000000" w:themeColor="text1"/>
              <w:bottom w:val="nil"/>
              <w:right w:val="single" w:sz="4" w:space="0" w:color="000000" w:themeColor="text1"/>
            </w:tcBorders>
            <w:vAlign w:val="center"/>
          </w:tcPr>
          <w:p w14:paraId="0D7CC99F" w14:textId="597C0532" w:rsidR="005628C0" w:rsidRPr="00D5001D" w:rsidRDefault="005628C0" w:rsidP="005628C0">
            <w:pPr>
              <w:tabs>
                <w:tab w:val="decimal" w:pos="433"/>
              </w:tabs>
              <w:jc w:val="left"/>
              <w:rPr>
                <w:color w:val="000000"/>
                <w:sz w:val="18"/>
                <w:szCs w:val="18"/>
                <w:lang w:eastAsia="es-MX"/>
              </w:rPr>
            </w:pPr>
            <w:r w:rsidRPr="00D5001D">
              <w:rPr>
                <w:color w:val="000000"/>
                <w:sz w:val="18"/>
                <w:szCs w:val="18"/>
              </w:rPr>
              <w:t>3.1</w:t>
            </w:r>
          </w:p>
        </w:tc>
        <w:tc>
          <w:tcPr>
            <w:tcW w:w="1080" w:type="dxa"/>
            <w:tcBorders>
              <w:top w:val="nil"/>
              <w:left w:val="single" w:sz="4" w:space="0" w:color="000000" w:themeColor="text1"/>
              <w:bottom w:val="nil"/>
              <w:right w:val="double" w:sz="4" w:space="0" w:color="000000" w:themeColor="text1"/>
            </w:tcBorders>
            <w:vAlign w:val="center"/>
          </w:tcPr>
          <w:p w14:paraId="09BF94AD" w14:textId="202667B3" w:rsidR="005628C0" w:rsidRPr="00D5001D" w:rsidRDefault="005628C0" w:rsidP="005628C0">
            <w:pPr>
              <w:tabs>
                <w:tab w:val="decimal" w:pos="433"/>
              </w:tabs>
              <w:jc w:val="left"/>
              <w:rPr>
                <w:color w:val="000000"/>
                <w:sz w:val="18"/>
                <w:szCs w:val="18"/>
                <w:lang w:eastAsia="es-MX"/>
              </w:rPr>
            </w:pPr>
            <w:r w:rsidRPr="00D5001D">
              <w:rPr>
                <w:color w:val="000000"/>
                <w:sz w:val="18"/>
                <w:szCs w:val="18"/>
              </w:rPr>
              <w:t>2.3</w:t>
            </w:r>
          </w:p>
        </w:tc>
      </w:tr>
      <w:tr w:rsidR="005628C0" w:rsidRPr="00E464CF" w14:paraId="325940DF" w14:textId="15B762E7" w:rsidTr="00331574">
        <w:trPr>
          <w:jc w:val="center"/>
        </w:trPr>
        <w:tc>
          <w:tcPr>
            <w:tcW w:w="694" w:type="dxa"/>
            <w:tcBorders>
              <w:top w:val="nil"/>
              <w:left w:val="double" w:sz="4" w:space="0" w:color="000000" w:themeColor="text1"/>
              <w:bottom w:val="nil"/>
              <w:right w:val="nil"/>
            </w:tcBorders>
            <w:shd w:val="clear" w:color="auto" w:fill="auto"/>
            <w:vAlign w:val="center"/>
          </w:tcPr>
          <w:p w14:paraId="1CAE89B3" w14:textId="77777777" w:rsidR="005628C0" w:rsidRPr="000D1E2C" w:rsidRDefault="005628C0" w:rsidP="005628C0">
            <w:pPr>
              <w:ind w:right="57"/>
              <w:jc w:val="right"/>
              <w:rPr>
                <w:sz w:val="18"/>
                <w:szCs w:val="18"/>
              </w:rPr>
            </w:pPr>
            <w:r w:rsidRPr="000D1E2C">
              <w:rPr>
                <w:sz w:val="18"/>
                <w:szCs w:val="18"/>
              </w:rPr>
              <w:t>222</w:t>
            </w:r>
          </w:p>
        </w:tc>
        <w:tc>
          <w:tcPr>
            <w:tcW w:w="6169" w:type="dxa"/>
            <w:tcBorders>
              <w:top w:val="nil"/>
              <w:left w:val="nil"/>
              <w:bottom w:val="nil"/>
              <w:right w:val="single" w:sz="4" w:space="0" w:color="000000" w:themeColor="text1"/>
            </w:tcBorders>
            <w:shd w:val="clear" w:color="auto" w:fill="auto"/>
            <w:vAlign w:val="center"/>
          </w:tcPr>
          <w:p w14:paraId="6EE54701" w14:textId="77777777" w:rsidR="005628C0" w:rsidRPr="000D1E2C" w:rsidRDefault="005628C0" w:rsidP="005628C0">
            <w:pPr>
              <w:ind w:left="-57"/>
              <w:jc w:val="left"/>
              <w:rPr>
                <w:sz w:val="18"/>
                <w:szCs w:val="18"/>
              </w:rPr>
            </w:pPr>
            <w:r w:rsidRPr="000D1E2C">
              <w:rPr>
                <w:sz w:val="18"/>
                <w:szCs w:val="18"/>
              </w:rPr>
              <w:t>Suministro de agua y suministro de gas por ductos al consumidor final</w:t>
            </w:r>
          </w:p>
        </w:tc>
        <w:tc>
          <w:tcPr>
            <w:tcW w:w="1080" w:type="dxa"/>
            <w:tcBorders>
              <w:top w:val="nil"/>
              <w:left w:val="single" w:sz="4" w:space="0" w:color="000000" w:themeColor="text1"/>
              <w:bottom w:val="nil"/>
              <w:right w:val="single" w:sz="4" w:space="0" w:color="000000" w:themeColor="text1"/>
            </w:tcBorders>
            <w:vAlign w:val="center"/>
          </w:tcPr>
          <w:p w14:paraId="12F763FF" w14:textId="043B7569" w:rsidR="005628C0" w:rsidRPr="00D5001D" w:rsidRDefault="005628C0" w:rsidP="005628C0">
            <w:pPr>
              <w:tabs>
                <w:tab w:val="decimal" w:pos="433"/>
              </w:tabs>
              <w:jc w:val="left"/>
              <w:rPr>
                <w:color w:val="000000"/>
                <w:sz w:val="18"/>
                <w:szCs w:val="18"/>
                <w:lang w:eastAsia="es-MX"/>
              </w:rPr>
            </w:pPr>
            <w:r w:rsidRPr="00D5001D">
              <w:rPr>
                <w:color w:val="000000"/>
                <w:sz w:val="18"/>
                <w:szCs w:val="18"/>
              </w:rPr>
              <w:t>1.6</w:t>
            </w:r>
          </w:p>
        </w:tc>
        <w:tc>
          <w:tcPr>
            <w:tcW w:w="1080" w:type="dxa"/>
            <w:tcBorders>
              <w:top w:val="nil"/>
              <w:left w:val="single" w:sz="4" w:space="0" w:color="000000" w:themeColor="text1"/>
              <w:bottom w:val="nil"/>
              <w:right w:val="double" w:sz="4" w:space="0" w:color="000000" w:themeColor="text1"/>
            </w:tcBorders>
            <w:vAlign w:val="center"/>
          </w:tcPr>
          <w:p w14:paraId="3759F848" w14:textId="4A633313" w:rsidR="005628C0" w:rsidRPr="00D5001D" w:rsidRDefault="005628C0" w:rsidP="005628C0">
            <w:pPr>
              <w:tabs>
                <w:tab w:val="decimal" w:pos="433"/>
              </w:tabs>
              <w:jc w:val="left"/>
              <w:rPr>
                <w:color w:val="000000"/>
                <w:sz w:val="18"/>
                <w:szCs w:val="18"/>
                <w:lang w:eastAsia="es-MX"/>
              </w:rPr>
            </w:pPr>
            <w:r w:rsidRPr="00D5001D">
              <w:rPr>
                <w:color w:val="000000"/>
                <w:sz w:val="18"/>
                <w:szCs w:val="18"/>
              </w:rPr>
              <w:t>2.1</w:t>
            </w:r>
          </w:p>
        </w:tc>
      </w:tr>
      <w:tr w:rsidR="005628C0" w:rsidRPr="00E464CF" w14:paraId="0B462D86" w14:textId="1196BD1F" w:rsidTr="00331574">
        <w:trPr>
          <w:trHeight w:val="149"/>
          <w:jc w:val="center"/>
        </w:trPr>
        <w:tc>
          <w:tcPr>
            <w:tcW w:w="694" w:type="dxa"/>
            <w:tcBorders>
              <w:top w:val="nil"/>
              <w:left w:val="double" w:sz="4" w:space="0" w:color="000000" w:themeColor="text1"/>
              <w:bottom w:val="nil"/>
              <w:right w:val="nil"/>
            </w:tcBorders>
            <w:shd w:val="clear" w:color="auto" w:fill="auto"/>
            <w:vAlign w:val="center"/>
          </w:tcPr>
          <w:p w14:paraId="251A70C6" w14:textId="77777777" w:rsidR="005628C0" w:rsidRPr="000D1E2C" w:rsidRDefault="005628C0" w:rsidP="005628C0">
            <w:pPr>
              <w:ind w:right="57"/>
              <w:jc w:val="right"/>
              <w:rPr>
                <w:b/>
                <w:bCs/>
                <w:sz w:val="18"/>
                <w:szCs w:val="18"/>
              </w:rPr>
            </w:pPr>
            <w:r w:rsidRPr="000D1E2C">
              <w:rPr>
                <w:b/>
                <w:bCs/>
                <w:sz w:val="18"/>
                <w:szCs w:val="18"/>
              </w:rPr>
              <w:t>23</w:t>
            </w:r>
          </w:p>
        </w:tc>
        <w:tc>
          <w:tcPr>
            <w:tcW w:w="6169" w:type="dxa"/>
            <w:tcBorders>
              <w:top w:val="nil"/>
              <w:left w:val="nil"/>
              <w:bottom w:val="nil"/>
              <w:right w:val="single" w:sz="4" w:space="0" w:color="000000" w:themeColor="text1"/>
            </w:tcBorders>
            <w:shd w:val="clear" w:color="auto" w:fill="auto"/>
            <w:vAlign w:val="center"/>
          </w:tcPr>
          <w:p w14:paraId="02651388" w14:textId="77777777" w:rsidR="005628C0" w:rsidRPr="000D1E2C" w:rsidRDefault="005628C0" w:rsidP="005628C0">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Construcción</w:t>
            </w:r>
          </w:p>
        </w:tc>
        <w:tc>
          <w:tcPr>
            <w:tcW w:w="1080" w:type="dxa"/>
            <w:tcBorders>
              <w:top w:val="nil"/>
              <w:left w:val="single" w:sz="4" w:space="0" w:color="000000" w:themeColor="text1"/>
              <w:bottom w:val="nil"/>
              <w:right w:val="single" w:sz="4" w:space="0" w:color="000000" w:themeColor="text1"/>
            </w:tcBorders>
            <w:vAlign w:val="center"/>
          </w:tcPr>
          <w:p w14:paraId="7377267C" w14:textId="2E004C96" w:rsidR="005628C0" w:rsidRPr="00D5001D" w:rsidRDefault="005628C0" w:rsidP="005628C0">
            <w:pPr>
              <w:tabs>
                <w:tab w:val="decimal" w:pos="433"/>
              </w:tabs>
              <w:jc w:val="left"/>
              <w:rPr>
                <w:color w:val="000000"/>
                <w:sz w:val="18"/>
                <w:szCs w:val="18"/>
                <w:lang w:eastAsia="es-MX"/>
              </w:rPr>
            </w:pPr>
            <w:r w:rsidRPr="00D5001D">
              <w:rPr>
                <w:b/>
                <w:bCs/>
                <w:color w:val="000000"/>
                <w:sz w:val="18"/>
                <w:szCs w:val="18"/>
              </w:rPr>
              <w:t>3.0</w:t>
            </w:r>
          </w:p>
        </w:tc>
        <w:tc>
          <w:tcPr>
            <w:tcW w:w="1080" w:type="dxa"/>
            <w:tcBorders>
              <w:top w:val="nil"/>
              <w:left w:val="single" w:sz="4" w:space="0" w:color="000000" w:themeColor="text1"/>
              <w:bottom w:val="nil"/>
              <w:right w:val="double" w:sz="4" w:space="0" w:color="000000" w:themeColor="text1"/>
            </w:tcBorders>
            <w:vAlign w:val="center"/>
          </w:tcPr>
          <w:p w14:paraId="5EE2155E" w14:textId="75FB3DE2" w:rsidR="005628C0" w:rsidRPr="00D5001D" w:rsidRDefault="005628C0" w:rsidP="005628C0">
            <w:pPr>
              <w:tabs>
                <w:tab w:val="decimal" w:pos="433"/>
              </w:tabs>
              <w:jc w:val="left"/>
              <w:rPr>
                <w:b/>
                <w:color w:val="000000"/>
                <w:sz w:val="18"/>
                <w:szCs w:val="18"/>
                <w:lang w:eastAsia="es-MX"/>
              </w:rPr>
            </w:pPr>
            <w:r w:rsidRPr="00D5001D">
              <w:rPr>
                <w:b/>
                <w:bCs/>
                <w:color w:val="000000"/>
                <w:sz w:val="18"/>
                <w:szCs w:val="18"/>
              </w:rPr>
              <w:t>-0.1</w:t>
            </w:r>
          </w:p>
        </w:tc>
      </w:tr>
      <w:tr w:rsidR="005628C0" w:rsidRPr="00E464CF" w14:paraId="4E83D059" w14:textId="225A9F73" w:rsidTr="00331574">
        <w:trPr>
          <w:jc w:val="center"/>
        </w:trPr>
        <w:tc>
          <w:tcPr>
            <w:tcW w:w="694" w:type="dxa"/>
            <w:tcBorders>
              <w:top w:val="nil"/>
              <w:left w:val="double" w:sz="4" w:space="0" w:color="000000" w:themeColor="text1"/>
              <w:bottom w:val="nil"/>
              <w:right w:val="nil"/>
            </w:tcBorders>
            <w:shd w:val="clear" w:color="auto" w:fill="auto"/>
            <w:vAlign w:val="center"/>
          </w:tcPr>
          <w:p w14:paraId="1E4D1ADD" w14:textId="77777777" w:rsidR="005628C0" w:rsidRPr="000D1E2C" w:rsidRDefault="005628C0" w:rsidP="005628C0">
            <w:pPr>
              <w:ind w:right="57"/>
              <w:jc w:val="right"/>
              <w:rPr>
                <w:sz w:val="18"/>
                <w:szCs w:val="18"/>
              </w:rPr>
            </w:pPr>
            <w:r w:rsidRPr="000D1E2C">
              <w:rPr>
                <w:sz w:val="18"/>
                <w:szCs w:val="18"/>
              </w:rPr>
              <w:t>236</w:t>
            </w:r>
          </w:p>
        </w:tc>
        <w:tc>
          <w:tcPr>
            <w:tcW w:w="6169" w:type="dxa"/>
            <w:tcBorders>
              <w:top w:val="nil"/>
              <w:left w:val="nil"/>
              <w:bottom w:val="nil"/>
              <w:right w:val="single" w:sz="4" w:space="0" w:color="000000" w:themeColor="text1"/>
            </w:tcBorders>
            <w:shd w:val="clear" w:color="auto" w:fill="auto"/>
            <w:vAlign w:val="center"/>
          </w:tcPr>
          <w:p w14:paraId="0F0C5812" w14:textId="77777777" w:rsidR="005628C0" w:rsidRPr="000D1E2C" w:rsidRDefault="005628C0" w:rsidP="005628C0">
            <w:pPr>
              <w:ind w:left="-57"/>
              <w:jc w:val="left"/>
              <w:rPr>
                <w:sz w:val="18"/>
                <w:szCs w:val="18"/>
              </w:rPr>
            </w:pPr>
            <w:r w:rsidRPr="000D1E2C">
              <w:rPr>
                <w:sz w:val="18"/>
                <w:szCs w:val="18"/>
              </w:rPr>
              <w:t xml:space="preserve">Edificación </w:t>
            </w:r>
          </w:p>
        </w:tc>
        <w:tc>
          <w:tcPr>
            <w:tcW w:w="1080" w:type="dxa"/>
            <w:tcBorders>
              <w:top w:val="nil"/>
              <w:left w:val="single" w:sz="4" w:space="0" w:color="000000" w:themeColor="text1"/>
              <w:bottom w:val="nil"/>
              <w:right w:val="single" w:sz="4" w:space="0" w:color="000000" w:themeColor="text1"/>
            </w:tcBorders>
            <w:vAlign w:val="center"/>
          </w:tcPr>
          <w:p w14:paraId="1E318C9E" w14:textId="3B40F248"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3.9</w:t>
            </w:r>
          </w:p>
        </w:tc>
        <w:tc>
          <w:tcPr>
            <w:tcW w:w="1080" w:type="dxa"/>
            <w:tcBorders>
              <w:top w:val="nil"/>
              <w:left w:val="single" w:sz="4" w:space="0" w:color="000000" w:themeColor="text1"/>
              <w:bottom w:val="nil"/>
              <w:right w:val="double" w:sz="4" w:space="0" w:color="000000" w:themeColor="text1"/>
            </w:tcBorders>
            <w:vAlign w:val="center"/>
          </w:tcPr>
          <w:p w14:paraId="09A3D2A0" w14:textId="0E682F3A"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-1.8</w:t>
            </w:r>
          </w:p>
        </w:tc>
      </w:tr>
      <w:tr w:rsidR="005628C0" w:rsidRPr="00E464CF" w14:paraId="7E5A8038" w14:textId="6CD4016A" w:rsidTr="00331574">
        <w:trPr>
          <w:jc w:val="center"/>
        </w:trPr>
        <w:tc>
          <w:tcPr>
            <w:tcW w:w="694" w:type="dxa"/>
            <w:tcBorders>
              <w:top w:val="nil"/>
              <w:left w:val="double" w:sz="4" w:space="0" w:color="000000" w:themeColor="text1"/>
              <w:bottom w:val="nil"/>
              <w:right w:val="nil"/>
            </w:tcBorders>
            <w:vAlign w:val="center"/>
          </w:tcPr>
          <w:p w14:paraId="31DCCD5C" w14:textId="77777777" w:rsidR="005628C0" w:rsidRPr="000D1E2C" w:rsidRDefault="005628C0" w:rsidP="005628C0">
            <w:pPr>
              <w:ind w:right="57"/>
              <w:jc w:val="right"/>
              <w:rPr>
                <w:sz w:val="18"/>
                <w:szCs w:val="18"/>
              </w:rPr>
            </w:pPr>
            <w:r w:rsidRPr="000D1E2C">
              <w:rPr>
                <w:sz w:val="18"/>
                <w:szCs w:val="18"/>
              </w:rPr>
              <w:t>237</w:t>
            </w:r>
          </w:p>
        </w:tc>
        <w:tc>
          <w:tcPr>
            <w:tcW w:w="6169" w:type="dxa"/>
            <w:tcBorders>
              <w:top w:val="nil"/>
              <w:left w:val="nil"/>
              <w:bottom w:val="nil"/>
              <w:right w:val="single" w:sz="4" w:space="0" w:color="000000" w:themeColor="text1"/>
            </w:tcBorders>
            <w:shd w:val="clear" w:color="auto" w:fill="auto"/>
            <w:vAlign w:val="center"/>
          </w:tcPr>
          <w:p w14:paraId="7EBF12E4" w14:textId="77777777" w:rsidR="005628C0" w:rsidRPr="000D1E2C" w:rsidRDefault="005628C0" w:rsidP="005628C0">
            <w:pPr>
              <w:ind w:left="-57"/>
              <w:jc w:val="left"/>
              <w:rPr>
                <w:sz w:val="18"/>
                <w:szCs w:val="18"/>
              </w:rPr>
            </w:pPr>
            <w:r w:rsidRPr="000D1E2C">
              <w:rPr>
                <w:sz w:val="18"/>
                <w:szCs w:val="18"/>
              </w:rPr>
              <w:t>Construcción de obras de ingeniería civil</w:t>
            </w:r>
          </w:p>
        </w:tc>
        <w:tc>
          <w:tcPr>
            <w:tcW w:w="1080" w:type="dxa"/>
            <w:tcBorders>
              <w:top w:val="nil"/>
              <w:left w:val="single" w:sz="4" w:space="0" w:color="000000" w:themeColor="text1"/>
              <w:bottom w:val="nil"/>
              <w:right w:val="single" w:sz="4" w:space="0" w:color="000000" w:themeColor="text1"/>
            </w:tcBorders>
            <w:vAlign w:val="center"/>
          </w:tcPr>
          <w:p w14:paraId="1F579BF7" w14:textId="7B640427"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0.4</w:t>
            </w:r>
          </w:p>
        </w:tc>
        <w:tc>
          <w:tcPr>
            <w:tcW w:w="1080" w:type="dxa"/>
            <w:tcBorders>
              <w:top w:val="nil"/>
              <w:left w:val="single" w:sz="4" w:space="0" w:color="000000" w:themeColor="text1"/>
              <w:bottom w:val="nil"/>
              <w:right w:val="double" w:sz="4" w:space="0" w:color="000000" w:themeColor="text1"/>
            </w:tcBorders>
            <w:vAlign w:val="center"/>
          </w:tcPr>
          <w:p w14:paraId="1C472FAE" w14:textId="6D4A047B"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4.0</w:t>
            </w:r>
          </w:p>
        </w:tc>
      </w:tr>
      <w:tr w:rsidR="005628C0" w:rsidRPr="00E464CF" w14:paraId="007B850D" w14:textId="71FCD689" w:rsidTr="00331574">
        <w:trPr>
          <w:jc w:val="center"/>
        </w:trPr>
        <w:tc>
          <w:tcPr>
            <w:tcW w:w="694" w:type="dxa"/>
            <w:tcBorders>
              <w:top w:val="nil"/>
              <w:left w:val="double" w:sz="4" w:space="0" w:color="000000" w:themeColor="text1"/>
              <w:bottom w:val="nil"/>
              <w:right w:val="nil"/>
            </w:tcBorders>
            <w:vAlign w:val="center"/>
          </w:tcPr>
          <w:p w14:paraId="70F5D76F" w14:textId="77777777" w:rsidR="005628C0" w:rsidRPr="000D1E2C" w:rsidRDefault="005628C0" w:rsidP="005628C0">
            <w:pPr>
              <w:ind w:right="57"/>
              <w:jc w:val="right"/>
              <w:rPr>
                <w:sz w:val="18"/>
                <w:szCs w:val="18"/>
              </w:rPr>
            </w:pPr>
            <w:r w:rsidRPr="000D1E2C">
              <w:rPr>
                <w:sz w:val="18"/>
                <w:szCs w:val="18"/>
              </w:rPr>
              <w:t>238</w:t>
            </w:r>
          </w:p>
        </w:tc>
        <w:tc>
          <w:tcPr>
            <w:tcW w:w="6169" w:type="dxa"/>
            <w:tcBorders>
              <w:top w:val="nil"/>
              <w:left w:val="nil"/>
              <w:bottom w:val="nil"/>
              <w:right w:val="single" w:sz="4" w:space="0" w:color="000000" w:themeColor="text1"/>
            </w:tcBorders>
            <w:shd w:val="clear" w:color="auto" w:fill="auto"/>
            <w:vAlign w:val="center"/>
          </w:tcPr>
          <w:p w14:paraId="2256AE3E" w14:textId="77777777" w:rsidR="005628C0" w:rsidRPr="000D1E2C" w:rsidRDefault="005628C0" w:rsidP="005628C0">
            <w:pPr>
              <w:ind w:left="-57"/>
              <w:jc w:val="left"/>
              <w:rPr>
                <w:sz w:val="18"/>
                <w:szCs w:val="18"/>
              </w:rPr>
            </w:pPr>
            <w:r w:rsidRPr="000D1E2C">
              <w:rPr>
                <w:sz w:val="18"/>
                <w:szCs w:val="18"/>
              </w:rPr>
              <w:t xml:space="preserve">Trabajos especializados para la construcción </w:t>
            </w:r>
          </w:p>
        </w:tc>
        <w:tc>
          <w:tcPr>
            <w:tcW w:w="1080" w:type="dxa"/>
            <w:tcBorders>
              <w:top w:val="nil"/>
              <w:left w:val="single" w:sz="4" w:space="0" w:color="000000" w:themeColor="text1"/>
              <w:bottom w:val="nil"/>
              <w:right w:val="single" w:sz="4" w:space="0" w:color="000000" w:themeColor="text1"/>
            </w:tcBorders>
            <w:vAlign w:val="center"/>
          </w:tcPr>
          <w:p w14:paraId="4EBC0BF0" w14:textId="6DC45531"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1.7</w:t>
            </w:r>
          </w:p>
        </w:tc>
        <w:tc>
          <w:tcPr>
            <w:tcW w:w="1080" w:type="dxa"/>
            <w:tcBorders>
              <w:top w:val="nil"/>
              <w:left w:val="single" w:sz="4" w:space="0" w:color="000000" w:themeColor="text1"/>
              <w:bottom w:val="nil"/>
              <w:right w:val="double" w:sz="4" w:space="0" w:color="000000" w:themeColor="text1"/>
            </w:tcBorders>
            <w:vAlign w:val="center"/>
          </w:tcPr>
          <w:p w14:paraId="0BBF4C0B" w14:textId="0F49D84A"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3.6</w:t>
            </w:r>
          </w:p>
        </w:tc>
      </w:tr>
      <w:tr w:rsidR="005628C0" w:rsidRPr="00E464CF" w14:paraId="479B3A6B" w14:textId="44D508A7" w:rsidTr="00331574">
        <w:trPr>
          <w:jc w:val="center"/>
        </w:trPr>
        <w:tc>
          <w:tcPr>
            <w:tcW w:w="694" w:type="dxa"/>
            <w:tcBorders>
              <w:top w:val="nil"/>
              <w:left w:val="double" w:sz="4" w:space="0" w:color="000000" w:themeColor="text1"/>
              <w:bottom w:val="nil"/>
              <w:right w:val="nil"/>
            </w:tcBorders>
            <w:shd w:val="clear" w:color="auto" w:fill="auto"/>
            <w:vAlign w:val="center"/>
          </w:tcPr>
          <w:p w14:paraId="1DABE7EA" w14:textId="77777777" w:rsidR="005628C0" w:rsidRPr="000D1E2C" w:rsidRDefault="005628C0" w:rsidP="005628C0">
            <w:pPr>
              <w:ind w:right="57"/>
              <w:jc w:val="right"/>
              <w:rPr>
                <w:b/>
                <w:bCs/>
                <w:sz w:val="18"/>
                <w:szCs w:val="18"/>
              </w:rPr>
            </w:pPr>
            <w:r w:rsidRPr="000D1E2C">
              <w:rPr>
                <w:b/>
                <w:bCs/>
                <w:sz w:val="18"/>
                <w:szCs w:val="18"/>
              </w:rPr>
              <w:t>31-33</w:t>
            </w:r>
          </w:p>
        </w:tc>
        <w:tc>
          <w:tcPr>
            <w:tcW w:w="6169" w:type="dxa"/>
            <w:tcBorders>
              <w:top w:val="nil"/>
              <w:left w:val="nil"/>
              <w:bottom w:val="nil"/>
              <w:right w:val="single" w:sz="4" w:space="0" w:color="000000" w:themeColor="text1"/>
            </w:tcBorders>
            <w:shd w:val="clear" w:color="auto" w:fill="auto"/>
            <w:vAlign w:val="center"/>
          </w:tcPr>
          <w:p w14:paraId="66ECCB95" w14:textId="77777777" w:rsidR="005628C0" w:rsidRPr="000D1E2C" w:rsidRDefault="005628C0" w:rsidP="005628C0">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Industrias manufactureras</w:t>
            </w:r>
          </w:p>
        </w:tc>
        <w:tc>
          <w:tcPr>
            <w:tcW w:w="1080" w:type="dxa"/>
            <w:tcBorders>
              <w:top w:val="nil"/>
              <w:left w:val="single" w:sz="4" w:space="0" w:color="000000" w:themeColor="text1"/>
              <w:bottom w:val="nil"/>
              <w:right w:val="single" w:sz="4" w:space="0" w:color="000000" w:themeColor="text1"/>
            </w:tcBorders>
            <w:vAlign w:val="center"/>
          </w:tcPr>
          <w:p w14:paraId="171A5CA1" w14:textId="0274582F" w:rsidR="005628C0" w:rsidRPr="00D5001D" w:rsidRDefault="005628C0" w:rsidP="005628C0">
            <w:pPr>
              <w:tabs>
                <w:tab w:val="decimal" w:pos="433"/>
              </w:tabs>
              <w:jc w:val="left"/>
              <w:rPr>
                <w:b/>
                <w:bCs/>
                <w:color w:val="000000"/>
                <w:sz w:val="18"/>
                <w:szCs w:val="18"/>
                <w:lang w:eastAsia="es-MX"/>
              </w:rPr>
            </w:pPr>
            <w:r w:rsidRPr="00D5001D">
              <w:rPr>
                <w:b/>
                <w:bCs/>
                <w:color w:val="000000"/>
                <w:sz w:val="18"/>
                <w:szCs w:val="18"/>
              </w:rPr>
              <w:t>3.6</w:t>
            </w:r>
          </w:p>
        </w:tc>
        <w:tc>
          <w:tcPr>
            <w:tcW w:w="1080" w:type="dxa"/>
            <w:tcBorders>
              <w:top w:val="nil"/>
              <w:left w:val="single" w:sz="4" w:space="0" w:color="000000" w:themeColor="text1"/>
              <w:bottom w:val="nil"/>
              <w:right w:val="double" w:sz="4" w:space="0" w:color="000000" w:themeColor="text1"/>
            </w:tcBorders>
            <w:vAlign w:val="center"/>
          </w:tcPr>
          <w:p w14:paraId="3BB9D386" w14:textId="26C64543" w:rsidR="005628C0" w:rsidRPr="00D5001D" w:rsidRDefault="005628C0" w:rsidP="005628C0">
            <w:pPr>
              <w:tabs>
                <w:tab w:val="decimal" w:pos="433"/>
              </w:tabs>
              <w:jc w:val="left"/>
              <w:rPr>
                <w:b/>
                <w:bCs/>
                <w:color w:val="000000"/>
                <w:sz w:val="18"/>
                <w:szCs w:val="18"/>
                <w:lang w:eastAsia="es-MX"/>
              </w:rPr>
            </w:pPr>
            <w:r w:rsidRPr="00D5001D">
              <w:rPr>
                <w:b/>
                <w:bCs/>
                <w:color w:val="000000"/>
                <w:sz w:val="18"/>
                <w:szCs w:val="18"/>
              </w:rPr>
              <w:t>4.7</w:t>
            </w:r>
          </w:p>
        </w:tc>
      </w:tr>
      <w:tr w:rsidR="005628C0" w:rsidRPr="00E464CF" w14:paraId="3AF7EF1A" w14:textId="62F481E3" w:rsidTr="00331574">
        <w:trPr>
          <w:jc w:val="center"/>
        </w:trPr>
        <w:tc>
          <w:tcPr>
            <w:tcW w:w="694" w:type="dxa"/>
            <w:tcBorders>
              <w:top w:val="nil"/>
              <w:left w:val="double" w:sz="4" w:space="0" w:color="000000" w:themeColor="text1"/>
              <w:bottom w:val="nil"/>
              <w:right w:val="nil"/>
            </w:tcBorders>
            <w:vAlign w:val="center"/>
          </w:tcPr>
          <w:p w14:paraId="291CF337" w14:textId="77777777" w:rsidR="005628C0" w:rsidRPr="000D1E2C" w:rsidRDefault="005628C0" w:rsidP="005628C0">
            <w:pPr>
              <w:ind w:right="57"/>
              <w:jc w:val="right"/>
              <w:rPr>
                <w:sz w:val="18"/>
                <w:szCs w:val="18"/>
              </w:rPr>
            </w:pPr>
            <w:r w:rsidRPr="000D1E2C">
              <w:rPr>
                <w:sz w:val="18"/>
                <w:szCs w:val="18"/>
              </w:rPr>
              <w:t>311</w:t>
            </w:r>
          </w:p>
        </w:tc>
        <w:tc>
          <w:tcPr>
            <w:tcW w:w="6169" w:type="dxa"/>
            <w:tcBorders>
              <w:top w:val="nil"/>
              <w:left w:val="nil"/>
              <w:bottom w:val="nil"/>
              <w:right w:val="single" w:sz="4" w:space="0" w:color="000000" w:themeColor="text1"/>
            </w:tcBorders>
            <w:shd w:val="clear" w:color="auto" w:fill="auto"/>
            <w:vAlign w:val="center"/>
          </w:tcPr>
          <w:p w14:paraId="56AB3E60" w14:textId="77777777" w:rsidR="005628C0" w:rsidRPr="000D1E2C" w:rsidRDefault="005628C0" w:rsidP="005628C0">
            <w:pPr>
              <w:ind w:left="-57"/>
              <w:jc w:val="left"/>
              <w:rPr>
                <w:sz w:val="18"/>
                <w:szCs w:val="18"/>
              </w:rPr>
            </w:pPr>
            <w:r w:rsidRPr="000D1E2C">
              <w:rPr>
                <w:sz w:val="18"/>
                <w:szCs w:val="18"/>
              </w:rPr>
              <w:t xml:space="preserve">Industria alimentaria </w:t>
            </w:r>
          </w:p>
        </w:tc>
        <w:tc>
          <w:tcPr>
            <w:tcW w:w="1080" w:type="dxa"/>
            <w:tcBorders>
              <w:top w:val="nil"/>
              <w:left w:val="single" w:sz="4" w:space="0" w:color="000000" w:themeColor="text1"/>
              <w:bottom w:val="nil"/>
              <w:right w:val="single" w:sz="4" w:space="0" w:color="000000" w:themeColor="text1"/>
            </w:tcBorders>
            <w:vAlign w:val="center"/>
          </w:tcPr>
          <w:p w14:paraId="2EB05F51" w14:textId="56D9532B"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2.9</w:t>
            </w:r>
          </w:p>
        </w:tc>
        <w:tc>
          <w:tcPr>
            <w:tcW w:w="1080" w:type="dxa"/>
            <w:tcBorders>
              <w:top w:val="nil"/>
              <w:left w:val="single" w:sz="4" w:space="0" w:color="000000" w:themeColor="text1"/>
              <w:bottom w:val="nil"/>
              <w:right w:val="double" w:sz="4" w:space="0" w:color="000000" w:themeColor="text1"/>
            </w:tcBorders>
            <w:vAlign w:val="center"/>
          </w:tcPr>
          <w:p w14:paraId="5927C2DF" w14:textId="227E3E0E"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3.1</w:t>
            </w:r>
          </w:p>
        </w:tc>
      </w:tr>
      <w:tr w:rsidR="005628C0" w:rsidRPr="00E464CF" w14:paraId="0B0BE450" w14:textId="656BC3F2" w:rsidTr="00331574">
        <w:trPr>
          <w:jc w:val="center"/>
        </w:trPr>
        <w:tc>
          <w:tcPr>
            <w:tcW w:w="694" w:type="dxa"/>
            <w:tcBorders>
              <w:top w:val="nil"/>
              <w:left w:val="double" w:sz="4" w:space="0" w:color="000000" w:themeColor="text1"/>
              <w:bottom w:val="nil"/>
              <w:right w:val="nil"/>
            </w:tcBorders>
            <w:vAlign w:val="center"/>
          </w:tcPr>
          <w:p w14:paraId="549C7DE8" w14:textId="77777777" w:rsidR="005628C0" w:rsidRPr="000D1E2C" w:rsidRDefault="005628C0" w:rsidP="005628C0">
            <w:pPr>
              <w:ind w:right="57"/>
              <w:jc w:val="right"/>
              <w:rPr>
                <w:sz w:val="18"/>
                <w:szCs w:val="18"/>
              </w:rPr>
            </w:pPr>
            <w:r w:rsidRPr="000D1E2C">
              <w:rPr>
                <w:sz w:val="18"/>
                <w:szCs w:val="18"/>
              </w:rPr>
              <w:t>312</w:t>
            </w:r>
          </w:p>
        </w:tc>
        <w:tc>
          <w:tcPr>
            <w:tcW w:w="6169" w:type="dxa"/>
            <w:tcBorders>
              <w:top w:val="nil"/>
              <w:left w:val="nil"/>
              <w:bottom w:val="nil"/>
              <w:right w:val="single" w:sz="4" w:space="0" w:color="000000" w:themeColor="text1"/>
            </w:tcBorders>
            <w:shd w:val="clear" w:color="auto" w:fill="auto"/>
            <w:vAlign w:val="center"/>
          </w:tcPr>
          <w:p w14:paraId="12970660" w14:textId="77777777" w:rsidR="005628C0" w:rsidRPr="000D1E2C" w:rsidRDefault="005628C0" w:rsidP="005628C0">
            <w:pPr>
              <w:ind w:left="-57"/>
              <w:jc w:val="left"/>
              <w:rPr>
                <w:sz w:val="18"/>
                <w:szCs w:val="18"/>
              </w:rPr>
            </w:pPr>
            <w:r w:rsidRPr="000D1E2C">
              <w:rPr>
                <w:sz w:val="18"/>
                <w:szCs w:val="18"/>
              </w:rPr>
              <w:t xml:space="preserve">Industria de las bebidas y del tabaco </w:t>
            </w:r>
          </w:p>
        </w:tc>
        <w:tc>
          <w:tcPr>
            <w:tcW w:w="1080" w:type="dxa"/>
            <w:tcBorders>
              <w:top w:val="nil"/>
              <w:left w:val="single" w:sz="4" w:space="0" w:color="000000" w:themeColor="text1"/>
              <w:bottom w:val="nil"/>
              <w:right w:val="single" w:sz="4" w:space="0" w:color="000000" w:themeColor="text1"/>
            </w:tcBorders>
            <w:vAlign w:val="center"/>
          </w:tcPr>
          <w:p w14:paraId="63713AC2" w14:textId="5E7C66EB"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5.4</w:t>
            </w:r>
          </w:p>
        </w:tc>
        <w:tc>
          <w:tcPr>
            <w:tcW w:w="1080" w:type="dxa"/>
            <w:tcBorders>
              <w:top w:val="nil"/>
              <w:left w:val="single" w:sz="4" w:space="0" w:color="000000" w:themeColor="text1"/>
              <w:bottom w:val="nil"/>
              <w:right w:val="double" w:sz="4" w:space="0" w:color="000000" w:themeColor="text1"/>
            </w:tcBorders>
            <w:vAlign w:val="center"/>
          </w:tcPr>
          <w:p w14:paraId="7248FA12" w14:textId="2D4D48DF"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7.8</w:t>
            </w:r>
          </w:p>
        </w:tc>
      </w:tr>
      <w:tr w:rsidR="005628C0" w:rsidRPr="00E464CF" w14:paraId="4AA768BA" w14:textId="74AE789A" w:rsidTr="00331574">
        <w:trPr>
          <w:jc w:val="center"/>
        </w:trPr>
        <w:tc>
          <w:tcPr>
            <w:tcW w:w="694" w:type="dxa"/>
            <w:tcBorders>
              <w:top w:val="nil"/>
              <w:left w:val="double" w:sz="4" w:space="0" w:color="000000" w:themeColor="text1"/>
              <w:bottom w:val="nil"/>
              <w:right w:val="nil"/>
            </w:tcBorders>
            <w:vAlign w:val="center"/>
          </w:tcPr>
          <w:p w14:paraId="6242752D" w14:textId="77777777" w:rsidR="005628C0" w:rsidRPr="000D1E2C" w:rsidRDefault="005628C0" w:rsidP="005628C0">
            <w:pPr>
              <w:ind w:right="57"/>
              <w:jc w:val="right"/>
              <w:rPr>
                <w:sz w:val="18"/>
                <w:szCs w:val="18"/>
              </w:rPr>
            </w:pPr>
            <w:r w:rsidRPr="000D1E2C">
              <w:rPr>
                <w:sz w:val="18"/>
                <w:szCs w:val="18"/>
              </w:rPr>
              <w:t>313</w:t>
            </w:r>
          </w:p>
        </w:tc>
        <w:tc>
          <w:tcPr>
            <w:tcW w:w="6169" w:type="dxa"/>
            <w:tcBorders>
              <w:top w:val="nil"/>
              <w:left w:val="nil"/>
              <w:bottom w:val="nil"/>
              <w:right w:val="single" w:sz="4" w:space="0" w:color="000000" w:themeColor="text1"/>
            </w:tcBorders>
            <w:shd w:val="clear" w:color="auto" w:fill="auto"/>
            <w:vAlign w:val="center"/>
          </w:tcPr>
          <w:p w14:paraId="2A962E51" w14:textId="77777777" w:rsidR="005628C0" w:rsidRPr="000D1E2C" w:rsidRDefault="005628C0" w:rsidP="005628C0">
            <w:pPr>
              <w:ind w:left="-57"/>
              <w:jc w:val="left"/>
              <w:rPr>
                <w:sz w:val="18"/>
                <w:szCs w:val="18"/>
              </w:rPr>
            </w:pPr>
            <w:r w:rsidRPr="000D1E2C">
              <w:rPr>
                <w:sz w:val="18"/>
                <w:szCs w:val="18"/>
              </w:rPr>
              <w:t>Fabricación de insumos textiles y acabado de textiles</w:t>
            </w:r>
          </w:p>
        </w:tc>
        <w:tc>
          <w:tcPr>
            <w:tcW w:w="1080" w:type="dxa"/>
            <w:tcBorders>
              <w:top w:val="nil"/>
              <w:left w:val="single" w:sz="4" w:space="0" w:color="000000" w:themeColor="text1"/>
              <w:bottom w:val="nil"/>
              <w:right w:val="single" w:sz="4" w:space="0" w:color="000000" w:themeColor="text1"/>
            </w:tcBorders>
            <w:vAlign w:val="center"/>
          </w:tcPr>
          <w:p w14:paraId="28D14486" w14:textId="3EEE6D95"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9.4</w:t>
            </w:r>
          </w:p>
        </w:tc>
        <w:tc>
          <w:tcPr>
            <w:tcW w:w="1080" w:type="dxa"/>
            <w:tcBorders>
              <w:top w:val="nil"/>
              <w:left w:val="single" w:sz="4" w:space="0" w:color="000000" w:themeColor="text1"/>
              <w:bottom w:val="nil"/>
              <w:right w:val="double" w:sz="4" w:space="0" w:color="000000" w:themeColor="text1"/>
            </w:tcBorders>
            <w:vAlign w:val="center"/>
          </w:tcPr>
          <w:p w14:paraId="645593B8" w14:textId="315F9391"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12.8</w:t>
            </w:r>
          </w:p>
        </w:tc>
      </w:tr>
      <w:tr w:rsidR="005628C0" w:rsidRPr="00E464CF" w14:paraId="33BE297E" w14:textId="4210E9B6" w:rsidTr="00331574">
        <w:trPr>
          <w:jc w:val="center"/>
        </w:trPr>
        <w:tc>
          <w:tcPr>
            <w:tcW w:w="694" w:type="dxa"/>
            <w:tcBorders>
              <w:top w:val="nil"/>
              <w:left w:val="double" w:sz="4" w:space="0" w:color="000000" w:themeColor="text1"/>
              <w:bottom w:val="nil"/>
              <w:right w:val="nil"/>
            </w:tcBorders>
            <w:vAlign w:val="center"/>
          </w:tcPr>
          <w:p w14:paraId="136992B9" w14:textId="77777777" w:rsidR="005628C0" w:rsidRPr="000D1E2C" w:rsidRDefault="005628C0" w:rsidP="005628C0">
            <w:pPr>
              <w:ind w:right="57"/>
              <w:jc w:val="right"/>
              <w:rPr>
                <w:sz w:val="18"/>
                <w:szCs w:val="18"/>
              </w:rPr>
            </w:pPr>
            <w:r w:rsidRPr="000D1E2C">
              <w:rPr>
                <w:sz w:val="18"/>
                <w:szCs w:val="18"/>
              </w:rPr>
              <w:t>314</w:t>
            </w:r>
          </w:p>
        </w:tc>
        <w:tc>
          <w:tcPr>
            <w:tcW w:w="6169" w:type="dxa"/>
            <w:tcBorders>
              <w:top w:val="nil"/>
              <w:left w:val="nil"/>
              <w:bottom w:val="nil"/>
              <w:right w:val="single" w:sz="4" w:space="0" w:color="000000" w:themeColor="text1"/>
            </w:tcBorders>
            <w:shd w:val="clear" w:color="auto" w:fill="auto"/>
            <w:vAlign w:val="center"/>
          </w:tcPr>
          <w:p w14:paraId="542E6CF1" w14:textId="77777777" w:rsidR="005628C0" w:rsidRPr="000D1E2C" w:rsidRDefault="005628C0" w:rsidP="005628C0">
            <w:pPr>
              <w:ind w:left="-57"/>
              <w:jc w:val="left"/>
              <w:rPr>
                <w:sz w:val="18"/>
                <w:szCs w:val="18"/>
              </w:rPr>
            </w:pPr>
            <w:r w:rsidRPr="000D1E2C">
              <w:rPr>
                <w:sz w:val="18"/>
                <w:szCs w:val="18"/>
              </w:rPr>
              <w:t>Fabricación de productos textiles, excepto prendas de vestir</w:t>
            </w:r>
          </w:p>
        </w:tc>
        <w:tc>
          <w:tcPr>
            <w:tcW w:w="1080" w:type="dxa"/>
            <w:tcBorders>
              <w:top w:val="nil"/>
              <w:left w:val="single" w:sz="4" w:space="0" w:color="000000" w:themeColor="text1"/>
              <w:bottom w:val="nil"/>
              <w:right w:val="single" w:sz="4" w:space="0" w:color="000000" w:themeColor="text1"/>
            </w:tcBorders>
            <w:vAlign w:val="center"/>
          </w:tcPr>
          <w:p w14:paraId="1EF3B0C1" w14:textId="72AFE5A0"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-7.3</w:t>
            </w:r>
          </w:p>
        </w:tc>
        <w:tc>
          <w:tcPr>
            <w:tcW w:w="1080" w:type="dxa"/>
            <w:tcBorders>
              <w:top w:val="nil"/>
              <w:left w:val="single" w:sz="4" w:space="0" w:color="000000" w:themeColor="text1"/>
              <w:bottom w:val="nil"/>
              <w:right w:val="double" w:sz="4" w:space="0" w:color="000000" w:themeColor="text1"/>
            </w:tcBorders>
            <w:vAlign w:val="center"/>
          </w:tcPr>
          <w:p w14:paraId="1DE2CC3A" w14:textId="16D5842D"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-4.7</w:t>
            </w:r>
          </w:p>
        </w:tc>
      </w:tr>
      <w:tr w:rsidR="005628C0" w:rsidRPr="00E464CF" w14:paraId="412C3B42" w14:textId="20C19022" w:rsidTr="00331574">
        <w:trPr>
          <w:jc w:val="center"/>
        </w:trPr>
        <w:tc>
          <w:tcPr>
            <w:tcW w:w="694" w:type="dxa"/>
            <w:tcBorders>
              <w:top w:val="nil"/>
              <w:left w:val="double" w:sz="4" w:space="0" w:color="000000" w:themeColor="text1"/>
              <w:bottom w:val="nil"/>
              <w:right w:val="nil"/>
            </w:tcBorders>
            <w:vAlign w:val="center"/>
          </w:tcPr>
          <w:p w14:paraId="214A8AA9" w14:textId="77777777" w:rsidR="005628C0" w:rsidRPr="000D1E2C" w:rsidRDefault="005628C0" w:rsidP="005628C0">
            <w:pPr>
              <w:ind w:right="57"/>
              <w:jc w:val="right"/>
              <w:rPr>
                <w:sz w:val="18"/>
                <w:szCs w:val="18"/>
              </w:rPr>
            </w:pPr>
            <w:r w:rsidRPr="000D1E2C">
              <w:rPr>
                <w:sz w:val="18"/>
                <w:szCs w:val="18"/>
              </w:rPr>
              <w:t>315</w:t>
            </w:r>
          </w:p>
        </w:tc>
        <w:tc>
          <w:tcPr>
            <w:tcW w:w="6169" w:type="dxa"/>
            <w:tcBorders>
              <w:top w:val="nil"/>
              <w:left w:val="nil"/>
              <w:bottom w:val="nil"/>
              <w:right w:val="single" w:sz="4" w:space="0" w:color="000000" w:themeColor="text1"/>
            </w:tcBorders>
            <w:shd w:val="clear" w:color="auto" w:fill="auto"/>
            <w:vAlign w:val="center"/>
          </w:tcPr>
          <w:p w14:paraId="43B63E99" w14:textId="77777777" w:rsidR="005628C0" w:rsidRPr="000D1E2C" w:rsidRDefault="005628C0" w:rsidP="005628C0">
            <w:pPr>
              <w:ind w:left="-57"/>
              <w:jc w:val="left"/>
              <w:rPr>
                <w:sz w:val="18"/>
                <w:szCs w:val="18"/>
              </w:rPr>
            </w:pPr>
            <w:r w:rsidRPr="000D1E2C">
              <w:rPr>
                <w:sz w:val="18"/>
                <w:szCs w:val="18"/>
              </w:rPr>
              <w:t xml:space="preserve">Fabricación de prendas de vestir </w:t>
            </w:r>
          </w:p>
        </w:tc>
        <w:tc>
          <w:tcPr>
            <w:tcW w:w="1080" w:type="dxa"/>
            <w:tcBorders>
              <w:top w:val="nil"/>
              <w:left w:val="single" w:sz="4" w:space="0" w:color="000000" w:themeColor="text1"/>
              <w:bottom w:val="nil"/>
              <w:right w:val="single" w:sz="4" w:space="0" w:color="000000" w:themeColor="text1"/>
            </w:tcBorders>
            <w:vAlign w:val="center"/>
          </w:tcPr>
          <w:p w14:paraId="2C8BEC41" w14:textId="353AE502"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13.4</w:t>
            </w:r>
          </w:p>
        </w:tc>
        <w:tc>
          <w:tcPr>
            <w:tcW w:w="1080" w:type="dxa"/>
            <w:tcBorders>
              <w:top w:val="nil"/>
              <w:left w:val="single" w:sz="4" w:space="0" w:color="000000" w:themeColor="text1"/>
              <w:bottom w:val="nil"/>
              <w:right w:val="double" w:sz="4" w:space="0" w:color="000000" w:themeColor="text1"/>
            </w:tcBorders>
            <w:vAlign w:val="center"/>
          </w:tcPr>
          <w:p w14:paraId="3CC331A2" w14:textId="5F5A89FD"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17.8</w:t>
            </w:r>
          </w:p>
        </w:tc>
      </w:tr>
      <w:tr w:rsidR="005628C0" w:rsidRPr="00E464CF" w14:paraId="272EE2D1" w14:textId="2753E00E" w:rsidTr="00331574">
        <w:trPr>
          <w:jc w:val="center"/>
        </w:trPr>
        <w:tc>
          <w:tcPr>
            <w:tcW w:w="694" w:type="dxa"/>
            <w:tcBorders>
              <w:top w:val="nil"/>
              <w:left w:val="double" w:sz="4" w:space="0" w:color="000000" w:themeColor="text1"/>
              <w:bottom w:val="nil"/>
              <w:right w:val="nil"/>
            </w:tcBorders>
          </w:tcPr>
          <w:p w14:paraId="58EA1AC2" w14:textId="77777777" w:rsidR="005628C0" w:rsidRPr="000D1E2C" w:rsidRDefault="005628C0" w:rsidP="005628C0">
            <w:pPr>
              <w:ind w:right="57"/>
              <w:jc w:val="right"/>
              <w:rPr>
                <w:sz w:val="18"/>
                <w:szCs w:val="18"/>
              </w:rPr>
            </w:pPr>
            <w:r w:rsidRPr="000D1E2C">
              <w:rPr>
                <w:sz w:val="18"/>
                <w:szCs w:val="18"/>
              </w:rPr>
              <w:t>316</w:t>
            </w:r>
          </w:p>
        </w:tc>
        <w:tc>
          <w:tcPr>
            <w:tcW w:w="6169" w:type="dxa"/>
            <w:tcBorders>
              <w:top w:val="nil"/>
              <w:left w:val="nil"/>
              <w:bottom w:val="nil"/>
              <w:right w:val="single" w:sz="4" w:space="0" w:color="000000" w:themeColor="text1"/>
            </w:tcBorders>
            <w:shd w:val="clear" w:color="auto" w:fill="auto"/>
            <w:vAlign w:val="center"/>
          </w:tcPr>
          <w:p w14:paraId="28115EC4" w14:textId="77777777" w:rsidR="005628C0" w:rsidRPr="000D1E2C" w:rsidRDefault="005628C0" w:rsidP="005628C0">
            <w:pPr>
              <w:ind w:left="-57"/>
              <w:jc w:val="left"/>
              <w:rPr>
                <w:sz w:val="18"/>
                <w:szCs w:val="18"/>
              </w:rPr>
            </w:pPr>
            <w:r w:rsidRPr="000D1E2C">
              <w:rPr>
                <w:sz w:val="18"/>
                <w:szCs w:val="18"/>
              </w:rPr>
              <w:t>Curtido y acabado de cuero y piel, y fabricación de productos de cuero, piel y materiales sucedáneos</w:t>
            </w:r>
          </w:p>
        </w:tc>
        <w:tc>
          <w:tcPr>
            <w:tcW w:w="1080" w:type="dxa"/>
            <w:tcBorders>
              <w:top w:val="nil"/>
              <w:left w:val="single" w:sz="4" w:space="0" w:color="000000" w:themeColor="text1"/>
              <w:bottom w:val="nil"/>
              <w:right w:val="single" w:sz="4" w:space="0" w:color="000000" w:themeColor="text1"/>
            </w:tcBorders>
            <w:vAlign w:val="center"/>
          </w:tcPr>
          <w:p w14:paraId="2562B702" w14:textId="03270F80"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11.8</w:t>
            </w:r>
          </w:p>
        </w:tc>
        <w:tc>
          <w:tcPr>
            <w:tcW w:w="1080" w:type="dxa"/>
            <w:tcBorders>
              <w:top w:val="nil"/>
              <w:left w:val="single" w:sz="4" w:space="0" w:color="000000" w:themeColor="text1"/>
              <w:bottom w:val="nil"/>
              <w:right w:val="double" w:sz="4" w:space="0" w:color="000000" w:themeColor="text1"/>
            </w:tcBorders>
            <w:vAlign w:val="center"/>
          </w:tcPr>
          <w:p w14:paraId="57C74882" w14:textId="72D81322"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6.7</w:t>
            </w:r>
          </w:p>
        </w:tc>
      </w:tr>
      <w:tr w:rsidR="005628C0" w:rsidRPr="00E464CF" w14:paraId="20B88F16" w14:textId="133591C0" w:rsidTr="00331574">
        <w:trPr>
          <w:jc w:val="center"/>
        </w:trPr>
        <w:tc>
          <w:tcPr>
            <w:tcW w:w="694" w:type="dxa"/>
            <w:tcBorders>
              <w:top w:val="nil"/>
              <w:left w:val="double" w:sz="4" w:space="0" w:color="000000" w:themeColor="text1"/>
              <w:bottom w:val="nil"/>
              <w:right w:val="nil"/>
            </w:tcBorders>
            <w:vAlign w:val="center"/>
          </w:tcPr>
          <w:p w14:paraId="4CC03C66" w14:textId="77777777" w:rsidR="005628C0" w:rsidRPr="000D1E2C" w:rsidRDefault="005628C0" w:rsidP="005628C0">
            <w:pPr>
              <w:ind w:right="57"/>
              <w:jc w:val="right"/>
              <w:rPr>
                <w:sz w:val="18"/>
                <w:szCs w:val="18"/>
              </w:rPr>
            </w:pPr>
            <w:r w:rsidRPr="000D1E2C">
              <w:rPr>
                <w:sz w:val="18"/>
                <w:szCs w:val="18"/>
              </w:rPr>
              <w:t>321</w:t>
            </w:r>
          </w:p>
        </w:tc>
        <w:tc>
          <w:tcPr>
            <w:tcW w:w="6169" w:type="dxa"/>
            <w:tcBorders>
              <w:top w:val="nil"/>
              <w:left w:val="nil"/>
              <w:bottom w:val="nil"/>
              <w:right w:val="single" w:sz="4" w:space="0" w:color="000000" w:themeColor="text1"/>
            </w:tcBorders>
            <w:shd w:val="clear" w:color="auto" w:fill="auto"/>
            <w:vAlign w:val="center"/>
          </w:tcPr>
          <w:p w14:paraId="05D9F20B" w14:textId="77777777" w:rsidR="005628C0" w:rsidRPr="000D1E2C" w:rsidRDefault="005628C0" w:rsidP="005628C0">
            <w:pPr>
              <w:ind w:left="-57"/>
              <w:jc w:val="left"/>
              <w:rPr>
                <w:sz w:val="18"/>
                <w:szCs w:val="18"/>
                <w:lang w:eastAsia="es-MX"/>
              </w:rPr>
            </w:pPr>
            <w:r w:rsidRPr="000D1E2C">
              <w:rPr>
                <w:sz w:val="18"/>
                <w:szCs w:val="18"/>
              </w:rPr>
              <w:t xml:space="preserve">Industria de la madera </w:t>
            </w:r>
          </w:p>
        </w:tc>
        <w:tc>
          <w:tcPr>
            <w:tcW w:w="1080" w:type="dxa"/>
            <w:tcBorders>
              <w:top w:val="nil"/>
              <w:left w:val="single" w:sz="4" w:space="0" w:color="000000" w:themeColor="text1"/>
              <w:bottom w:val="nil"/>
              <w:right w:val="single" w:sz="4" w:space="0" w:color="000000" w:themeColor="text1"/>
            </w:tcBorders>
            <w:vAlign w:val="center"/>
          </w:tcPr>
          <w:p w14:paraId="23C030AA" w14:textId="30837CA9"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12.1</w:t>
            </w:r>
          </w:p>
        </w:tc>
        <w:tc>
          <w:tcPr>
            <w:tcW w:w="1080" w:type="dxa"/>
            <w:tcBorders>
              <w:top w:val="nil"/>
              <w:left w:val="single" w:sz="4" w:space="0" w:color="000000" w:themeColor="text1"/>
              <w:bottom w:val="nil"/>
              <w:right w:val="double" w:sz="4" w:space="0" w:color="000000" w:themeColor="text1"/>
            </w:tcBorders>
            <w:vAlign w:val="center"/>
          </w:tcPr>
          <w:p w14:paraId="09252328" w14:textId="7DB3AA9C"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6.9</w:t>
            </w:r>
          </w:p>
        </w:tc>
      </w:tr>
      <w:tr w:rsidR="005628C0" w:rsidRPr="00E464CF" w14:paraId="1A95F319" w14:textId="70C2760B" w:rsidTr="00331574">
        <w:trPr>
          <w:jc w:val="center"/>
        </w:trPr>
        <w:tc>
          <w:tcPr>
            <w:tcW w:w="694" w:type="dxa"/>
            <w:tcBorders>
              <w:top w:val="nil"/>
              <w:left w:val="double" w:sz="4" w:space="0" w:color="000000" w:themeColor="text1"/>
              <w:bottom w:val="nil"/>
              <w:right w:val="nil"/>
            </w:tcBorders>
            <w:vAlign w:val="center"/>
          </w:tcPr>
          <w:p w14:paraId="6355F696" w14:textId="77777777" w:rsidR="005628C0" w:rsidRPr="000D1E2C" w:rsidRDefault="005628C0" w:rsidP="005628C0">
            <w:pPr>
              <w:ind w:right="57"/>
              <w:jc w:val="right"/>
              <w:rPr>
                <w:sz w:val="18"/>
                <w:szCs w:val="18"/>
              </w:rPr>
            </w:pPr>
            <w:r w:rsidRPr="000D1E2C">
              <w:rPr>
                <w:sz w:val="18"/>
                <w:szCs w:val="18"/>
              </w:rPr>
              <w:t>322</w:t>
            </w:r>
          </w:p>
        </w:tc>
        <w:tc>
          <w:tcPr>
            <w:tcW w:w="6169" w:type="dxa"/>
            <w:tcBorders>
              <w:top w:val="nil"/>
              <w:left w:val="nil"/>
              <w:bottom w:val="nil"/>
              <w:right w:val="single" w:sz="4" w:space="0" w:color="000000" w:themeColor="text1"/>
            </w:tcBorders>
            <w:shd w:val="clear" w:color="auto" w:fill="auto"/>
            <w:vAlign w:val="center"/>
          </w:tcPr>
          <w:p w14:paraId="73E1D026" w14:textId="77777777" w:rsidR="005628C0" w:rsidRPr="000D1E2C" w:rsidRDefault="005628C0" w:rsidP="005628C0">
            <w:pPr>
              <w:ind w:left="-57"/>
              <w:jc w:val="left"/>
              <w:rPr>
                <w:sz w:val="18"/>
                <w:szCs w:val="18"/>
              </w:rPr>
            </w:pPr>
            <w:r w:rsidRPr="000D1E2C">
              <w:rPr>
                <w:sz w:val="18"/>
                <w:szCs w:val="18"/>
              </w:rPr>
              <w:t xml:space="preserve">Industria del papel </w:t>
            </w:r>
          </w:p>
        </w:tc>
        <w:tc>
          <w:tcPr>
            <w:tcW w:w="1080" w:type="dxa"/>
            <w:tcBorders>
              <w:top w:val="nil"/>
              <w:left w:val="single" w:sz="4" w:space="0" w:color="000000" w:themeColor="text1"/>
              <w:bottom w:val="nil"/>
              <w:right w:val="single" w:sz="4" w:space="0" w:color="000000" w:themeColor="text1"/>
            </w:tcBorders>
            <w:vAlign w:val="center"/>
          </w:tcPr>
          <w:p w14:paraId="6BAC6DCA" w14:textId="50812775"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6.6</w:t>
            </w:r>
          </w:p>
        </w:tc>
        <w:tc>
          <w:tcPr>
            <w:tcW w:w="1080" w:type="dxa"/>
            <w:tcBorders>
              <w:top w:val="nil"/>
              <w:left w:val="single" w:sz="4" w:space="0" w:color="000000" w:themeColor="text1"/>
              <w:bottom w:val="nil"/>
              <w:right w:val="double" w:sz="4" w:space="0" w:color="000000" w:themeColor="text1"/>
            </w:tcBorders>
            <w:vAlign w:val="center"/>
          </w:tcPr>
          <w:p w14:paraId="6F376CE5" w14:textId="09B66305"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7.3</w:t>
            </w:r>
          </w:p>
        </w:tc>
      </w:tr>
      <w:tr w:rsidR="005628C0" w:rsidRPr="00E464CF" w14:paraId="1A2E4006" w14:textId="3C59726C" w:rsidTr="00331574">
        <w:trPr>
          <w:jc w:val="center"/>
        </w:trPr>
        <w:tc>
          <w:tcPr>
            <w:tcW w:w="694" w:type="dxa"/>
            <w:tcBorders>
              <w:top w:val="nil"/>
              <w:left w:val="double" w:sz="4" w:space="0" w:color="000000" w:themeColor="text1"/>
              <w:bottom w:val="nil"/>
              <w:right w:val="nil"/>
            </w:tcBorders>
            <w:vAlign w:val="center"/>
          </w:tcPr>
          <w:p w14:paraId="059BCFF7" w14:textId="77777777" w:rsidR="005628C0" w:rsidRPr="000D1E2C" w:rsidRDefault="005628C0" w:rsidP="005628C0">
            <w:pPr>
              <w:ind w:right="57"/>
              <w:jc w:val="right"/>
              <w:rPr>
                <w:sz w:val="18"/>
                <w:szCs w:val="18"/>
              </w:rPr>
            </w:pPr>
            <w:r w:rsidRPr="000D1E2C">
              <w:rPr>
                <w:sz w:val="18"/>
                <w:szCs w:val="18"/>
              </w:rPr>
              <w:t>323</w:t>
            </w:r>
          </w:p>
        </w:tc>
        <w:tc>
          <w:tcPr>
            <w:tcW w:w="6169" w:type="dxa"/>
            <w:tcBorders>
              <w:top w:val="nil"/>
              <w:left w:val="nil"/>
              <w:bottom w:val="nil"/>
              <w:right w:val="single" w:sz="4" w:space="0" w:color="000000" w:themeColor="text1"/>
            </w:tcBorders>
            <w:shd w:val="clear" w:color="auto" w:fill="auto"/>
            <w:vAlign w:val="center"/>
          </w:tcPr>
          <w:p w14:paraId="4585EDF4" w14:textId="77777777" w:rsidR="005628C0" w:rsidRPr="000D1E2C" w:rsidRDefault="005628C0" w:rsidP="005628C0">
            <w:pPr>
              <w:ind w:left="-57"/>
              <w:jc w:val="left"/>
              <w:rPr>
                <w:sz w:val="18"/>
                <w:szCs w:val="18"/>
              </w:rPr>
            </w:pPr>
            <w:r w:rsidRPr="000D1E2C">
              <w:rPr>
                <w:sz w:val="18"/>
                <w:szCs w:val="18"/>
              </w:rPr>
              <w:t xml:space="preserve">Impresión e industrias conexas </w:t>
            </w:r>
          </w:p>
        </w:tc>
        <w:tc>
          <w:tcPr>
            <w:tcW w:w="1080" w:type="dxa"/>
            <w:tcBorders>
              <w:top w:val="nil"/>
              <w:left w:val="single" w:sz="4" w:space="0" w:color="000000" w:themeColor="text1"/>
              <w:bottom w:val="nil"/>
              <w:right w:val="single" w:sz="4" w:space="0" w:color="000000" w:themeColor="text1"/>
            </w:tcBorders>
            <w:vAlign w:val="center"/>
          </w:tcPr>
          <w:p w14:paraId="0D4D90C3" w14:textId="23B66E8B"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15.4</w:t>
            </w:r>
          </w:p>
        </w:tc>
        <w:tc>
          <w:tcPr>
            <w:tcW w:w="1080" w:type="dxa"/>
            <w:tcBorders>
              <w:top w:val="nil"/>
              <w:left w:val="single" w:sz="4" w:space="0" w:color="000000" w:themeColor="text1"/>
              <w:bottom w:val="nil"/>
              <w:right w:val="double" w:sz="4" w:space="0" w:color="000000" w:themeColor="text1"/>
            </w:tcBorders>
            <w:vAlign w:val="center"/>
          </w:tcPr>
          <w:p w14:paraId="4E875BFF" w14:textId="136B8481"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16.5</w:t>
            </w:r>
          </w:p>
        </w:tc>
      </w:tr>
      <w:tr w:rsidR="005628C0" w:rsidRPr="00E464CF" w14:paraId="37CB5F04" w14:textId="39E11968" w:rsidTr="00331574">
        <w:trPr>
          <w:jc w:val="center"/>
        </w:trPr>
        <w:tc>
          <w:tcPr>
            <w:tcW w:w="694" w:type="dxa"/>
            <w:tcBorders>
              <w:top w:val="nil"/>
              <w:left w:val="double" w:sz="4" w:space="0" w:color="000000" w:themeColor="text1"/>
              <w:bottom w:val="nil"/>
              <w:right w:val="nil"/>
            </w:tcBorders>
            <w:vAlign w:val="center"/>
          </w:tcPr>
          <w:p w14:paraId="7B5AE0C5" w14:textId="77777777" w:rsidR="005628C0" w:rsidRPr="000D1E2C" w:rsidRDefault="005628C0" w:rsidP="005628C0">
            <w:pPr>
              <w:ind w:right="57"/>
              <w:jc w:val="right"/>
              <w:rPr>
                <w:sz w:val="18"/>
                <w:szCs w:val="18"/>
              </w:rPr>
            </w:pPr>
            <w:r w:rsidRPr="000D1E2C">
              <w:rPr>
                <w:sz w:val="18"/>
                <w:szCs w:val="18"/>
              </w:rPr>
              <w:t>324</w:t>
            </w:r>
          </w:p>
        </w:tc>
        <w:tc>
          <w:tcPr>
            <w:tcW w:w="6169" w:type="dxa"/>
            <w:tcBorders>
              <w:top w:val="nil"/>
              <w:left w:val="nil"/>
              <w:bottom w:val="nil"/>
              <w:right w:val="single" w:sz="4" w:space="0" w:color="000000" w:themeColor="text1"/>
            </w:tcBorders>
            <w:shd w:val="clear" w:color="auto" w:fill="auto"/>
            <w:vAlign w:val="center"/>
          </w:tcPr>
          <w:p w14:paraId="686DE76A" w14:textId="77777777" w:rsidR="005628C0" w:rsidRPr="000D1E2C" w:rsidRDefault="005628C0" w:rsidP="005628C0">
            <w:pPr>
              <w:ind w:left="-57"/>
              <w:jc w:val="left"/>
              <w:rPr>
                <w:sz w:val="18"/>
                <w:szCs w:val="18"/>
              </w:rPr>
            </w:pPr>
            <w:r w:rsidRPr="000D1E2C">
              <w:rPr>
                <w:sz w:val="18"/>
                <w:szCs w:val="18"/>
              </w:rPr>
              <w:t xml:space="preserve">Fabricación de productos derivados del petróleo y del carbón </w:t>
            </w:r>
          </w:p>
        </w:tc>
        <w:tc>
          <w:tcPr>
            <w:tcW w:w="1080" w:type="dxa"/>
            <w:tcBorders>
              <w:top w:val="nil"/>
              <w:left w:val="single" w:sz="4" w:space="0" w:color="000000" w:themeColor="text1"/>
              <w:bottom w:val="nil"/>
              <w:right w:val="single" w:sz="4" w:space="0" w:color="000000" w:themeColor="text1"/>
            </w:tcBorders>
            <w:vAlign w:val="center"/>
          </w:tcPr>
          <w:p w14:paraId="5A913E91" w14:textId="3DEA9376"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1.8</w:t>
            </w:r>
          </w:p>
        </w:tc>
        <w:tc>
          <w:tcPr>
            <w:tcW w:w="1080" w:type="dxa"/>
            <w:tcBorders>
              <w:top w:val="nil"/>
              <w:left w:val="single" w:sz="4" w:space="0" w:color="000000" w:themeColor="text1"/>
              <w:bottom w:val="nil"/>
              <w:right w:val="double" w:sz="4" w:space="0" w:color="000000" w:themeColor="text1"/>
            </w:tcBorders>
            <w:vAlign w:val="center"/>
          </w:tcPr>
          <w:p w14:paraId="0B988779" w14:textId="56ADFA88"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11.6</w:t>
            </w:r>
          </w:p>
        </w:tc>
      </w:tr>
      <w:tr w:rsidR="005628C0" w:rsidRPr="00E464CF" w14:paraId="60C64EC9" w14:textId="7591D484" w:rsidTr="00331574">
        <w:trPr>
          <w:jc w:val="center"/>
        </w:trPr>
        <w:tc>
          <w:tcPr>
            <w:tcW w:w="694" w:type="dxa"/>
            <w:tcBorders>
              <w:top w:val="nil"/>
              <w:left w:val="double" w:sz="4" w:space="0" w:color="000000" w:themeColor="text1"/>
              <w:bottom w:val="nil"/>
              <w:right w:val="nil"/>
            </w:tcBorders>
            <w:vAlign w:val="center"/>
          </w:tcPr>
          <w:p w14:paraId="1008EECD" w14:textId="77777777" w:rsidR="005628C0" w:rsidRPr="000D1E2C" w:rsidRDefault="005628C0" w:rsidP="005628C0">
            <w:pPr>
              <w:ind w:right="57"/>
              <w:jc w:val="right"/>
              <w:rPr>
                <w:sz w:val="18"/>
                <w:szCs w:val="18"/>
              </w:rPr>
            </w:pPr>
            <w:r w:rsidRPr="000D1E2C">
              <w:rPr>
                <w:sz w:val="18"/>
                <w:szCs w:val="18"/>
              </w:rPr>
              <w:t>325</w:t>
            </w:r>
          </w:p>
        </w:tc>
        <w:tc>
          <w:tcPr>
            <w:tcW w:w="6169" w:type="dxa"/>
            <w:tcBorders>
              <w:top w:val="nil"/>
              <w:left w:val="nil"/>
              <w:bottom w:val="nil"/>
              <w:right w:val="single" w:sz="4" w:space="0" w:color="000000" w:themeColor="text1"/>
            </w:tcBorders>
            <w:shd w:val="clear" w:color="auto" w:fill="auto"/>
            <w:vAlign w:val="center"/>
          </w:tcPr>
          <w:p w14:paraId="41BDF9DA" w14:textId="77777777" w:rsidR="005628C0" w:rsidRPr="000D1E2C" w:rsidRDefault="005628C0" w:rsidP="005628C0">
            <w:pPr>
              <w:ind w:left="-57"/>
              <w:jc w:val="left"/>
              <w:rPr>
                <w:sz w:val="18"/>
                <w:szCs w:val="18"/>
              </w:rPr>
            </w:pPr>
            <w:r w:rsidRPr="000D1E2C">
              <w:rPr>
                <w:sz w:val="18"/>
                <w:szCs w:val="18"/>
              </w:rPr>
              <w:t xml:space="preserve">Industria química </w:t>
            </w:r>
          </w:p>
        </w:tc>
        <w:tc>
          <w:tcPr>
            <w:tcW w:w="1080" w:type="dxa"/>
            <w:tcBorders>
              <w:top w:val="nil"/>
              <w:left w:val="single" w:sz="4" w:space="0" w:color="000000" w:themeColor="text1"/>
              <w:bottom w:val="nil"/>
              <w:right w:val="single" w:sz="4" w:space="0" w:color="000000" w:themeColor="text1"/>
            </w:tcBorders>
            <w:vAlign w:val="center"/>
          </w:tcPr>
          <w:p w14:paraId="333E3731" w14:textId="78098E91"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7.8</w:t>
            </w:r>
          </w:p>
        </w:tc>
        <w:tc>
          <w:tcPr>
            <w:tcW w:w="1080" w:type="dxa"/>
            <w:tcBorders>
              <w:top w:val="nil"/>
              <w:left w:val="single" w:sz="4" w:space="0" w:color="000000" w:themeColor="text1"/>
              <w:bottom w:val="nil"/>
              <w:right w:val="double" w:sz="4" w:space="0" w:color="000000" w:themeColor="text1"/>
            </w:tcBorders>
            <w:vAlign w:val="center"/>
          </w:tcPr>
          <w:p w14:paraId="7692C88E" w14:textId="6A0D8774"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6.1</w:t>
            </w:r>
          </w:p>
        </w:tc>
      </w:tr>
      <w:tr w:rsidR="005628C0" w:rsidRPr="00E464CF" w14:paraId="450DFA53" w14:textId="7824F27C" w:rsidTr="00331574">
        <w:trPr>
          <w:jc w:val="center"/>
        </w:trPr>
        <w:tc>
          <w:tcPr>
            <w:tcW w:w="694" w:type="dxa"/>
            <w:tcBorders>
              <w:top w:val="nil"/>
              <w:left w:val="double" w:sz="4" w:space="0" w:color="000000" w:themeColor="text1"/>
              <w:bottom w:val="nil"/>
              <w:right w:val="nil"/>
            </w:tcBorders>
            <w:vAlign w:val="center"/>
          </w:tcPr>
          <w:p w14:paraId="32C96E08" w14:textId="77777777" w:rsidR="005628C0" w:rsidRPr="000D1E2C" w:rsidRDefault="005628C0" w:rsidP="005628C0">
            <w:pPr>
              <w:ind w:right="57"/>
              <w:jc w:val="right"/>
              <w:rPr>
                <w:sz w:val="18"/>
                <w:szCs w:val="18"/>
              </w:rPr>
            </w:pPr>
            <w:r w:rsidRPr="000D1E2C">
              <w:rPr>
                <w:sz w:val="18"/>
                <w:szCs w:val="18"/>
              </w:rPr>
              <w:t>326</w:t>
            </w:r>
          </w:p>
        </w:tc>
        <w:tc>
          <w:tcPr>
            <w:tcW w:w="6169" w:type="dxa"/>
            <w:tcBorders>
              <w:top w:val="nil"/>
              <w:left w:val="nil"/>
              <w:bottom w:val="nil"/>
              <w:right w:val="single" w:sz="4" w:space="0" w:color="000000" w:themeColor="text1"/>
            </w:tcBorders>
            <w:shd w:val="clear" w:color="auto" w:fill="auto"/>
            <w:vAlign w:val="center"/>
          </w:tcPr>
          <w:p w14:paraId="748EE9CB" w14:textId="77777777" w:rsidR="005628C0" w:rsidRPr="000D1E2C" w:rsidRDefault="005628C0" w:rsidP="005628C0">
            <w:pPr>
              <w:ind w:left="-57"/>
              <w:jc w:val="left"/>
              <w:rPr>
                <w:sz w:val="18"/>
                <w:szCs w:val="18"/>
              </w:rPr>
            </w:pPr>
            <w:r w:rsidRPr="000D1E2C">
              <w:rPr>
                <w:sz w:val="18"/>
                <w:szCs w:val="18"/>
              </w:rPr>
              <w:t xml:space="preserve">Industria del plástico y del hule </w:t>
            </w:r>
          </w:p>
        </w:tc>
        <w:tc>
          <w:tcPr>
            <w:tcW w:w="1080" w:type="dxa"/>
            <w:tcBorders>
              <w:top w:val="nil"/>
              <w:left w:val="single" w:sz="4" w:space="0" w:color="000000" w:themeColor="text1"/>
              <w:bottom w:val="nil"/>
              <w:right w:val="single" w:sz="4" w:space="0" w:color="000000" w:themeColor="text1"/>
            </w:tcBorders>
            <w:vAlign w:val="center"/>
          </w:tcPr>
          <w:p w14:paraId="244C6038" w14:textId="5CCD2459"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8.1</w:t>
            </w:r>
          </w:p>
        </w:tc>
        <w:tc>
          <w:tcPr>
            <w:tcW w:w="1080" w:type="dxa"/>
            <w:tcBorders>
              <w:top w:val="nil"/>
              <w:left w:val="single" w:sz="4" w:space="0" w:color="000000" w:themeColor="text1"/>
              <w:bottom w:val="nil"/>
              <w:right w:val="double" w:sz="4" w:space="0" w:color="000000" w:themeColor="text1"/>
            </w:tcBorders>
            <w:vAlign w:val="center"/>
          </w:tcPr>
          <w:p w14:paraId="3C776579" w14:textId="7141A2EA"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8.8</w:t>
            </w:r>
          </w:p>
        </w:tc>
      </w:tr>
      <w:tr w:rsidR="005628C0" w:rsidRPr="00E464CF" w14:paraId="4DE360D5" w14:textId="4B7CB87C" w:rsidTr="00331574">
        <w:trPr>
          <w:jc w:val="center"/>
        </w:trPr>
        <w:tc>
          <w:tcPr>
            <w:tcW w:w="694" w:type="dxa"/>
            <w:tcBorders>
              <w:top w:val="nil"/>
              <w:left w:val="double" w:sz="4" w:space="0" w:color="000000" w:themeColor="text1"/>
              <w:bottom w:val="nil"/>
              <w:right w:val="nil"/>
            </w:tcBorders>
            <w:vAlign w:val="center"/>
          </w:tcPr>
          <w:p w14:paraId="44490DAE" w14:textId="77777777" w:rsidR="005628C0" w:rsidRPr="000D1E2C" w:rsidRDefault="005628C0" w:rsidP="005628C0">
            <w:pPr>
              <w:ind w:right="57"/>
              <w:jc w:val="right"/>
              <w:rPr>
                <w:sz w:val="18"/>
                <w:szCs w:val="18"/>
              </w:rPr>
            </w:pPr>
            <w:r w:rsidRPr="000D1E2C">
              <w:rPr>
                <w:sz w:val="18"/>
                <w:szCs w:val="18"/>
              </w:rPr>
              <w:t>327</w:t>
            </w:r>
          </w:p>
        </w:tc>
        <w:tc>
          <w:tcPr>
            <w:tcW w:w="6169" w:type="dxa"/>
            <w:tcBorders>
              <w:top w:val="nil"/>
              <w:left w:val="nil"/>
              <w:bottom w:val="nil"/>
              <w:right w:val="single" w:sz="4" w:space="0" w:color="000000" w:themeColor="text1"/>
            </w:tcBorders>
            <w:shd w:val="clear" w:color="auto" w:fill="auto"/>
            <w:vAlign w:val="center"/>
          </w:tcPr>
          <w:p w14:paraId="419EA9A6" w14:textId="77777777" w:rsidR="005628C0" w:rsidRPr="000D1E2C" w:rsidRDefault="005628C0" w:rsidP="005628C0">
            <w:pPr>
              <w:ind w:left="-57"/>
              <w:jc w:val="left"/>
              <w:rPr>
                <w:sz w:val="18"/>
                <w:szCs w:val="18"/>
                <w:lang w:eastAsia="es-MX"/>
              </w:rPr>
            </w:pPr>
            <w:r w:rsidRPr="000D1E2C">
              <w:rPr>
                <w:sz w:val="18"/>
                <w:szCs w:val="18"/>
              </w:rPr>
              <w:t xml:space="preserve">Fabricación de productos a base de minerales no metálicos </w:t>
            </w:r>
          </w:p>
        </w:tc>
        <w:tc>
          <w:tcPr>
            <w:tcW w:w="1080" w:type="dxa"/>
            <w:tcBorders>
              <w:top w:val="nil"/>
              <w:left w:val="single" w:sz="4" w:space="0" w:color="000000" w:themeColor="text1"/>
              <w:bottom w:val="nil"/>
              <w:right w:val="single" w:sz="4" w:space="0" w:color="000000" w:themeColor="text1"/>
            </w:tcBorders>
            <w:vAlign w:val="center"/>
          </w:tcPr>
          <w:p w14:paraId="16DA7C2B" w14:textId="0478B0DB"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3.9</w:t>
            </w:r>
          </w:p>
        </w:tc>
        <w:tc>
          <w:tcPr>
            <w:tcW w:w="1080" w:type="dxa"/>
            <w:tcBorders>
              <w:top w:val="nil"/>
              <w:left w:val="single" w:sz="4" w:space="0" w:color="000000" w:themeColor="text1"/>
              <w:bottom w:val="nil"/>
              <w:right w:val="double" w:sz="4" w:space="0" w:color="000000" w:themeColor="text1"/>
            </w:tcBorders>
            <w:vAlign w:val="center"/>
          </w:tcPr>
          <w:p w14:paraId="0ABE4B9C" w14:textId="5C6A116A"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4.2</w:t>
            </w:r>
          </w:p>
        </w:tc>
      </w:tr>
      <w:tr w:rsidR="005628C0" w:rsidRPr="00E464CF" w14:paraId="332D2722" w14:textId="41675BFD" w:rsidTr="00331574">
        <w:trPr>
          <w:jc w:val="center"/>
        </w:trPr>
        <w:tc>
          <w:tcPr>
            <w:tcW w:w="694" w:type="dxa"/>
            <w:tcBorders>
              <w:top w:val="nil"/>
              <w:left w:val="double" w:sz="4" w:space="0" w:color="000000" w:themeColor="text1"/>
              <w:bottom w:val="nil"/>
              <w:right w:val="nil"/>
            </w:tcBorders>
            <w:vAlign w:val="center"/>
          </w:tcPr>
          <w:p w14:paraId="2706ABAA" w14:textId="77777777" w:rsidR="005628C0" w:rsidRPr="000D1E2C" w:rsidRDefault="005628C0" w:rsidP="005628C0">
            <w:pPr>
              <w:ind w:right="57"/>
              <w:jc w:val="right"/>
              <w:rPr>
                <w:sz w:val="18"/>
                <w:szCs w:val="18"/>
              </w:rPr>
            </w:pPr>
            <w:r w:rsidRPr="000D1E2C">
              <w:rPr>
                <w:sz w:val="18"/>
                <w:szCs w:val="18"/>
              </w:rPr>
              <w:t>331</w:t>
            </w:r>
          </w:p>
        </w:tc>
        <w:tc>
          <w:tcPr>
            <w:tcW w:w="6169" w:type="dxa"/>
            <w:tcBorders>
              <w:top w:val="nil"/>
              <w:left w:val="nil"/>
              <w:bottom w:val="nil"/>
              <w:right w:val="single" w:sz="4" w:space="0" w:color="000000" w:themeColor="text1"/>
            </w:tcBorders>
            <w:shd w:val="clear" w:color="auto" w:fill="auto"/>
            <w:vAlign w:val="center"/>
          </w:tcPr>
          <w:p w14:paraId="45F45BE5" w14:textId="77777777" w:rsidR="005628C0" w:rsidRPr="000D1E2C" w:rsidRDefault="005628C0" w:rsidP="005628C0">
            <w:pPr>
              <w:ind w:left="-57"/>
              <w:jc w:val="left"/>
              <w:rPr>
                <w:sz w:val="18"/>
                <w:szCs w:val="18"/>
              </w:rPr>
            </w:pPr>
            <w:r w:rsidRPr="000D1E2C">
              <w:rPr>
                <w:sz w:val="18"/>
                <w:szCs w:val="18"/>
              </w:rPr>
              <w:t xml:space="preserve">Industrias metálicas básicas </w:t>
            </w:r>
          </w:p>
        </w:tc>
        <w:tc>
          <w:tcPr>
            <w:tcW w:w="1080" w:type="dxa"/>
            <w:tcBorders>
              <w:top w:val="nil"/>
              <w:left w:val="single" w:sz="4" w:space="0" w:color="000000" w:themeColor="text1"/>
              <w:bottom w:val="nil"/>
              <w:right w:val="single" w:sz="4" w:space="0" w:color="000000" w:themeColor="text1"/>
            </w:tcBorders>
            <w:vAlign w:val="center"/>
          </w:tcPr>
          <w:p w14:paraId="0F88707E" w14:textId="2B0FF489"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0.6</w:t>
            </w:r>
          </w:p>
        </w:tc>
        <w:tc>
          <w:tcPr>
            <w:tcW w:w="1080" w:type="dxa"/>
            <w:tcBorders>
              <w:top w:val="nil"/>
              <w:left w:val="single" w:sz="4" w:space="0" w:color="000000" w:themeColor="text1"/>
              <w:bottom w:val="nil"/>
              <w:right w:val="double" w:sz="4" w:space="0" w:color="000000" w:themeColor="text1"/>
            </w:tcBorders>
            <w:vAlign w:val="center"/>
          </w:tcPr>
          <w:p w14:paraId="3540DB38" w14:textId="49405F39"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2.8</w:t>
            </w:r>
          </w:p>
        </w:tc>
      </w:tr>
      <w:tr w:rsidR="005628C0" w:rsidRPr="00E464CF" w14:paraId="65BC1A62" w14:textId="1426B2D0" w:rsidTr="00331574">
        <w:trPr>
          <w:jc w:val="center"/>
        </w:trPr>
        <w:tc>
          <w:tcPr>
            <w:tcW w:w="694" w:type="dxa"/>
            <w:tcBorders>
              <w:top w:val="nil"/>
              <w:left w:val="double" w:sz="4" w:space="0" w:color="000000" w:themeColor="text1"/>
              <w:bottom w:val="nil"/>
              <w:right w:val="nil"/>
            </w:tcBorders>
            <w:vAlign w:val="center"/>
          </w:tcPr>
          <w:p w14:paraId="66431326" w14:textId="77777777" w:rsidR="005628C0" w:rsidRPr="000D1E2C" w:rsidRDefault="005628C0" w:rsidP="005628C0">
            <w:pPr>
              <w:ind w:right="57"/>
              <w:jc w:val="right"/>
              <w:rPr>
                <w:sz w:val="18"/>
                <w:szCs w:val="18"/>
              </w:rPr>
            </w:pPr>
            <w:r w:rsidRPr="000D1E2C">
              <w:rPr>
                <w:sz w:val="18"/>
                <w:szCs w:val="18"/>
              </w:rPr>
              <w:t>332</w:t>
            </w:r>
          </w:p>
        </w:tc>
        <w:tc>
          <w:tcPr>
            <w:tcW w:w="6169" w:type="dxa"/>
            <w:tcBorders>
              <w:top w:val="nil"/>
              <w:left w:val="nil"/>
              <w:bottom w:val="nil"/>
              <w:right w:val="single" w:sz="4" w:space="0" w:color="000000" w:themeColor="text1"/>
            </w:tcBorders>
            <w:shd w:val="clear" w:color="auto" w:fill="auto"/>
            <w:vAlign w:val="center"/>
          </w:tcPr>
          <w:p w14:paraId="364283CE" w14:textId="77777777" w:rsidR="005628C0" w:rsidRPr="000D1E2C" w:rsidRDefault="005628C0" w:rsidP="005628C0">
            <w:pPr>
              <w:ind w:left="-57"/>
              <w:jc w:val="left"/>
              <w:rPr>
                <w:sz w:val="18"/>
                <w:szCs w:val="18"/>
              </w:rPr>
            </w:pPr>
            <w:r w:rsidRPr="000D1E2C">
              <w:rPr>
                <w:sz w:val="18"/>
                <w:szCs w:val="18"/>
              </w:rPr>
              <w:t xml:space="preserve">Fabricación de productos metálicos </w:t>
            </w:r>
          </w:p>
        </w:tc>
        <w:tc>
          <w:tcPr>
            <w:tcW w:w="1080" w:type="dxa"/>
            <w:tcBorders>
              <w:top w:val="nil"/>
              <w:left w:val="single" w:sz="4" w:space="0" w:color="000000" w:themeColor="text1"/>
              <w:bottom w:val="nil"/>
              <w:right w:val="single" w:sz="4" w:space="0" w:color="000000" w:themeColor="text1"/>
            </w:tcBorders>
            <w:vAlign w:val="center"/>
          </w:tcPr>
          <w:p w14:paraId="24BC600F" w14:textId="0AB7417B"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1.2</w:t>
            </w:r>
          </w:p>
        </w:tc>
        <w:tc>
          <w:tcPr>
            <w:tcW w:w="1080" w:type="dxa"/>
            <w:tcBorders>
              <w:top w:val="nil"/>
              <w:left w:val="single" w:sz="4" w:space="0" w:color="000000" w:themeColor="text1"/>
              <w:bottom w:val="nil"/>
              <w:right w:val="double" w:sz="4" w:space="0" w:color="000000" w:themeColor="text1"/>
            </w:tcBorders>
            <w:vAlign w:val="center"/>
          </w:tcPr>
          <w:p w14:paraId="2BA68345" w14:textId="09333A1F"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1.4</w:t>
            </w:r>
          </w:p>
        </w:tc>
      </w:tr>
      <w:tr w:rsidR="005628C0" w:rsidRPr="00E464CF" w14:paraId="1ABF2DBB" w14:textId="2E06C044" w:rsidTr="00331574">
        <w:trPr>
          <w:jc w:val="center"/>
        </w:trPr>
        <w:tc>
          <w:tcPr>
            <w:tcW w:w="694" w:type="dxa"/>
            <w:tcBorders>
              <w:top w:val="nil"/>
              <w:left w:val="double" w:sz="4" w:space="0" w:color="000000" w:themeColor="text1"/>
              <w:bottom w:val="nil"/>
              <w:right w:val="nil"/>
            </w:tcBorders>
            <w:vAlign w:val="center"/>
          </w:tcPr>
          <w:p w14:paraId="7C4D1F41" w14:textId="77777777" w:rsidR="005628C0" w:rsidRPr="000D1E2C" w:rsidRDefault="005628C0" w:rsidP="005628C0">
            <w:pPr>
              <w:ind w:right="57"/>
              <w:jc w:val="right"/>
              <w:rPr>
                <w:sz w:val="18"/>
                <w:szCs w:val="18"/>
              </w:rPr>
            </w:pPr>
            <w:r w:rsidRPr="000D1E2C">
              <w:rPr>
                <w:sz w:val="18"/>
                <w:szCs w:val="18"/>
              </w:rPr>
              <w:t>333</w:t>
            </w:r>
          </w:p>
        </w:tc>
        <w:tc>
          <w:tcPr>
            <w:tcW w:w="6169" w:type="dxa"/>
            <w:tcBorders>
              <w:top w:val="nil"/>
              <w:left w:val="nil"/>
              <w:bottom w:val="nil"/>
              <w:right w:val="single" w:sz="4" w:space="0" w:color="000000" w:themeColor="text1"/>
            </w:tcBorders>
            <w:shd w:val="clear" w:color="auto" w:fill="auto"/>
            <w:vAlign w:val="center"/>
          </w:tcPr>
          <w:p w14:paraId="35B4F1E8" w14:textId="77777777" w:rsidR="005628C0" w:rsidRPr="000D1E2C" w:rsidRDefault="005628C0" w:rsidP="005628C0">
            <w:pPr>
              <w:ind w:left="-57"/>
              <w:jc w:val="left"/>
              <w:rPr>
                <w:sz w:val="18"/>
                <w:szCs w:val="18"/>
              </w:rPr>
            </w:pPr>
            <w:r w:rsidRPr="000D1E2C">
              <w:rPr>
                <w:sz w:val="18"/>
                <w:szCs w:val="18"/>
              </w:rPr>
              <w:t xml:space="preserve">Fabricación de maquinaria y equipo </w:t>
            </w:r>
          </w:p>
        </w:tc>
        <w:tc>
          <w:tcPr>
            <w:tcW w:w="1080" w:type="dxa"/>
            <w:tcBorders>
              <w:top w:val="nil"/>
              <w:left w:val="single" w:sz="4" w:space="0" w:color="000000" w:themeColor="text1"/>
              <w:bottom w:val="nil"/>
              <w:right w:val="single" w:sz="4" w:space="0" w:color="000000" w:themeColor="text1"/>
            </w:tcBorders>
            <w:vAlign w:val="center"/>
          </w:tcPr>
          <w:p w14:paraId="35374CCA" w14:textId="48673867"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-2.6</w:t>
            </w:r>
          </w:p>
        </w:tc>
        <w:tc>
          <w:tcPr>
            <w:tcW w:w="1080" w:type="dxa"/>
            <w:tcBorders>
              <w:top w:val="nil"/>
              <w:left w:val="single" w:sz="4" w:space="0" w:color="000000" w:themeColor="text1"/>
              <w:bottom w:val="nil"/>
              <w:right w:val="double" w:sz="4" w:space="0" w:color="000000" w:themeColor="text1"/>
            </w:tcBorders>
            <w:vAlign w:val="center"/>
          </w:tcPr>
          <w:p w14:paraId="540AAE25" w14:textId="5559DD47"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-1.3</w:t>
            </w:r>
          </w:p>
        </w:tc>
      </w:tr>
      <w:tr w:rsidR="005628C0" w:rsidRPr="00E464CF" w14:paraId="4D362E53" w14:textId="38C7992F" w:rsidTr="00331574">
        <w:trPr>
          <w:jc w:val="center"/>
        </w:trPr>
        <w:tc>
          <w:tcPr>
            <w:tcW w:w="694" w:type="dxa"/>
            <w:tcBorders>
              <w:top w:val="nil"/>
              <w:left w:val="double" w:sz="4" w:space="0" w:color="000000" w:themeColor="text1"/>
              <w:bottom w:val="nil"/>
              <w:right w:val="nil"/>
            </w:tcBorders>
          </w:tcPr>
          <w:p w14:paraId="334A2F7C" w14:textId="77777777" w:rsidR="005628C0" w:rsidRPr="000D1E2C" w:rsidRDefault="005628C0" w:rsidP="005628C0">
            <w:pPr>
              <w:ind w:right="57"/>
              <w:jc w:val="right"/>
              <w:rPr>
                <w:sz w:val="18"/>
                <w:szCs w:val="18"/>
              </w:rPr>
            </w:pPr>
            <w:r w:rsidRPr="000D1E2C">
              <w:rPr>
                <w:sz w:val="18"/>
                <w:szCs w:val="18"/>
              </w:rPr>
              <w:t>334</w:t>
            </w:r>
          </w:p>
        </w:tc>
        <w:tc>
          <w:tcPr>
            <w:tcW w:w="6169" w:type="dxa"/>
            <w:tcBorders>
              <w:top w:val="nil"/>
              <w:left w:val="nil"/>
              <w:bottom w:val="nil"/>
              <w:right w:val="single" w:sz="4" w:space="0" w:color="000000" w:themeColor="text1"/>
            </w:tcBorders>
            <w:shd w:val="clear" w:color="auto" w:fill="auto"/>
            <w:vAlign w:val="center"/>
          </w:tcPr>
          <w:p w14:paraId="400C65A3" w14:textId="77777777" w:rsidR="005628C0" w:rsidRPr="000D1E2C" w:rsidRDefault="005628C0" w:rsidP="005628C0">
            <w:pPr>
              <w:ind w:left="-57"/>
              <w:jc w:val="left"/>
              <w:rPr>
                <w:sz w:val="18"/>
                <w:szCs w:val="18"/>
              </w:rPr>
            </w:pPr>
            <w:r w:rsidRPr="000D1E2C">
              <w:rPr>
                <w:sz w:val="18"/>
                <w:szCs w:val="18"/>
              </w:rPr>
              <w:t xml:space="preserve">Fabricación de equipo de computación, comunicación, medición y de otros equipos, componentes y accesorios electrónicos </w:t>
            </w:r>
          </w:p>
        </w:tc>
        <w:tc>
          <w:tcPr>
            <w:tcW w:w="1080" w:type="dxa"/>
            <w:tcBorders>
              <w:top w:val="nil"/>
              <w:left w:val="single" w:sz="4" w:space="0" w:color="000000" w:themeColor="text1"/>
              <w:bottom w:val="nil"/>
              <w:right w:val="single" w:sz="4" w:space="0" w:color="000000" w:themeColor="text1"/>
            </w:tcBorders>
            <w:vAlign w:val="center"/>
          </w:tcPr>
          <w:p w14:paraId="30BAC18D" w14:textId="7CB5D139"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4.7</w:t>
            </w:r>
          </w:p>
        </w:tc>
        <w:tc>
          <w:tcPr>
            <w:tcW w:w="1080" w:type="dxa"/>
            <w:tcBorders>
              <w:top w:val="nil"/>
              <w:left w:val="single" w:sz="4" w:space="0" w:color="000000" w:themeColor="text1"/>
              <w:bottom w:val="nil"/>
              <w:right w:val="double" w:sz="4" w:space="0" w:color="000000" w:themeColor="text1"/>
            </w:tcBorders>
            <w:vAlign w:val="center"/>
          </w:tcPr>
          <w:p w14:paraId="5C4C6E73" w14:textId="30A4E77D"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7.6</w:t>
            </w:r>
          </w:p>
        </w:tc>
      </w:tr>
      <w:tr w:rsidR="005628C0" w:rsidRPr="00E464CF" w14:paraId="33F42D2F" w14:textId="7B360B77" w:rsidTr="00331574">
        <w:trPr>
          <w:jc w:val="center"/>
        </w:trPr>
        <w:tc>
          <w:tcPr>
            <w:tcW w:w="694" w:type="dxa"/>
            <w:tcBorders>
              <w:top w:val="nil"/>
              <w:left w:val="double" w:sz="4" w:space="0" w:color="000000" w:themeColor="text1"/>
              <w:bottom w:val="nil"/>
              <w:right w:val="nil"/>
            </w:tcBorders>
          </w:tcPr>
          <w:p w14:paraId="329C0098" w14:textId="77777777" w:rsidR="005628C0" w:rsidRPr="000D1E2C" w:rsidRDefault="005628C0" w:rsidP="005628C0">
            <w:pPr>
              <w:ind w:right="57"/>
              <w:jc w:val="right"/>
              <w:rPr>
                <w:sz w:val="18"/>
                <w:szCs w:val="18"/>
              </w:rPr>
            </w:pPr>
            <w:r w:rsidRPr="000D1E2C">
              <w:rPr>
                <w:sz w:val="18"/>
                <w:szCs w:val="18"/>
              </w:rPr>
              <w:t>335</w:t>
            </w:r>
          </w:p>
        </w:tc>
        <w:tc>
          <w:tcPr>
            <w:tcW w:w="6169" w:type="dxa"/>
            <w:tcBorders>
              <w:top w:val="nil"/>
              <w:left w:val="nil"/>
              <w:bottom w:val="nil"/>
              <w:right w:val="single" w:sz="4" w:space="0" w:color="000000" w:themeColor="text1"/>
            </w:tcBorders>
            <w:shd w:val="clear" w:color="auto" w:fill="auto"/>
            <w:vAlign w:val="center"/>
          </w:tcPr>
          <w:p w14:paraId="25CF83EA" w14:textId="77777777" w:rsidR="005628C0" w:rsidRPr="000D1E2C" w:rsidRDefault="005628C0" w:rsidP="005628C0">
            <w:pPr>
              <w:ind w:left="-57"/>
              <w:jc w:val="left"/>
              <w:rPr>
                <w:sz w:val="18"/>
                <w:szCs w:val="18"/>
              </w:rPr>
            </w:pPr>
            <w:r w:rsidRPr="000D1E2C">
              <w:rPr>
                <w:sz w:val="18"/>
                <w:szCs w:val="18"/>
              </w:rPr>
              <w:t>Fabricación de accesorios, aparatos eléctricos y equipo de generación de energía eléctrica</w:t>
            </w:r>
          </w:p>
        </w:tc>
        <w:tc>
          <w:tcPr>
            <w:tcW w:w="1080" w:type="dxa"/>
            <w:tcBorders>
              <w:top w:val="nil"/>
              <w:left w:val="single" w:sz="4" w:space="0" w:color="000000" w:themeColor="text1"/>
              <w:bottom w:val="nil"/>
              <w:right w:val="single" w:sz="4" w:space="0" w:color="000000" w:themeColor="text1"/>
            </w:tcBorders>
            <w:vAlign w:val="center"/>
          </w:tcPr>
          <w:p w14:paraId="22C53B20" w14:textId="3870641F"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-0.2</w:t>
            </w:r>
          </w:p>
        </w:tc>
        <w:tc>
          <w:tcPr>
            <w:tcW w:w="1080" w:type="dxa"/>
            <w:tcBorders>
              <w:top w:val="nil"/>
              <w:left w:val="single" w:sz="4" w:space="0" w:color="000000" w:themeColor="text1"/>
              <w:bottom w:val="nil"/>
              <w:right w:val="double" w:sz="4" w:space="0" w:color="000000" w:themeColor="text1"/>
            </w:tcBorders>
            <w:vAlign w:val="center"/>
          </w:tcPr>
          <w:p w14:paraId="6362BE54" w14:textId="6A289D2B"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2.6</w:t>
            </w:r>
          </w:p>
        </w:tc>
      </w:tr>
      <w:tr w:rsidR="005628C0" w:rsidRPr="00E464CF" w14:paraId="2A38F6A1" w14:textId="5E2C7E25" w:rsidTr="00331574">
        <w:trPr>
          <w:jc w:val="center"/>
        </w:trPr>
        <w:tc>
          <w:tcPr>
            <w:tcW w:w="694" w:type="dxa"/>
            <w:tcBorders>
              <w:top w:val="nil"/>
              <w:left w:val="double" w:sz="4" w:space="0" w:color="000000" w:themeColor="text1"/>
              <w:bottom w:val="nil"/>
              <w:right w:val="nil"/>
            </w:tcBorders>
            <w:vAlign w:val="center"/>
          </w:tcPr>
          <w:p w14:paraId="39763A05" w14:textId="77777777" w:rsidR="005628C0" w:rsidRPr="000D1E2C" w:rsidRDefault="005628C0" w:rsidP="005628C0">
            <w:pPr>
              <w:ind w:right="57"/>
              <w:jc w:val="right"/>
              <w:rPr>
                <w:sz w:val="18"/>
                <w:szCs w:val="18"/>
              </w:rPr>
            </w:pPr>
            <w:r w:rsidRPr="000D1E2C">
              <w:rPr>
                <w:sz w:val="18"/>
                <w:szCs w:val="18"/>
              </w:rPr>
              <w:t>336</w:t>
            </w:r>
          </w:p>
        </w:tc>
        <w:tc>
          <w:tcPr>
            <w:tcW w:w="6169" w:type="dxa"/>
            <w:tcBorders>
              <w:top w:val="nil"/>
              <w:left w:val="nil"/>
              <w:bottom w:val="nil"/>
              <w:right w:val="single" w:sz="4" w:space="0" w:color="000000" w:themeColor="text1"/>
            </w:tcBorders>
            <w:shd w:val="clear" w:color="auto" w:fill="auto"/>
            <w:vAlign w:val="center"/>
          </w:tcPr>
          <w:p w14:paraId="079C9269" w14:textId="77777777" w:rsidR="005628C0" w:rsidRPr="000D1E2C" w:rsidRDefault="005628C0" w:rsidP="005628C0">
            <w:pPr>
              <w:ind w:left="-57"/>
              <w:jc w:val="left"/>
              <w:rPr>
                <w:sz w:val="18"/>
                <w:szCs w:val="18"/>
              </w:rPr>
            </w:pPr>
            <w:r w:rsidRPr="000D1E2C">
              <w:rPr>
                <w:sz w:val="18"/>
                <w:szCs w:val="18"/>
              </w:rPr>
              <w:t xml:space="preserve">Fabricación de equipo de transporte </w:t>
            </w:r>
          </w:p>
        </w:tc>
        <w:tc>
          <w:tcPr>
            <w:tcW w:w="1080" w:type="dxa"/>
            <w:tcBorders>
              <w:top w:val="nil"/>
              <w:left w:val="single" w:sz="4" w:space="0" w:color="000000" w:themeColor="text1"/>
              <w:bottom w:val="nil"/>
              <w:right w:val="single" w:sz="4" w:space="0" w:color="000000" w:themeColor="text1"/>
            </w:tcBorders>
            <w:vAlign w:val="center"/>
          </w:tcPr>
          <w:p w14:paraId="7B7601A9" w14:textId="6D2D9713"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2.3</w:t>
            </w:r>
          </w:p>
        </w:tc>
        <w:tc>
          <w:tcPr>
            <w:tcW w:w="1080" w:type="dxa"/>
            <w:tcBorders>
              <w:top w:val="nil"/>
              <w:left w:val="single" w:sz="4" w:space="0" w:color="000000" w:themeColor="text1"/>
              <w:bottom w:val="nil"/>
              <w:right w:val="double" w:sz="4" w:space="0" w:color="000000" w:themeColor="text1"/>
            </w:tcBorders>
            <w:vAlign w:val="center"/>
          </w:tcPr>
          <w:p w14:paraId="6BF04547" w14:textId="49482AEF"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3.4</w:t>
            </w:r>
          </w:p>
        </w:tc>
      </w:tr>
      <w:tr w:rsidR="005628C0" w:rsidRPr="00E464CF" w14:paraId="3D8F579A" w14:textId="7B9EADF3" w:rsidTr="00331574">
        <w:trPr>
          <w:jc w:val="center"/>
        </w:trPr>
        <w:tc>
          <w:tcPr>
            <w:tcW w:w="694" w:type="dxa"/>
            <w:tcBorders>
              <w:top w:val="nil"/>
              <w:left w:val="double" w:sz="4" w:space="0" w:color="000000" w:themeColor="text1"/>
              <w:bottom w:val="nil"/>
              <w:right w:val="nil"/>
            </w:tcBorders>
            <w:vAlign w:val="center"/>
          </w:tcPr>
          <w:p w14:paraId="665A418C" w14:textId="77777777" w:rsidR="005628C0" w:rsidRPr="000D1E2C" w:rsidRDefault="005628C0" w:rsidP="005628C0">
            <w:pPr>
              <w:ind w:right="57"/>
              <w:jc w:val="right"/>
              <w:rPr>
                <w:sz w:val="18"/>
                <w:szCs w:val="18"/>
              </w:rPr>
            </w:pPr>
            <w:r w:rsidRPr="000D1E2C">
              <w:rPr>
                <w:sz w:val="18"/>
                <w:szCs w:val="18"/>
              </w:rPr>
              <w:t>337</w:t>
            </w:r>
          </w:p>
        </w:tc>
        <w:tc>
          <w:tcPr>
            <w:tcW w:w="6169" w:type="dxa"/>
            <w:tcBorders>
              <w:top w:val="nil"/>
              <w:left w:val="nil"/>
              <w:bottom w:val="nil"/>
              <w:right w:val="single" w:sz="4" w:space="0" w:color="000000" w:themeColor="text1"/>
            </w:tcBorders>
            <w:shd w:val="clear" w:color="auto" w:fill="auto"/>
            <w:vAlign w:val="center"/>
          </w:tcPr>
          <w:p w14:paraId="2F918781" w14:textId="77777777" w:rsidR="005628C0" w:rsidRPr="000D1E2C" w:rsidRDefault="005628C0" w:rsidP="005628C0">
            <w:pPr>
              <w:ind w:left="-57"/>
              <w:jc w:val="left"/>
              <w:rPr>
                <w:sz w:val="18"/>
                <w:szCs w:val="18"/>
              </w:rPr>
            </w:pPr>
            <w:r w:rsidRPr="000D1E2C">
              <w:rPr>
                <w:sz w:val="18"/>
                <w:szCs w:val="18"/>
              </w:rPr>
              <w:t>Fabricación de muebles, colchones y persianas</w:t>
            </w:r>
          </w:p>
        </w:tc>
        <w:tc>
          <w:tcPr>
            <w:tcW w:w="1080" w:type="dxa"/>
            <w:tcBorders>
              <w:top w:val="nil"/>
              <w:left w:val="single" w:sz="4" w:space="0" w:color="000000" w:themeColor="text1"/>
              <w:bottom w:val="nil"/>
              <w:right w:val="single" w:sz="4" w:space="0" w:color="000000" w:themeColor="text1"/>
            </w:tcBorders>
            <w:vAlign w:val="center"/>
          </w:tcPr>
          <w:p w14:paraId="752A764F" w14:textId="52B433F9"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10.4</w:t>
            </w:r>
          </w:p>
        </w:tc>
        <w:tc>
          <w:tcPr>
            <w:tcW w:w="1080" w:type="dxa"/>
            <w:tcBorders>
              <w:top w:val="nil"/>
              <w:left w:val="single" w:sz="4" w:space="0" w:color="000000" w:themeColor="text1"/>
              <w:bottom w:val="nil"/>
              <w:right w:val="double" w:sz="4" w:space="0" w:color="000000" w:themeColor="text1"/>
            </w:tcBorders>
            <w:vAlign w:val="center"/>
          </w:tcPr>
          <w:p w14:paraId="1184388B" w14:textId="5A1D1A0D"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8.4</w:t>
            </w:r>
          </w:p>
        </w:tc>
      </w:tr>
      <w:tr w:rsidR="005628C0" w:rsidRPr="00E464CF" w14:paraId="1BFDFFAD" w14:textId="1879EA51" w:rsidTr="00331574">
        <w:trPr>
          <w:jc w:val="center"/>
        </w:trPr>
        <w:tc>
          <w:tcPr>
            <w:tcW w:w="694" w:type="dxa"/>
            <w:tcBorders>
              <w:top w:val="nil"/>
              <w:left w:val="double" w:sz="4" w:space="0" w:color="000000" w:themeColor="text1"/>
              <w:bottom w:val="double" w:sz="4" w:space="0" w:color="000000" w:themeColor="text1"/>
              <w:right w:val="nil"/>
            </w:tcBorders>
            <w:vAlign w:val="center"/>
          </w:tcPr>
          <w:p w14:paraId="3F20771A" w14:textId="77777777" w:rsidR="005628C0" w:rsidRPr="000D1E2C" w:rsidRDefault="005628C0" w:rsidP="005628C0">
            <w:pPr>
              <w:spacing w:after="60"/>
              <w:ind w:right="57"/>
              <w:jc w:val="right"/>
              <w:rPr>
                <w:sz w:val="18"/>
                <w:szCs w:val="18"/>
              </w:rPr>
            </w:pPr>
            <w:r w:rsidRPr="000D1E2C">
              <w:rPr>
                <w:sz w:val="18"/>
                <w:szCs w:val="18"/>
              </w:rPr>
              <w:t>339</w:t>
            </w:r>
          </w:p>
        </w:tc>
        <w:tc>
          <w:tcPr>
            <w:tcW w:w="6169" w:type="dxa"/>
            <w:tcBorders>
              <w:top w:val="nil"/>
              <w:left w:val="nil"/>
              <w:bottom w:val="double" w:sz="4" w:space="0" w:color="000000" w:themeColor="text1"/>
              <w:right w:val="single" w:sz="4" w:space="0" w:color="000000" w:themeColor="text1"/>
            </w:tcBorders>
            <w:shd w:val="clear" w:color="auto" w:fill="auto"/>
            <w:vAlign w:val="center"/>
          </w:tcPr>
          <w:p w14:paraId="5B85F736" w14:textId="77777777" w:rsidR="005628C0" w:rsidRPr="000D1E2C" w:rsidRDefault="005628C0" w:rsidP="005628C0">
            <w:pPr>
              <w:spacing w:after="60"/>
              <w:ind w:left="-57"/>
              <w:jc w:val="left"/>
              <w:rPr>
                <w:sz w:val="18"/>
                <w:szCs w:val="18"/>
              </w:rPr>
            </w:pPr>
            <w:r w:rsidRPr="000D1E2C">
              <w:rPr>
                <w:sz w:val="18"/>
                <w:szCs w:val="18"/>
              </w:rPr>
              <w:t xml:space="preserve">Otras industrias manufactureras </w:t>
            </w:r>
          </w:p>
        </w:tc>
        <w:tc>
          <w:tcPr>
            <w:tcW w:w="1080" w:type="dxa"/>
            <w:tcBorders>
              <w:top w:val="nil"/>
              <w:left w:val="single" w:sz="4" w:space="0" w:color="000000" w:themeColor="text1"/>
              <w:bottom w:val="double" w:sz="4" w:space="0" w:color="000000" w:themeColor="text1"/>
              <w:right w:val="single" w:sz="4" w:space="0" w:color="000000" w:themeColor="text1"/>
            </w:tcBorders>
            <w:vAlign w:val="center"/>
          </w:tcPr>
          <w:p w14:paraId="0445957B" w14:textId="76B30B21"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2.9</w:t>
            </w:r>
          </w:p>
        </w:tc>
        <w:tc>
          <w:tcPr>
            <w:tcW w:w="1080" w:type="dxa"/>
            <w:tcBorders>
              <w:top w:val="nil"/>
              <w:left w:val="single" w:sz="4" w:space="0" w:color="000000" w:themeColor="text1"/>
              <w:bottom w:val="double" w:sz="4" w:space="0" w:color="000000" w:themeColor="text1"/>
              <w:right w:val="double" w:sz="4" w:space="0" w:color="000000" w:themeColor="text1"/>
            </w:tcBorders>
            <w:vAlign w:val="center"/>
          </w:tcPr>
          <w:p w14:paraId="181ED349" w14:textId="477C4D77" w:rsidR="005628C0" w:rsidRPr="00D5001D" w:rsidRDefault="005628C0" w:rsidP="005628C0">
            <w:pPr>
              <w:tabs>
                <w:tab w:val="decimal" w:pos="433"/>
              </w:tabs>
              <w:jc w:val="left"/>
              <w:rPr>
                <w:bCs/>
                <w:color w:val="000000"/>
                <w:sz w:val="18"/>
                <w:szCs w:val="18"/>
                <w:lang w:eastAsia="es-MX"/>
              </w:rPr>
            </w:pPr>
            <w:r w:rsidRPr="00D5001D">
              <w:rPr>
                <w:color w:val="000000"/>
                <w:sz w:val="18"/>
                <w:szCs w:val="18"/>
              </w:rPr>
              <w:t>5.2</w:t>
            </w:r>
          </w:p>
        </w:tc>
      </w:tr>
    </w:tbl>
    <w:p w14:paraId="7A464EB6" w14:textId="573327CA" w:rsidR="00853669" w:rsidRPr="000D1E2C" w:rsidRDefault="00853669" w:rsidP="00115291">
      <w:pPr>
        <w:pStyle w:val="p0"/>
        <w:tabs>
          <w:tab w:val="right" w:pos="9668"/>
        </w:tabs>
        <w:spacing w:before="0"/>
        <w:ind w:left="112"/>
        <w:jc w:val="left"/>
        <w:rPr>
          <w:rFonts w:ascii="Arial" w:hAnsi="Arial"/>
          <w:color w:val="auto"/>
          <w:sz w:val="16"/>
          <w:szCs w:val="16"/>
        </w:rPr>
      </w:pPr>
      <w:r w:rsidRPr="000D1E2C">
        <w:rPr>
          <w:rFonts w:ascii="Arial" w:hAnsi="Arial"/>
          <w:color w:val="auto"/>
          <w:sz w:val="18"/>
          <w:szCs w:val="18"/>
          <w:vertAlign w:val="superscript"/>
        </w:rPr>
        <w:t>P/</w:t>
      </w:r>
      <w:r w:rsidRPr="000D1E2C">
        <w:rPr>
          <w:rFonts w:ascii="Arial" w:hAnsi="Arial"/>
          <w:color w:val="auto"/>
          <w:sz w:val="16"/>
          <w:szCs w:val="16"/>
        </w:rPr>
        <w:t xml:space="preserve"> Cifras preliminares.</w:t>
      </w:r>
      <w:r w:rsidR="00E42806">
        <w:rPr>
          <w:rFonts w:ascii="Arial" w:hAnsi="Arial"/>
          <w:color w:val="auto"/>
          <w:sz w:val="16"/>
          <w:szCs w:val="16"/>
        </w:rPr>
        <w:tab/>
      </w:r>
    </w:p>
    <w:p w14:paraId="7646852A" w14:textId="73B10C91" w:rsidR="00EC2181" w:rsidRDefault="00853669" w:rsidP="00115291">
      <w:pPr>
        <w:pStyle w:val="parr2"/>
        <w:widowControl w:val="0"/>
        <w:spacing w:before="0"/>
        <w:ind w:left="112" w:right="584"/>
        <w:rPr>
          <w:rFonts w:cs="Arial"/>
          <w:sz w:val="16"/>
          <w:szCs w:val="16"/>
        </w:rPr>
      </w:pPr>
      <w:r w:rsidRPr="000D1E2C">
        <w:rPr>
          <w:rFonts w:cs="Arial"/>
          <w:sz w:val="16"/>
          <w:szCs w:val="16"/>
        </w:rPr>
        <w:t>Fuente: INEGI.</w:t>
      </w:r>
    </w:p>
    <w:p w14:paraId="0A6F8F93" w14:textId="4FAFF018" w:rsidR="000254CB" w:rsidRPr="00C30B41" w:rsidRDefault="000254CB" w:rsidP="00C30B41">
      <w:pPr>
        <w:pStyle w:val="parr2"/>
        <w:widowControl w:val="0"/>
        <w:spacing w:before="0"/>
        <w:ind w:left="284" w:right="-113"/>
        <w:rPr>
          <w:rFonts w:cs="Arial"/>
          <w:sz w:val="16"/>
          <w:szCs w:val="16"/>
        </w:rPr>
      </w:pPr>
    </w:p>
    <w:p w14:paraId="3B8F825A" w14:textId="77777777" w:rsidR="00C30B41" w:rsidRDefault="00C30B41">
      <w:pPr>
        <w:jc w:val="left"/>
        <w:rPr>
          <w:rFonts w:cs="Times New Roman"/>
          <w:b/>
          <w:i/>
          <w:szCs w:val="20"/>
        </w:rPr>
      </w:pPr>
      <w:bookmarkStart w:id="4" w:name="_Hlk40107795"/>
      <w:r>
        <w:rPr>
          <w:b/>
          <w:i/>
        </w:rPr>
        <w:br w:type="page"/>
      </w:r>
    </w:p>
    <w:p w14:paraId="4C0AD43D" w14:textId="37AE7A1D" w:rsidR="0040133A" w:rsidRDefault="0040133A" w:rsidP="001A5168">
      <w:pPr>
        <w:pStyle w:val="parr2"/>
        <w:widowControl w:val="0"/>
        <w:spacing w:before="120"/>
        <w:ind w:left="0" w:right="0"/>
        <w:rPr>
          <w:b/>
          <w:i/>
        </w:rPr>
      </w:pPr>
      <w:r w:rsidRPr="00FC1B91">
        <w:rPr>
          <w:b/>
          <w:i/>
        </w:rPr>
        <w:lastRenderedPageBreak/>
        <w:t>Nota al usuario</w:t>
      </w:r>
    </w:p>
    <w:bookmarkEnd w:id="4"/>
    <w:p w14:paraId="5B77F4BC" w14:textId="1C6751CB" w:rsidR="007B46DC" w:rsidRPr="00730E04" w:rsidRDefault="009E0A34" w:rsidP="001A5168">
      <w:pPr>
        <w:pStyle w:val="Default"/>
        <w:spacing w:before="200"/>
        <w:jc w:val="both"/>
        <w:rPr>
          <w:color w:val="auto"/>
        </w:rPr>
      </w:pPr>
      <w:r w:rsidRPr="009E0A34">
        <w:t>Este indicador se actualiza una vez que se dispone</w:t>
      </w:r>
      <w:r w:rsidRPr="004B7724">
        <w:rPr>
          <w:color w:val="auto"/>
        </w:rPr>
        <w:t xml:space="preserve"> </w:t>
      </w:r>
      <w:r w:rsidR="001A5168" w:rsidRPr="00730E04">
        <w:t xml:space="preserve">de la información estadística </w:t>
      </w:r>
      <w:r w:rsidR="00A5696C">
        <w:t>más reciente</w:t>
      </w:r>
      <w:r w:rsidR="00A5696C" w:rsidRPr="00730E04">
        <w:t xml:space="preserve"> </w:t>
      </w:r>
      <w:r w:rsidR="001A5168" w:rsidRPr="00730E04">
        <w:t xml:space="preserve">de las </w:t>
      </w:r>
      <w:r w:rsidR="007B46DC" w:rsidRPr="00730E04">
        <w:rPr>
          <w:color w:val="auto"/>
        </w:rPr>
        <w:t xml:space="preserve">encuestas, los registros administrativos y los datos primarios. </w:t>
      </w:r>
      <w:r w:rsidR="00A5092B">
        <w:rPr>
          <w:color w:val="auto"/>
        </w:rPr>
        <w:t xml:space="preserve">En esta ocasión también se consideró la versión revisada de las Cuentas de Bienes y </w:t>
      </w:r>
      <w:r w:rsidR="005346E4">
        <w:rPr>
          <w:color w:val="auto"/>
        </w:rPr>
        <w:t>S</w:t>
      </w:r>
      <w:r w:rsidR="00A5092B">
        <w:rPr>
          <w:color w:val="auto"/>
        </w:rPr>
        <w:t>ervicios 2020</w:t>
      </w:r>
      <w:r w:rsidR="005346E4">
        <w:rPr>
          <w:color w:val="auto"/>
        </w:rPr>
        <w:t xml:space="preserve">. </w:t>
      </w:r>
      <w:r w:rsidR="007B46DC" w:rsidRPr="00730E04">
        <w:rPr>
          <w:color w:val="auto"/>
        </w:rPr>
        <w:t xml:space="preserve">Como resultado de incorporar dicha información, se identifican diferencias en los niveles de los índices y variaciones que fueron </w:t>
      </w:r>
      <w:r w:rsidRPr="00730E04">
        <w:rPr>
          <w:color w:val="auto"/>
        </w:rPr>
        <w:t xml:space="preserve">publicados </w:t>
      </w:r>
      <w:r w:rsidR="007B46DC" w:rsidRPr="00730E04">
        <w:rPr>
          <w:color w:val="auto"/>
        </w:rPr>
        <w:t>oportunamente.</w:t>
      </w:r>
      <w:r w:rsidRPr="00730E04">
        <w:rPr>
          <w:color w:val="auto"/>
        </w:rPr>
        <w:t xml:space="preserve"> La actualización se hace con base en los Lineamientos de cambios a la información divulgada en las publicaciones estadísticas y geográficas del INEGI que se complementan con las Normas Especiales para la Divulgación de Datos del FMI</w:t>
      </w:r>
      <w:r w:rsidR="001A5168" w:rsidRPr="00730E04">
        <w:rPr>
          <w:color w:val="auto"/>
        </w:rPr>
        <w:t>.</w:t>
      </w:r>
    </w:p>
    <w:p w14:paraId="23F4A677" w14:textId="619CDC87" w:rsidR="007B46DC" w:rsidRDefault="007B46DC" w:rsidP="001A5168">
      <w:pPr>
        <w:pStyle w:val="Default"/>
        <w:spacing w:before="200"/>
        <w:jc w:val="both"/>
      </w:pPr>
      <w:r w:rsidRPr="00D467CB">
        <w:rPr>
          <w:color w:val="auto"/>
        </w:rPr>
        <w:t xml:space="preserve">La </w:t>
      </w:r>
      <w:r>
        <w:rPr>
          <w:color w:val="auto"/>
        </w:rPr>
        <w:t>t</w:t>
      </w:r>
      <w:r w:rsidRPr="00D467CB">
        <w:rPr>
          <w:color w:val="auto"/>
        </w:rPr>
        <w:t xml:space="preserve">asa de </w:t>
      </w:r>
      <w:r>
        <w:rPr>
          <w:color w:val="auto"/>
        </w:rPr>
        <w:t>n</w:t>
      </w:r>
      <w:r w:rsidRPr="00D467CB">
        <w:rPr>
          <w:color w:val="auto"/>
        </w:rPr>
        <w:t xml:space="preserve">o </w:t>
      </w:r>
      <w:r>
        <w:rPr>
          <w:color w:val="auto"/>
        </w:rPr>
        <w:t>r</w:t>
      </w:r>
      <w:r w:rsidRPr="00D467CB">
        <w:rPr>
          <w:color w:val="auto"/>
        </w:rPr>
        <w:t xml:space="preserve">espuesta en la captación de las </w:t>
      </w:r>
      <w:r w:rsidR="00036EE4">
        <w:rPr>
          <w:color w:val="auto"/>
        </w:rPr>
        <w:t>e</w:t>
      </w:r>
      <w:r w:rsidRPr="00D467CB">
        <w:rPr>
          <w:color w:val="auto"/>
        </w:rPr>
        <w:t xml:space="preserve">ncuestas </w:t>
      </w:r>
      <w:r w:rsidR="00036EE4">
        <w:rPr>
          <w:color w:val="auto"/>
        </w:rPr>
        <w:t>e</w:t>
      </w:r>
      <w:r w:rsidRPr="00D467CB">
        <w:rPr>
          <w:color w:val="auto"/>
        </w:rPr>
        <w:t>conómicas que se consideraron para la integración del IMAI</w:t>
      </w:r>
      <w:r>
        <w:rPr>
          <w:rStyle w:val="Refdenotaalpie"/>
          <w:color w:val="auto"/>
        </w:rPr>
        <w:footnoteReference w:id="3"/>
      </w:r>
      <w:r w:rsidRPr="00D467CB">
        <w:rPr>
          <w:color w:val="auto"/>
        </w:rPr>
        <w:t xml:space="preserve"> en </w:t>
      </w:r>
      <w:r>
        <w:rPr>
          <w:color w:val="auto"/>
        </w:rPr>
        <w:t>marzo</w:t>
      </w:r>
      <w:r w:rsidRPr="00D467CB">
        <w:rPr>
          <w:color w:val="auto"/>
        </w:rPr>
        <w:t xml:space="preserve"> de 202</w:t>
      </w:r>
      <w:r>
        <w:rPr>
          <w:color w:val="auto"/>
        </w:rPr>
        <w:t>2</w:t>
      </w:r>
      <w:r w:rsidRPr="00D467CB">
        <w:rPr>
          <w:color w:val="auto"/>
        </w:rPr>
        <w:t xml:space="preserve"> registr</w:t>
      </w:r>
      <w:r>
        <w:rPr>
          <w:color w:val="auto"/>
        </w:rPr>
        <w:t>ó</w:t>
      </w:r>
      <w:r w:rsidRPr="00D467CB">
        <w:rPr>
          <w:color w:val="auto"/>
        </w:rPr>
        <w:t xml:space="preserve"> porcentajes apropiados de acuerdo con el diseño estadístico de las muestras</w:t>
      </w:r>
      <w:r>
        <w:t xml:space="preserve">. Asimismo, la captación de la Estadística de la Industria Minerometalúrgica (EIMM), de los registros administrativos y los datos primarios que divulga el Instituto permitió la generación de estadísticas con niveles altos de cobertura y precisión estadística. </w:t>
      </w:r>
    </w:p>
    <w:p w14:paraId="434ED6F8" w14:textId="6373AFFC" w:rsidR="00DF227D" w:rsidRDefault="007B46DC" w:rsidP="001A5168">
      <w:pPr>
        <w:pStyle w:val="parrafo1"/>
        <w:widowControl w:val="0"/>
        <w:spacing w:before="200"/>
        <w:ind w:left="0" w:right="0"/>
      </w:pPr>
      <w:r>
        <w:t>Para las actividades petroleras, de energía, gas y agua</w:t>
      </w:r>
      <w:r w:rsidR="006C199A">
        <w:t>,</w:t>
      </w:r>
      <w:r>
        <w:t xml:space="preserve"> se incluyeron los registros administrativos provenientes de las empresas y Unidades del Estado que se recibieron oportunamente vía correo electrónico y captación por </w:t>
      </w:r>
      <w:r w:rsidR="001A5168">
        <w:t>i</w:t>
      </w:r>
      <w:r>
        <w:t>nternet.</w:t>
      </w:r>
    </w:p>
    <w:p w14:paraId="492D045F" w14:textId="39F2E956" w:rsidR="00550942" w:rsidRDefault="0048371E" w:rsidP="001A5168">
      <w:pPr>
        <w:pStyle w:val="parrafo1"/>
        <w:widowControl w:val="0"/>
        <w:spacing w:before="200"/>
        <w:ind w:left="0" w:right="0"/>
        <w:rPr>
          <w:b/>
          <w:i/>
        </w:rPr>
      </w:pPr>
      <w:r w:rsidRPr="00EB6FA2">
        <w:t>Por otra parte, se informa que las cifras desestacionalizadas y de tendencia-ciclo pueden estar sujetas a revisiones debido al impacto inusual derivado de la emergencia sanitaria de</w:t>
      </w:r>
      <w:r w:rsidR="00600898">
        <w:t xml:space="preserve"> </w:t>
      </w:r>
      <w:r w:rsidRPr="00EB6FA2">
        <w:t>l</w:t>
      </w:r>
      <w:r w:rsidR="00600898">
        <w:t>a</w:t>
      </w:r>
      <w:r w:rsidRPr="00EB6FA2">
        <w:t xml:space="preserve"> COVID-19. La estrategia seguida por el INEGI ha sido revisar de manera particular cada serie de tiempo y analizar la necesidad de incluir algún tratamiento especial</w:t>
      </w:r>
      <w:r w:rsidR="00AD58FE">
        <w:t>, como el de</w:t>
      </w:r>
      <w:r w:rsidRPr="00EB6FA2">
        <w:t xml:space="preserve"> </w:t>
      </w:r>
      <w:proofErr w:type="spellStart"/>
      <w:r w:rsidR="00600898">
        <w:rPr>
          <w:i/>
          <w:iCs/>
        </w:rPr>
        <w:t>O</w:t>
      </w:r>
      <w:r w:rsidRPr="006C14B3">
        <w:rPr>
          <w:i/>
          <w:iCs/>
        </w:rPr>
        <w:t>utliers</w:t>
      </w:r>
      <w:proofErr w:type="spellEnd"/>
      <w:r w:rsidR="003A6F96">
        <w:rPr>
          <w:i/>
          <w:iCs/>
        </w:rPr>
        <w:t>,</w:t>
      </w:r>
      <w:r w:rsidRPr="00EB6FA2">
        <w:t xml:space="preserve"> en los modelos de ajuste estacional para los meses de la contingencia. Lo anterior con el objetivo de que los grandes cambios en las cifras originales no influyan de manera desproporcionada en los factores estacionales utilizados.</w:t>
      </w:r>
    </w:p>
    <w:p w14:paraId="60B73E32" w14:textId="31F3EF86" w:rsidR="00EC2181" w:rsidRDefault="00EC2181" w:rsidP="001A5168">
      <w:pPr>
        <w:pStyle w:val="parr2"/>
        <w:widowControl w:val="0"/>
        <w:spacing w:before="200"/>
        <w:ind w:left="0" w:right="0"/>
        <w:rPr>
          <w:b/>
          <w:i/>
        </w:rPr>
      </w:pPr>
      <w:r>
        <w:rPr>
          <w:b/>
          <w:i/>
        </w:rPr>
        <w:t>Nota metodológica</w:t>
      </w:r>
    </w:p>
    <w:p w14:paraId="70DA0111" w14:textId="59C52033" w:rsidR="00BA3C8A" w:rsidRPr="00BA3C8A" w:rsidRDefault="00291341" w:rsidP="001A5168">
      <w:pPr>
        <w:pStyle w:val="parrafo1"/>
        <w:widowControl w:val="0"/>
        <w:spacing w:before="200"/>
        <w:ind w:left="0" w:right="0"/>
      </w:pPr>
      <w:r>
        <w:t>El Indicador Mensual de la Actividad Industrial, que mide la evolución real de la actividad productiva, se elabora c</w:t>
      </w:r>
      <w:r w:rsidR="00BA3C8A">
        <w:t>on el fin de proporcionar información estadística que permita un conocimiento amplio y oportuno sobre el comportamiento del sector industrial.</w:t>
      </w:r>
    </w:p>
    <w:p w14:paraId="7667E182" w14:textId="463F6704" w:rsidR="00BA3C8A" w:rsidRDefault="00BA3C8A" w:rsidP="001A5168">
      <w:pPr>
        <w:pStyle w:val="parrafo1"/>
        <w:widowControl w:val="0"/>
        <w:spacing w:before="200"/>
        <w:ind w:left="0" w:right="0"/>
      </w:pPr>
      <w:r>
        <w:t>Los datos mensuales del IMAI están disponibles desde enero de 1993 y se expresan en índices de volumen físico</w:t>
      </w:r>
      <w:r w:rsidR="003F75E5">
        <w:t>,</w:t>
      </w:r>
      <w:r>
        <w:t xml:space="preserve"> </w:t>
      </w:r>
      <w:r w:rsidR="003F75E5">
        <w:t xml:space="preserve">de tipo Laspeyres, </w:t>
      </w:r>
      <w:r>
        <w:t>con base fija en el año 2013=100</w:t>
      </w:r>
      <w:r w:rsidR="00B779CC">
        <w:t>.</w:t>
      </w:r>
      <w:r>
        <w:t xml:space="preserve"> </w:t>
      </w:r>
      <w:r w:rsidR="00B779CC">
        <w:t xml:space="preserve"> Así, se</w:t>
      </w:r>
      <w:r>
        <w:t xml:space="preserve"> public</w:t>
      </w:r>
      <w:r w:rsidR="00B779CC">
        <w:t>an</w:t>
      </w:r>
      <w:r>
        <w:t xml:space="preserve"> índices mensuales, índices acumulados y sus respectivas variaciones anuales.</w:t>
      </w:r>
    </w:p>
    <w:p w14:paraId="0A432DA5" w14:textId="19280890" w:rsidR="00BA3C8A" w:rsidRDefault="006D7BA9" w:rsidP="00FB2F2C">
      <w:pPr>
        <w:pStyle w:val="parrafo1"/>
        <w:keepLines/>
        <w:widowControl w:val="0"/>
        <w:spacing w:before="240"/>
        <w:ind w:left="0" w:right="0"/>
      </w:pPr>
      <w:r>
        <w:lastRenderedPageBreak/>
        <w:t>La</w:t>
      </w:r>
      <w:r w:rsidR="00BA3C8A">
        <w:t xml:space="preserve"> cobertura geográfica</w:t>
      </w:r>
      <w:r>
        <w:t xml:space="preserve"> del indicador</w:t>
      </w:r>
      <w:r w:rsidR="00BA3C8A">
        <w:t xml:space="preserve"> es nacional </w:t>
      </w:r>
      <w:r w:rsidR="005D2D52">
        <w:t>y se integra por</w:t>
      </w:r>
      <w:r w:rsidR="00BA3C8A">
        <w:t xml:space="preserve"> los </w:t>
      </w:r>
      <w:r w:rsidR="00535864">
        <w:t xml:space="preserve">siguientes </w:t>
      </w:r>
      <w:r w:rsidR="00BA3C8A">
        <w:t>sectores económicos: 21</w:t>
      </w:r>
      <w:r w:rsidR="001B47B3">
        <w:t>,</w:t>
      </w:r>
      <w:r w:rsidR="00BA3C8A">
        <w:t xml:space="preserve"> Minería</w:t>
      </w:r>
      <w:r w:rsidR="001B47B3">
        <w:t xml:space="preserve">; </w:t>
      </w:r>
      <w:r w:rsidR="00BA3C8A">
        <w:t>22</w:t>
      </w:r>
      <w:r w:rsidR="001B47B3">
        <w:t>,</w:t>
      </w:r>
      <w:r w:rsidR="00BA3C8A">
        <w:t xml:space="preserve"> Generación, transmisión y distribución de energía eléctrica, suministro de agua y de gas por ductos al consumidor final</w:t>
      </w:r>
      <w:r w:rsidR="001B47B3">
        <w:t>;</w:t>
      </w:r>
      <w:r w:rsidR="00BA3C8A">
        <w:t xml:space="preserve"> 23</w:t>
      </w:r>
      <w:r w:rsidR="001B47B3">
        <w:t>,</w:t>
      </w:r>
      <w:r w:rsidR="00BA3C8A">
        <w:t xml:space="preserve"> Construcción y 31-33</w:t>
      </w:r>
      <w:r w:rsidR="001B47B3">
        <w:t>,</w:t>
      </w:r>
      <w:r w:rsidR="00BA3C8A">
        <w:t xml:space="preserve"> Industrias manufactureras</w:t>
      </w:r>
      <w:r w:rsidR="00D75D55">
        <w:t>. Se</w:t>
      </w:r>
      <w:r w:rsidR="00552E5B">
        <w:t xml:space="preserve"> incorporan también</w:t>
      </w:r>
      <w:r w:rsidR="00BA3C8A">
        <w:t xml:space="preserve"> sus subsectores de acuerdo con el Sistema de Clasificación Industrial de América del Norte 2013 (SCIAN)</w:t>
      </w:r>
      <w:r w:rsidR="005D2D52">
        <w:t>.</w:t>
      </w:r>
      <w:r w:rsidR="00BA3C8A">
        <w:t xml:space="preserve"> </w:t>
      </w:r>
      <w:r w:rsidR="005D2D52">
        <w:t>Además,</w:t>
      </w:r>
      <w:r w:rsidR="00552E5B">
        <w:t xml:space="preserve"> el indicador</w:t>
      </w:r>
      <w:r w:rsidR="005D2D52">
        <w:t xml:space="preserve"> tiene una</w:t>
      </w:r>
      <w:r w:rsidR="00BA3C8A">
        <w:t xml:space="preserve"> representatividad de 97% del valor agregado bruto del año 2013, año base de los productos del </w:t>
      </w:r>
      <w:r w:rsidR="00C87625" w:rsidRPr="00C87625">
        <w:t>Sistema de Cuentas Nacionales de México (</w:t>
      </w:r>
      <w:r w:rsidR="00BA3C8A">
        <w:t>SCNM</w:t>
      </w:r>
      <w:r w:rsidR="00C87625">
        <w:t>)</w:t>
      </w:r>
      <w:r w:rsidR="00BA3C8A">
        <w:t>.</w:t>
      </w:r>
    </w:p>
    <w:p w14:paraId="07213BA9" w14:textId="2D859F8B" w:rsidR="00BA3C8A" w:rsidRDefault="00BA3C8A" w:rsidP="003071BE">
      <w:pPr>
        <w:pStyle w:val="parrafo1"/>
        <w:widowControl w:val="0"/>
        <w:spacing w:before="260"/>
        <w:ind w:left="0" w:right="0"/>
      </w:pPr>
      <w:r>
        <w:t xml:space="preserve">Para la elaboración de las cifras originales del </w:t>
      </w:r>
      <w:r w:rsidR="009D779C">
        <w:t>i</w:t>
      </w:r>
      <w:r>
        <w:t xml:space="preserve">ndicador se siguen los conceptos, criterios metodológicos, clasificadores y datos fuente que se emplean en los cálculos anuales y trimestrales del Producto Interno Bruto (PIB). Asimismo, </w:t>
      </w:r>
      <w:r w:rsidR="002702C3">
        <w:t xml:space="preserve">se </w:t>
      </w:r>
      <w:r>
        <w:t>incorpora</w:t>
      </w:r>
      <w:r w:rsidR="001B47B3">
        <w:t>n</w:t>
      </w:r>
      <w:r>
        <w:t xml:space="preserve"> los lineamientos internacionales sobre contabilidad nacional, establecido</w:t>
      </w:r>
      <w:r w:rsidR="001B47B3">
        <w:t>s</w:t>
      </w:r>
      <w:r>
        <w:t xml:space="preserve"> por las Naciones Unidas (NU), la Organización para la Cooperación y Desarrollo Económicos (OCDE), el Banco Mundial (BM), el Fondo Monetario Internacional (FMI) y la Comisión Europea</w:t>
      </w:r>
      <w:r w:rsidR="001B47B3">
        <w:t>.</w:t>
      </w:r>
      <w:r>
        <w:t xml:space="preserve"> </w:t>
      </w:r>
      <w:r w:rsidR="001B47B3">
        <w:t>D</w:t>
      </w:r>
      <w:r>
        <w:t xml:space="preserve">ichas recomendaciones se encuentran difundidas en el </w:t>
      </w:r>
      <w:r w:rsidRPr="00591FC9">
        <w:rPr>
          <w:i/>
          <w:iCs/>
        </w:rPr>
        <w:t>Sistema de Cuentas Nacionales 2008 (SCN</w:t>
      </w:r>
      <w:r w:rsidR="00F06E7A">
        <w:rPr>
          <w:i/>
          <w:iCs/>
        </w:rPr>
        <w:t xml:space="preserve"> </w:t>
      </w:r>
      <w:r w:rsidRPr="00591FC9">
        <w:rPr>
          <w:i/>
          <w:iCs/>
        </w:rPr>
        <w:t>2008)</w:t>
      </w:r>
      <w:r>
        <w:t xml:space="preserve">, el </w:t>
      </w:r>
      <w:r w:rsidRPr="00591FC9">
        <w:rPr>
          <w:i/>
          <w:iCs/>
        </w:rPr>
        <w:t>Manual de Cuentas Nacionales Trimestrales 2017 (CNT 2017)</w:t>
      </w:r>
      <w:r>
        <w:t xml:space="preserve"> editado por el Fondo Monetario Internacional, las </w:t>
      </w:r>
      <w:r w:rsidRPr="00591FC9">
        <w:rPr>
          <w:i/>
          <w:iCs/>
        </w:rPr>
        <w:t>Recomendaciones Internacionales para el Índice de Producción Industrial 2010</w:t>
      </w:r>
      <w:r>
        <w:t xml:space="preserve"> de Naciones Unidas y el </w:t>
      </w:r>
      <w:r w:rsidRPr="00591FC9">
        <w:rPr>
          <w:i/>
          <w:iCs/>
        </w:rPr>
        <w:t>Manual sobre medidas de precios y volumen en cuentas nacionales</w:t>
      </w:r>
      <w:r>
        <w:t xml:space="preserve"> publicado por la </w:t>
      </w:r>
      <w:r w:rsidRPr="00846B94">
        <w:t>Eurostat</w:t>
      </w:r>
      <w:r>
        <w:t>.</w:t>
      </w:r>
    </w:p>
    <w:p w14:paraId="20FA7BA4" w14:textId="571C0F44" w:rsidR="00BA3C8A" w:rsidRDefault="00BA3C8A" w:rsidP="00535864">
      <w:pPr>
        <w:pStyle w:val="parrafo1"/>
        <w:widowControl w:val="0"/>
        <w:spacing w:before="240"/>
        <w:ind w:left="0" w:right="0"/>
      </w:pPr>
      <w:r>
        <w:t xml:space="preserve">Los </w:t>
      </w:r>
      <w:r w:rsidR="00535864">
        <w:t>datos</w:t>
      </w:r>
      <w:r>
        <w:t xml:space="preserve"> de corto plazo se alinean con las cifras anuales de las Cuentas de Bienes y Servicios, </w:t>
      </w:r>
      <w:r w:rsidR="00535864">
        <w:t>usando</w:t>
      </w:r>
      <w:r>
        <w:t xml:space="preserve"> la técnica </w:t>
      </w:r>
      <w:r w:rsidRPr="00846B94">
        <w:t>Denton</w:t>
      </w:r>
      <w:r>
        <w:t xml:space="preserve"> a nivel de clase de actividad económica</w:t>
      </w:r>
      <w:r w:rsidR="005204CD">
        <w:t>.</w:t>
      </w:r>
      <w:r>
        <w:t xml:space="preserve"> </w:t>
      </w:r>
      <w:r w:rsidR="00157819">
        <w:t xml:space="preserve">Esto </w:t>
      </w:r>
      <w:r>
        <w:t xml:space="preserve">evita que se interpreten de diferente manera </w:t>
      </w:r>
      <w:r w:rsidR="00535864">
        <w:t xml:space="preserve">aquellos </w:t>
      </w:r>
      <w:r>
        <w:t xml:space="preserve">resultados que pueden diferir su grado de cobertura o </w:t>
      </w:r>
      <w:r w:rsidR="00535864">
        <w:t xml:space="preserve">en </w:t>
      </w:r>
      <w:r>
        <w:t>la fecha de su disponibilidad, pero nunca en su base conceptual.</w:t>
      </w:r>
    </w:p>
    <w:p w14:paraId="446613BA" w14:textId="13B813DB" w:rsidR="00BA3C8A" w:rsidRDefault="00BA3C8A" w:rsidP="003071BE">
      <w:pPr>
        <w:pStyle w:val="parrafo1"/>
        <w:widowControl w:val="0"/>
        <w:spacing w:before="240"/>
        <w:ind w:left="0" w:right="0"/>
      </w:pPr>
      <w:r>
        <w:t>Se calculan índices de volumen físico para 345 clases de actividad económica del SCIAN</w:t>
      </w:r>
      <w:r w:rsidR="00F06E7A">
        <w:t xml:space="preserve"> </w:t>
      </w:r>
      <w:r>
        <w:t>2013</w:t>
      </w:r>
      <w:r w:rsidR="00981143">
        <w:t>. Al interior de las clases se realizan mediciones específicas para la actividad</w:t>
      </w:r>
      <w:r>
        <w:t xml:space="preserve"> formal, informal, artesanado y bienes para procesamiento. Dichas clases integran los 29 subsectores de actividad económica publicados. La metodología se puede consultar en la siguiente liga:</w:t>
      </w:r>
    </w:p>
    <w:p w14:paraId="1B0F958C" w14:textId="77777777" w:rsidR="00BA3C8A" w:rsidRPr="00BA3C8A" w:rsidRDefault="00D04BBE" w:rsidP="003071BE">
      <w:pPr>
        <w:pStyle w:val="parrafo1"/>
        <w:widowControl w:val="0"/>
        <w:spacing w:before="120"/>
        <w:ind w:left="0" w:right="0"/>
        <w:rPr>
          <w:u w:val="single"/>
        </w:rPr>
      </w:pPr>
      <w:hyperlink r:id="rId27" w:history="1">
        <w:r w:rsidR="00BA3C8A" w:rsidRPr="00BA3C8A">
          <w:rPr>
            <w:color w:val="0070C0"/>
            <w:u w:val="single"/>
          </w:rPr>
          <w:t>https://www.inegi.org.mx/contenidos/programas/imai/2013/doc/met_imai.pdf</w:t>
        </w:r>
      </w:hyperlink>
      <w:r w:rsidR="00BA3C8A" w:rsidRPr="00BA3C8A">
        <w:rPr>
          <w:u w:val="single"/>
        </w:rPr>
        <w:t xml:space="preserve"> </w:t>
      </w:r>
    </w:p>
    <w:p w14:paraId="3FE8E092" w14:textId="6A828E8C" w:rsidR="00BA3C8A" w:rsidRDefault="00BA3C8A" w:rsidP="003071BE">
      <w:pPr>
        <w:pStyle w:val="parrafo1"/>
        <w:widowControl w:val="0"/>
        <w:spacing w:before="240"/>
        <w:ind w:left="0" w:right="0"/>
      </w:pPr>
      <w:r>
        <w:t xml:space="preserve">Las principales fuentes de información para este indicador son las </w:t>
      </w:r>
      <w:r w:rsidR="00426FC4">
        <w:t>e</w:t>
      </w:r>
      <w:r>
        <w:t xml:space="preserve">ncuestas en </w:t>
      </w:r>
      <w:r w:rsidR="00426FC4">
        <w:t>e</w:t>
      </w:r>
      <w:r>
        <w:t xml:space="preserve">stablecimientos y en </w:t>
      </w:r>
      <w:r w:rsidR="00426FC4">
        <w:t>h</w:t>
      </w:r>
      <w:r>
        <w:t xml:space="preserve">ogares </w:t>
      </w:r>
      <w:r w:rsidR="007A55AF">
        <w:t>elaboradas por el</w:t>
      </w:r>
      <w:r>
        <w:t xml:space="preserve"> INEGI</w:t>
      </w:r>
      <w:r w:rsidR="00CB55D2">
        <w:rPr>
          <w:rStyle w:val="Refdenotaalpie"/>
        </w:rPr>
        <w:footnoteReference w:id="4"/>
      </w:r>
      <w:r w:rsidR="00053487">
        <w:t>,</w:t>
      </w:r>
      <w:r w:rsidR="00CB55D2">
        <w:t xml:space="preserve"> l</w:t>
      </w:r>
      <w:r>
        <w:t>os Índices Nacionales de Precios</w:t>
      </w:r>
      <w:r w:rsidR="00CB55D2">
        <w:t xml:space="preserve"> y</w:t>
      </w:r>
      <w:r>
        <w:t xml:space="preserve"> </w:t>
      </w:r>
      <w:r w:rsidR="00CB55D2">
        <w:t>l</w:t>
      </w:r>
      <w:r>
        <w:t xml:space="preserve">os </w:t>
      </w:r>
      <w:r w:rsidR="00426FC4">
        <w:t>r</w:t>
      </w:r>
      <w:r>
        <w:t xml:space="preserve">egistros </w:t>
      </w:r>
      <w:r w:rsidR="00426FC4">
        <w:t>a</w:t>
      </w:r>
      <w:r>
        <w:t xml:space="preserve">dministrativos y las </w:t>
      </w:r>
      <w:r w:rsidR="00426FC4">
        <w:t>e</w:t>
      </w:r>
      <w:r>
        <w:t xml:space="preserve">stadísticas </w:t>
      </w:r>
      <w:r w:rsidR="00426FC4">
        <w:t>e</w:t>
      </w:r>
      <w:r>
        <w:t xml:space="preserve">conómicas y </w:t>
      </w:r>
      <w:r w:rsidR="00426FC4">
        <w:t>s</w:t>
      </w:r>
      <w:r>
        <w:t>ociales compiladas por el Instituto</w:t>
      </w:r>
      <w:r w:rsidR="00CB55D2">
        <w:rPr>
          <w:rStyle w:val="Refdenotaalpie"/>
        </w:rPr>
        <w:footnoteReference w:id="5"/>
      </w:r>
      <w:r>
        <w:t>.</w:t>
      </w:r>
    </w:p>
    <w:p w14:paraId="6FABFDFC" w14:textId="77777777" w:rsidR="0029361B" w:rsidRDefault="0029361B">
      <w:pPr>
        <w:jc w:val="left"/>
        <w:rPr>
          <w:rFonts w:cs="Times New Roman"/>
          <w:szCs w:val="20"/>
        </w:rPr>
      </w:pPr>
      <w:r>
        <w:br w:type="page"/>
      </w:r>
    </w:p>
    <w:p w14:paraId="44032C63" w14:textId="57443B83" w:rsidR="00452D4E" w:rsidRDefault="00452D4E" w:rsidP="003071BE">
      <w:pPr>
        <w:pStyle w:val="parrafo1"/>
        <w:widowControl w:val="0"/>
        <w:spacing w:before="240"/>
        <w:ind w:left="0" w:right="0"/>
      </w:pPr>
      <w:r>
        <w:lastRenderedPageBreak/>
        <w:t>Es importante destacar que la mayoría de las series económicas se ven afectadas por factores estacionales. Es decir, efectos periódicos que se repiten cada año y cuyas causas pueden considerarse ajenas a la naturaleza económica de las series. Éstas pueden ser</w:t>
      </w:r>
      <w:r w:rsidR="001E3119">
        <w:t>:</w:t>
      </w:r>
      <w:r>
        <w:t xml:space="preserve"> las festividades, </w:t>
      </w:r>
      <w:r w:rsidRPr="00452D4E">
        <w:t>el hecho de que algunos meses tienen más días que otros,</w:t>
      </w:r>
      <w:r>
        <w:t xml:space="preserve"> los periodos de vacaciones escolares, el efecto del clima en las estaciones del año y otras fluctuaciones estacionales como la elevada producción de juguetes en los meses previos a la Navidad, provocada por la expectativa de mayores ventas en diciembre.</w:t>
      </w:r>
    </w:p>
    <w:p w14:paraId="48CAAA28" w14:textId="3B0A056D" w:rsidR="00452D4E" w:rsidRDefault="00452D4E" w:rsidP="003071BE">
      <w:pPr>
        <w:pStyle w:val="parrafo1"/>
        <w:widowControl w:val="0"/>
        <w:spacing w:before="240"/>
        <w:ind w:left="0" w:right="0"/>
      </w:pPr>
      <w:r>
        <w:t xml:space="preserve">En este sentido, la desestacionalización o ajuste estacional de series económicas consiste en remover estas influencias </w:t>
      </w:r>
      <w:proofErr w:type="spellStart"/>
      <w:r>
        <w:t>intra-anuales</w:t>
      </w:r>
      <w:proofErr w:type="spellEnd"/>
      <w:r>
        <w:t xml:space="preserve"> periódicas, pues su presencia dificulta diagnosticar o describir el comportamiento de una serie económica al no poder comparar, adecuadamente, un determinado mes con el inmediato anterior.</w:t>
      </w:r>
    </w:p>
    <w:p w14:paraId="21EE925B" w14:textId="77777777" w:rsidR="00452D4E" w:rsidRDefault="00452D4E" w:rsidP="003071BE">
      <w:pPr>
        <w:pStyle w:val="parrafo1"/>
        <w:widowControl w:val="0"/>
        <w:spacing w:before="240"/>
        <w:ind w:left="0" w:right="0"/>
      </w:pPr>
      <w:r>
        <w:t xml:space="preserve">Analizar la serie desestacionalizada ayuda a realizar un mejor diagnóstico y pronóstico de su evolución, ya que permite identificar la posible dirección de los movimientos que pudiera tener la variable en cuestión, en el corto plazo. </w:t>
      </w:r>
    </w:p>
    <w:p w14:paraId="09669871" w14:textId="1542AE9B" w:rsidR="00D059BC" w:rsidRPr="00BA3C8A" w:rsidRDefault="00452D4E" w:rsidP="003071BE">
      <w:pPr>
        <w:pStyle w:val="parrafo1"/>
        <w:widowControl w:val="0"/>
        <w:spacing w:before="240"/>
        <w:ind w:left="0" w:right="0"/>
      </w:pPr>
      <w:r>
        <w:t>Las series originales se ajustan estacionalmente mediante el paquete estadístico X</w:t>
      </w:r>
      <w:r>
        <w:noBreakHyphen/>
        <w:t>13ARIMA-SEATS. Para conocer la metodología se sugiere consultar la siguiente liga:</w:t>
      </w:r>
      <w:r w:rsidR="001A5168">
        <w:t xml:space="preserve"> </w:t>
      </w:r>
      <w:hyperlink r:id="rId28" w:history="1">
        <w:r>
          <w:rPr>
            <w:rStyle w:val="Hipervnculo"/>
          </w:rPr>
          <w:t>https://www.inegi.org.mx/app/biblioteca/ficha.html?upc=702825099060</w:t>
        </w:r>
      </w:hyperlink>
    </w:p>
    <w:p w14:paraId="4C22A8E4" w14:textId="3FF2E5EA" w:rsidR="00D059BC" w:rsidRDefault="00D059BC" w:rsidP="003071BE">
      <w:pPr>
        <w:pStyle w:val="parrafo1"/>
        <w:widowControl w:val="0"/>
        <w:spacing w:before="240"/>
        <w:ind w:left="0" w:right="0"/>
      </w:pPr>
      <w:r>
        <w:t xml:space="preserve">Asimismo, las especificaciones de los modelos utilizados para realizar el ajuste estacional están disponibles en el Banco de Información Económica, seleccionando el icono de información </w:t>
      </w:r>
      <w:r>
        <w:rPr>
          <w:noProof/>
          <w:lang w:val="es-MX" w:eastAsia="es-MX"/>
        </w:rPr>
        <w:drawing>
          <wp:inline distT="0" distB="0" distL="0" distR="0" wp14:anchorId="646B2B0E" wp14:editId="7E5FAB3F">
            <wp:extent cx="152400" cy="152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correspondiente a las “series desestacionalizadas y de tendencia-ciclo” del </w:t>
      </w:r>
      <w:r w:rsidRPr="004A4D32">
        <w:t>Indicador Mensual de la Actividad Industrial</w:t>
      </w:r>
      <w:r>
        <w:t>.</w:t>
      </w:r>
    </w:p>
    <w:p w14:paraId="63FC0A2B" w14:textId="2EB3E67E" w:rsidR="00BA3C8A" w:rsidRDefault="00BA3C8A" w:rsidP="003071BE">
      <w:pPr>
        <w:pStyle w:val="parrafo1"/>
        <w:widowControl w:val="0"/>
        <w:spacing w:before="240"/>
        <w:ind w:left="0" w:right="0"/>
      </w:pPr>
      <w:r>
        <w:t xml:space="preserve">Los datos que se presentan en este documento amplían la información que actualmente difunde el INEGI, la cual continuará generándose como parte de los resultados del SCNM, y se da a conocer en la fecha establecida en el Calendario de </w:t>
      </w:r>
      <w:r w:rsidR="006E7601">
        <w:t>D</w:t>
      </w:r>
      <w:r>
        <w:t xml:space="preserve">ifusión de </w:t>
      </w:r>
      <w:r w:rsidR="006E7601">
        <w:t>I</w:t>
      </w:r>
      <w:r>
        <w:t xml:space="preserve">nformación </w:t>
      </w:r>
      <w:r w:rsidR="006E7601">
        <w:t>E</w:t>
      </w:r>
      <w:r>
        <w:t xml:space="preserve">stadística y </w:t>
      </w:r>
      <w:r w:rsidR="006E7601">
        <w:t>G</w:t>
      </w:r>
      <w:r>
        <w:t>eográfica y de Interés Nacional.</w:t>
      </w:r>
    </w:p>
    <w:p w14:paraId="571EF840" w14:textId="162E4499" w:rsidR="005C428A" w:rsidRDefault="00BA3C8A" w:rsidP="003071BE">
      <w:pPr>
        <w:pStyle w:val="parrafo1"/>
        <w:widowControl w:val="0"/>
        <w:spacing w:before="240"/>
        <w:ind w:left="0" w:right="0"/>
      </w:pPr>
      <w:r>
        <w:t>Las series del IMAI p</w:t>
      </w:r>
      <w:r w:rsidR="00532A38">
        <w:t>ue</w:t>
      </w:r>
      <w:r>
        <w:t>d</w:t>
      </w:r>
      <w:r w:rsidR="00532A38">
        <w:t>e</w:t>
      </w:r>
      <w:r>
        <w:t xml:space="preserve">n ser consultadas en la sección PIB y Cuentas Nacionales de México y en el Banco de Información Económica (BIE), en la página </w:t>
      </w:r>
      <w:r w:rsidR="005772C9">
        <w:t>de</w:t>
      </w:r>
      <w:r>
        <w:t xml:space="preserve"> </w:t>
      </w:r>
      <w:r w:rsidR="006E7601">
        <w:t>i</w:t>
      </w:r>
      <w:r>
        <w:t>nternet del I</w:t>
      </w:r>
      <w:r w:rsidR="006E7601">
        <w:t>NEGI</w:t>
      </w:r>
      <w:r w:rsidR="005609BF">
        <w:t>:</w:t>
      </w:r>
      <w:r>
        <w:t xml:space="preserve"> </w:t>
      </w:r>
      <w:r w:rsidR="00F16B4B" w:rsidRPr="00BA3C8A">
        <w:rPr>
          <w:color w:val="0070C0"/>
          <w:u w:val="single"/>
        </w:rPr>
        <w:t>https://</w:t>
      </w:r>
      <w:hyperlink r:id="rId30" w:history="1">
        <w:r w:rsidR="00B241C3" w:rsidRPr="00BA3C8A">
          <w:rPr>
            <w:color w:val="0070C0"/>
            <w:u w:val="single"/>
          </w:rPr>
          <w:t>www.inegi.org.mx</w:t>
        </w:r>
      </w:hyperlink>
      <w:r w:rsidR="00B241C3" w:rsidRPr="00BA3C8A">
        <w:rPr>
          <w:color w:val="0070C0"/>
          <w:u w:val="single"/>
        </w:rPr>
        <w:t>.</w:t>
      </w:r>
    </w:p>
    <w:sectPr w:rsidR="005C428A" w:rsidSect="000043A3">
      <w:headerReference w:type="default" r:id="rId31"/>
      <w:footerReference w:type="default" r:id="rId32"/>
      <w:pgSz w:w="12242" w:h="15842" w:code="1"/>
      <w:pgMar w:top="2552" w:right="1701" w:bottom="851" w:left="1560" w:header="567" w:footer="567"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7EC0E" w14:textId="77777777" w:rsidR="00D04BBE" w:rsidRDefault="00D04BBE">
      <w:r>
        <w:separator/>
      </w:r>
    </w:p>
  </w:endnote>
  <w:endnote w:type="continuationSeparator" w:id="0">
    <w:p w14:paraId="53AAC3B2" w14:textId="77777777" w:rsidR="00D04BBE" w:rsidRDefault="00D0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922CB" w14:textId="77777777" w:rsidR="00F577A2" w:rsidRPr="00975B1E" w:rsidRDefault="00F577A2" w:rsidP="006C6CF0">
    <w:pPr>
      <w:pStyle w:val="Piedepgina"/>
      <w:jc w:val="center"/>
      <w:rPr>
        <w:b/>
        <w:bCs/>
        <w:color w:val="002060"/>
        <w:sz w:val="20"/>
        <w:szCs w:val="20"/>
      </w:rPr>
    </w:pPr>
    <w:r w:rsidRPr="00975B1E">
      <w:rPr>
        <w:b/>
        <w:bCs/>
        <w:color w:val="002060"/>
        <w:sz w:val="20"/>
        <w:szCs w:val="20"/>
      </w:rPr>
      <w:t>COMUNICACIÓN SOCIAL</w:t>
    </w:r>
  </w:p>
  <w:p w14:paraId="00D87CE6" w14:textId="77777777" w:rsidR="00F577A2" w:rsidRPr="007B4B63" w:rsidRDefault="00F577A2" w:rsidP="006C6CF0">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119B" w14:textId="77777777" w:rsidR="007F4A9E" w:rsidRPr="009E7F22" w:rsidRDefault="007F4A9E" w:rsidP="003076C4">
    <w:pPr>
      <w:pStyle w:val="Piedepgina"/>
      <w:jc w:val="center"/>
      <w:rPr>
        <w:b/>
        <w:color w:val="002060"/>
        <w:sz w:val="20"/>
        <w:szCs w:val="20"/>
        <w:lang w:val="es-MX"/>
      </w:rPr>
    </w:pPr>
    <w:r w:rsidRPr="009E7F22">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944A1" w14:textId="77777777" w:rsidR="00D04BBE" w:rsidRDefault="00D04BBE">
      <w:r>
        <w:separator/>
      </w:r>
    </w:p>
  </w:footnote>
  <w:footnote w:type="continuationSeparator" w:id="0">
    <w:p w14:paraId="5DC7D0E2" w14:textId="77777777" w:rsidR="00D04BBE" w:rsidRDefault="00D04BBE">
      <w:r>
        <w:continuationSeparator/>
      </w:r>
    </w:p>
  </w:footnote>
  <w:footnote w:id="1">
    <w:p w14:paraId="0D233337" w14:textId="77777777" w:rsidR="00F577A2" w:rsidRDefault="00F577A2" w:rsidP="00F577A2">
      <w:pPr>
        <w:pStyle w:val="Textonotapie"/>
        <w:ind w:left="142" w:right="49"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La mayoría de las series económicas se ven afectadas por factores estacionales y de calendario. El ajuste de los datos por dichos factores permite obtener las cifras desestacionalizadas, cuyo análisis ayuda a realizar un mejor diagnóstico de la evolución de las variables.</w:t>
      </w:r>
    </w:p>
    <w:p w14:paraId="1A708772" w14:textId="77777777" w:rsidR="00F577A2" w:rsidRDefault="00F577A2" w:rsidP="00F577A2">
      <w:pPr>
        <w:pStyle w:val="Textonotapie"/>
        <w:ind w:left="142" w:right="49" w:hanging="142"/>
        <w:rPr>
          <w:sz w:val="16"/>
          <w:szCs w:val="16"/>
        </w:rPr>
      </w:pPr>
    </w:p>
    <w:p w14:paraId="6A08D84F" w14:textId="77777777" w:rsidR="00F577A2" w:rsidRDefault="00F577A2" w:rsidP="00F577A2">
      <w:pPr>
        <w:pStyle w:val="Textonotapie"/>
        <w:ind w:left="142" w:hanging="142"/>
        <w:rPr>
          <w:sz w:val="16"/>
          <w:szCs w:val="16"/>
        </w:rPr>
      </w:pPr>
    </w:p>
  </w:footnote>
  <w:footnote w:id="2">
    <w:p w14:paraId="705F3BDE" w14:textId="77777777" w:rsidR="00F577A2" w:rsidRDefault="00F577A2" w:rsidP="00F577A2">
      <w:pPr>
        <w:pStyle w:val="Textonotapie"/>
        <w:rPr>
          <w:sz w:val="16"/>
          <w:szCs w:val="16"/>
        </w:rPr>
      </w:pPr>
      <w:r w:rsidRPr="007B46DC">
        <w:rPr>
          <w:rStyle w:val="Refdenotaalpie"/>
          <w:sz w:val="18"/>
          <w:szCs w:val="18"/>
        </w:rPr>
        <w:footnoteRef/>
      </w:r>
      <w:r w:rsidRPr="007B46DC">
        <w:rPr>
          <w:sz w:val="18"/>
          <w:szCs w:val="18"/>
        </w:rPr>
        <w:t xml:space="preserve"> </w:t>
      </w:r>
      <w:r w:rsidRPr="006A14A4">
        <w:rPr>
          <w:sz w:val="16"/>
          <w:szCs w:val="16"/>
        </w:rPr>
        <w:t>Encuesta Nacional de Empresas Constructoras (ENEC) y Encuesta Mensual de la Industria Manufacturera (EMIM).</w:t>
      </w:r>
    </w:p>
    <w:p w14:paraId="1088A671" w14:textId="77777777" w:rsidR="00F577A2" w:rsidRDefault="00F577A2" w:rsidP="00F577A2">
      <w:pPr>
        <w:pStyle w:val="Textonotapie"/>
      </w:pPr>
    </w:p>
  </w:footnote>
  <w:footnote w:id="3">
    <w:p w14:paraId="40207261" w14:textId="54F46B79" w:rsidR="007B46DC" w:rsidRDefault="007B46DC" w:rsidP="007B46DC">
      <w:pPr>
        <w:pStyle w:val="Textonotapie"/>
      </w:pPr>
      <w:r w:rsidRPr="007B46DC">
        <w:rPr>
          <w:rStyle w:val="Refdenotaalpie"/>
          <w:sz w:val="18"/>
          <w:szCs w:val="18"/>
        </w:rPr>
        <w:footnoteRef/>
      </w:r>
      <w:r w:rsidRPr="007B46DC">
        <w:rPr>
          <w:sz w:val="18"/>
          <w:szCs w:val="18"/>
        </w:rPr>
        <w:t xml:space="preserve"> </w:t>
      </w:r>
      <w:r w:rsidRPr="006A14A4">
        <w:rPr>
          <w:sz w:val="16"/>
          <w:szCs w:val="16"/>
        </w:rPr>
        <w:t>Encuesta Nacional de Empresas Constructoras (ENEC) y Encuesta Mensual de la Industria Manufacturera (EMIM).</w:t>
      </w:r>
    </w:p>
  </w:footnote>
  <w:footnote w:id="4">
    <w:p w14:paraId="64663200" w14:textId="69E79E1F" w:rsidR="00CB55D2" w:rsidRPr="00846B94" w:rsidRDefault="00CB55D2" w:rsidP="00846B94">
      <w:pPr>
        <w:pStyle w:val="Textonotapie"/>
        <w:ind w:left="284" w:hanging="284"/>
        <w:rPr>
          <w:lang w:val="es-MX"/>
        </w:rPr>
      </w:pPr>
      <w:r w:rsidRPr="00846B94">
        <w:rPr>
          <w:rStyle w:val="Refdenotaalpie"/>
          <w:sz w:val="18"/>
          <w:szCs w:val="18"/>
        </w:rPr>
        <w:footnoteRef/>
      </w:r>
      <w:r>
        <w:t xml:space="preserve"> </w:t>
      </w:r>
      <w:r w:rsidR="00846B94">
        <w:tab/>
      </w:r>
      <w:r w:rsidRPr="00846B94">
        <w:rPr>
          <w:sz w:val="16"/>
          <w:szCs w:val="16"/>
        </w:rPr>
        <w:t>La Encuesta Mensual de la Industria Manufacturera (EMIM), la Encuesta Nacional de Empresas Constructoras (ENEC) y la Encuesta Nacional de Ocupación y Empleo (ENOE).</w:t>
      </w:r>
    </w:p>
  </w:footnote>
  <w:footnote w:id="5">
    <w:p w14:paraId="13008C0F" w14:textId="20DB61C5" w:rsidR="00CB55D2" w:rsidRPr="00846B94" w:rsidRDefault="00CB55D2" w:rsidP="00846B94">
      <w:pPr>
        <w:pStyle w:val="Textonotapie"/>
        <w:ind w:left="284" w:hanging="284"/>
        <w:rPr>
          <w:lang w:val="es-MX"/>
        </w:rPr>
      </w:pPr>
      <w:r w:rsidRPr="00846B94">
        <w:rPr>
          <w:rStyle w:val="Refdenotaalpie"/>
          <w:sz w:val="18"/>
          <w:szCs w:val="18"/>
        </w:rPr>
        <w:footnoteRef/>
      </w:r>
      <w:r w:rsidRPr="00846B94">
        <w:rPr>
          <w:sz w:val="18"/>
          <w:szCs w:val="18"/>
        </w:rPr>
        <w:t xml:space="preserve"> </w:t>
      </w:r>
      <w:r w:rsidR="00846B94">
        <w:rPr>
          <w:sz w:val="18"/>
          <w:szCs w:val="18"/>
        </w:rPr>
        <w:tab/>
      </w:r>
      <w:r w:rsidRPr="00846B94">
        <w:rPr>
          <w:sz w:val="16"/>
          <w:szCs w:val="16"/>
        </w:rPr>
        <w:t>Industria Minerometalúrgica, Programa de la Industria Manufacturera, Maquiladora y de Servicios de Exportación (IMMEX), Registro administrativo de la industria automotriz de vehículos ligeros y datos proporcionados por cámaras y asociaciones de productores, organismos y empresas públicas y privadas.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5FB04" w14:textId="070BFC5E" w:rsidR="00F577A2" w:rsidRPr="00306ECD" w:rsidRDefault="00F577A2" w:rsidP="006C6CF0">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7B4C1445" wp14:editId="0A7E9DBC">
          <wp:simplePos x="0" y="0"/>
          <wp:positionH relativeFrom="margin">
            <wp:posOffset>7364</wp:posOffset>
          </wp:positionH>
          <wp:positionV relativeFrom="margin">
            <wp:posOffset>-1092200</wp:posOffset>
          </wp:positionV>
          <wp:extent cx="828000" cy="828000"/>
          <wp:effectExtent l="0" t="0" r="0" b="0"/>
          <wp:wrapSquare wrapText="bothSides"/>
          <wp:docPr id="16" name="Imagen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7C7D97">
      <w:rPr>
        <w:b/>
        <w:color w:val="002060"/>
      </w:rPr>
      <w:t>257</w:t>
    </w:r>
    <w:r w:rsidRPr="00306ECD">
      <w:rPr>
        <w:b/>
        <w:color w:val="002060"/>
      </w:rPr>
      <w:t>/2</w:t>
    </w:r>
    <w:r>
      <w:rPr>
        <w:b/>
        <w:color w:val="002060"/>
      </w:rPr>
      <w:t>2</w:t>
    </w:r>
  </w:p>
  <w:p w14:paraId="145BAA9D" w14:textId="77777777" w:rsidR="00F577A2" w:rsidRPr="00306ECD" w:rsidRDefault="00F577A2" w:rsidP="006C6CF0">
    <w:pPr>
      <w:pStyle w:val="Encabezado"/>
      <w:ind w:left="-567" w:right="49"/>
      <w:jc w:val="right"/>
      <w:rPr>
        <w:b/>
        <w:color w:val="002060"/>
        <w:lang w:val="pt-BR"/>
      </w:rPr>
    </w:pPr>
    <w:r>
      <w:rPr>
        <w:b/>
        <w:color w:val="002060"/>
        <w:lang w:val="pt-BR"/>
      </w:rPr>
      <w:t xml:space="preserve">12 </w:t>
    </w:r>
    <w:r w:rsidRPr="00306ECD">
      <w:rPr>
        <w:b/>
        <w:color w:val="002060"/>
        <w:lang w:val="pt-BR"/>
      </w:rPr>
      <w:t xml:space="preserve">DE </w:t>
    </w:r>
    <w:r>
      <w:rPr>
        <w:b/>
        <w:color w:val="002060"/>
        <w:lang w:val="pt-BR"/>
      </w:rPr>
      <w:t xml:space="preserve">MAYO </w:t>
    </w:r>
    <w:r w:rsidRPr="00306ECD">
      <w:rPr>
        <w:b/>
        <w:color w:val="002060"/>
        <w:lang w:val="pt-BR"/>
      </w:rPr>
      <w:t>DE 202</w:t>
    </w:r>
    <w:r>
      <w:rPr>
        <w:b/>
        <w:color w:val="002060"/>
        <w:lang w:val="pt-BR"/>
      </w:rPr>
      <w:t>2</w:t>
    </w:r>
  </w:p>
  <w:p w14:paraId="1BACFA91" w14:textId="77777777" w:rsidR="00F577A2" w:rsidRPr="00306ECD" w:rsidRDefault="00F577A2" w:rsidP="006C6CF0">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10</w:t>
    </w:r>
  </w:p>
  <w:p w14:paraId="561542A0" w14:textId="77777777" w:rsidR="00F577A2" w:rsidRDefault="00F577A2" w:rsidP="006C6CF0">
    <w:pPr>
      <w:pStyle w:val="Encabezado"/>
      <w:ind w:right="49"/>
      <w:jc w:val="center"/>
    </w:pPr>
  </w:p>
  <w:p w14:paraId="08A9C593" w14:textId="77777777" w:rsidR="00F577A2" w:rsidRDefault="00F577A2"/>
  <w:p w14:paraId="740D5CE2" w14:textId="77777777" w:rsidR="00F577A2" w:rsidRDefault="00F57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F5AC1" w14:textId="1052EA23" w:rsidR="007F4A9E" w:rsidRDefault="00902D2C" w:rsidP="00F577A2">
    <w:pPr>
      <w:pStyle w:val="Encabezado"/>
      <w:jc w:val="center"/>
    </w:pPr>
    <w:r>
      <w:rPr>
        <w:noProof/>
        <w:lang w:val="es-MX" w:eastAsia="es-MX"/>
      </w:rPr>
      <w:drawing>
        <wp:inline distT="0" distB="0" distL="0" distR="0" wp14:anchorId="09D180A5" wp14:editId="79327C0C">
          <wp:extent cx="828000" cy="828000"/>
          <wp:effectExtent l="0" t="0" r="0" b="0"/>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711"/>
    <w:rsid w:val="0000180F"/>
    <w:rsid w:val="00001AB2"/>
    <w:rsid w:val="00002466"/>
    <w:rsid w:val="00002665"/>
    <w:rsid w:val="000027BD"/>
    <w:rsid w:val="00002A29"/>
    <w:rsid w:val="00002B26"/>
    <w:rsid w:val="00003C25"/>
    <w:rsid w:val="00003C68"/>
    <w:rsid w:val="00003FE7"/>
    <w:rsid w:val="00004291"/>
    <w:rsid w:val="000042A9"/>
    <w:rsid w:val="000043A3"/>
    <w:rsid w:val="0000458A"/>
    <w:rsid w:val="000050C6"/>
    <w:rsid w:val="00005423"/>
    <w:rsid w:val="00005617"/>
    <w:rsid w:val="00005940"/>
    <w:rsid w:val="00006B5A"/>
    <w:rsid w:val="000078B1"/>
    <w:rsid w:val="00007989"/>
    <w:rsid w:val="00007A1A"/>
    <w:rsid w:val="00010A59"/>
    <w:rsid w:val="000112A7"/>
    <w:rsid w:val="0001151F"/>
    <w:rsid w:val="00011840"/>
    <w:rsid w:val="00011AC0"/>
    <w:rsid w:val="00011BD3"/>
    <w:rsid w:val="00012278"/>
    <w:rsid w:val="00012A27"/>
    <w:rsid w:val="00012D03"/>
    <w:rsid w:val="00012E16"/>
    <w:rsid w:val="0001302A"/>
    <w:rsid w:val="000132A4"/>
    <w:rsid w:val="00013319"/>
    <w:rsid w:val="00013E55"/>
    <w:rsid w:val="0001447E"/>
    <w:rsid w:val="000144ED"/>
    <w:rsid w:val="00014920"/>
    <w:rsid w:val="00014FBD"/>
    <w:rsid w:val="00015302"/>
    <w:rsid w:val="00016590"/>
    <w:rsid w:val="00016B4E"/>
    <w:rsid w:val="00016D3A"/>
    <w:rsid w:val="0001718D"/>
    <w:rsid w:val="000176AC"/>
    <w:rsid w:val="00017DCA"/>
    <w:rsid w:val="00020C52"/>
    <w:rsid w:val="00021432"/>
    <w:rsid w:val="00021492"/>
    <w:rsid w:val="000216A3"/>
    <w:rsid w:val="0002190C"/>
    <w:rsid w:val="000228C4"/>
    <w:rsid w:val="00022CA3"/>
    <w:rsid w:val="00023BC7"/>
    <w:rsid w:val="000254CB"/>
    <w:rsid w:val="000260EE"/>
    <w:rsid w:val="00026B3C"/>
    <w:rsid w:val="00026B52"/>
    <w:rsid w:val="00027F49"/>
    <w:rsid w:val="00027FCD"/>
    <w:rsid w:val="00030480"/>
    <w:rsid w:val="0003065F"/>
    <w:rsid w:val="00030CD1"/>
    <w:rsid w:val="00030D10"/>
    <w:rsid w:val="00031231"/>
    <w:rsid w:val="000314D3"/>
    <w:rsid w:val="00031BCF"/>
    <w:rsid w:val="00032B16"/>
    <w:rsid w:val="00033603"/>
    <w:rsid w:val="00033937"/>
    <w:rsid w:val="00033A14"/>
    <w:rsid w:val="00033A9C"/>
    <w:rsid w:val="00033D95"/>
    <w:rsid w:val="000342CC"/>
    <w:rsid w:val="0003447A"/>
    <w:rsid w:val="00034BC3"/>
    <w:rsid w:val="000353F3"/>
    <w:rsid w:val="00035600"/>
    <w:rsid w:val="00035B2D"/>
    <w:rsid w:val="00035DA7"/>
    <w:rsid w:val="000365D0"/>
    <w:rsid w:val="00036D72"/>
    <w:rsid w:val="00036EE4"/>
    <w:rsid w:val="00036F36"/>
    <w:rsid w:val="00037089"/>
    <w:rsid w:val="00037177"/>
    <w:rsid w:val="00037CC4"/>
    <w:rsid w:val="0004066E"/>
    <w:rsid w:val="00040F75"/>
    <w:rsid w:val="00040FFC"/>
    <w:rsid w:val="00041FA2"/>
    <w:rsid w:val="00041FF7"/>
    <w:rsid w:val="0004225C"/>
    <w:rsid w:val="0004327F"/>
    <w:rsid w:val="00043535"/>
    <w:rsid w:val="000437DE"/>
    <w:rsid w:val="00043B32"/>
    <w:rsid w:val="00043E2B"/>
    <w:rsid w:val="00044296"/>
    <w:rsid w:val="00044699"/>
    <w:rsid w:val="00044700"/>
    <w:rsid w:val="00044C5E"/>
    <w:rsid w:val="00044E33"/>
    <w:rsid w:val="000454A2"/>
    <w:rsid w:val="0004596A"/>
    <w:rsid w:val="00045AF1"/>
    <w:rsid w:val="00045E9B"/>
    <w:rsid w:val="00046139"/>
    <w:rsid w:val="000465BF"/>
    <w:rsid w:val="00046822"/>
    <w:rsid w:val="00046AB6"/>
    <w:rsid w:val="00046D06"/>
    <w:rsid w:val="00046F88"/>
    <w:rsid w:val="000471CD"/>
    <w:rsid w:val="0004735D"/>
    <w:rsid w:val="0004777C"/>
    <w:rsid w:val="00047FA2"/>
    <w:rsid w:val="000501E0"/>
    <w:rsid w:val="00050934"/>
    <w:rsid w:val="00050FB5"/>
    <w:rsid w:val="0005137A"/>
    <w:rsid w:val="0005164C"/>
    <w:rsid w:val="00051C72"/>
    <w:rsid w:val="00051D1C"/>
    <w:rsid w:val="00051D9E"/>
    <w:rsid w:val="00052752"/>
    <w:rsid w:val="00052F04"/>
    <w:rsid w:val="00052F1E"/>
    <w:rsid w:val="00053487"/>
    <w:rsid w:val="000536D2"/>
    <w:rsid w:val="00053B2C"/>
    <w:rsid w:val="00053EB7"/>
    <w:rsid w:val="00054951"/>
    <w:rsid w:val="00054A4F"/>
    <w:rsid w:val="00055047"/>
    <w:rsid w:val="00055B54"/>
    <w:rsid w:val="00056F51"/>
    <w:rsid w:val="00057384"/>
    <w:rsid w:val="000573F5"/>
    <w:rsid w:val="000575FB"/>
    <w:rsid w:val="00057F37"/>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BC1"/>
    <w:rsid w:val="000662E9"/>
    <w:rsid w:val="00066638"/>
    <w:rsid w:val="00066C22"/>
    <w:rsid w:val="00066EA7"/>
    <w:rsid w:val="000671C7"/>
    <w:rsid w:val="0007012A"/>
    <w:rsid w:val="0007017F"/>
    <w:rsid w:val="0007041E"/>
    <w:rsid w:val="00070431"/>
    <w:rsid w:val="000707FF"/>
    <w:rsid w:val="00070864"/>
    <w:rsid w:val="00071394"/>
    <w:rsid w:val="0007145A"/>
    <w:rsid w:val="00071674"/>
    <w:rsid w:val="000716D0"/>
    <w:rsid w:val="00071F33"/>
    <w:rsid w:val="000725AC"/>
    <w:rsid w:val="00072B18"/>
    <w:rsid w:val="000730F3"/>
    <w:rsid w:val="000733CF"/>
    <w:rsid w:val="00073491"/>
    <w:rsid w:val="000739D2"/>
    <w:rsid w:val="00073EF4"/>
    <w:rsid w:val="0007513B"/>
    <w:rsid w:val="000753EC"/>
    <w:rsid w:val="0007567F"/>
    <w:rsid w:val="00075B3A"/>
    <w:rsid w:val="00075DEC"/>
    <w:rsid w:val="00076234"/>
    <w:rsid w:val="000767F7"/>
    <w:rsid w:val="00076EE9"/>
    <w:rsid w:val="00077192"/>
    <w:rsid w:val="00077C46"/>
    <w:rsid w:val="0008027F"/>
    <w:rsid w:val="0008084D"/>
    <w:rsid w:val="000814ED"/>
    <w:rsid w:val="0008175A"/>
    <w:rsid w:val="0008195B"/>
    <w:rsid w:val="000826F7"/>
    <w:rsid w:val="0008284B"/>
    <w:rsid w:val="00082A37"/>
    <w:rsid w:val="00082D37"/>
    <w:rsid w:val="00082F11"/>
    <w:rsid w:val="0008325D"/>
    <w:rsid w:val="000834DD"/>
    <w:rsid w:val="00083960"/>
    <w:rsid w:val="00084687"/>
    <w:rsid w:val="00084A57"/>
    <w:rsid w:val="00084BED"/>
    <w:rsid w:val="00084EDB"/>
    <w:rsid w:val="00084FF2"/>
    <w:rsid w:val="0008524D"/>
    <w:rsid w:val="000856E9"/>
    <w:rsid w:val="00086295"/>
    <w:rsid w:val="00086631"/>
    <w:rsid w:val="000869EE"/>
    <w:rsid w:val="00086EC8"/>
    <w:rsid w:val="00086FF2"/>
    <w:rsid w:val="000873A0"/>
    <w:rsid w:val="0008756B"/>
    <w:rsid w:val="00087DB7"/>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4146"/>
    <w:rsid w:val="000942DE"/>
    <w:rsid w:val="00094496"/>
    <w:rsid w:val="00094AD6"/>
    <w:rsid w:val="000950E7"/>
    <w:rsid w:val="00095360"/>
    <w:rsid w:val="000955AA"/>
    <w:rsid w:val="000957BC"/>
    <w:rsid w:val="00095F3B"/>
    <w:rsid w:val="00096737"/>
    <w:rsid w:val="00097C0A"/>
    <w:rsid w:val="000A0344"/>
    <w:rsid w:val="000A04C4"/>
    <w:rsid w:val="000A0823"/>
    <w:rsid w:val="000A21D6"/>
    <w:rsid w:val="000A2F4F"/>
    <w:rsid w:val="000A31EF"/>
    <w:rsid w:val="000A3354"/>
    <w:rsid w:val="000A3733"/>
    <w:rsid w:val="000A431C"/>
    <w:rsid w:val="000A43B0"/>
    <w:rsid w:val="000A53E6"/>
    <w:rsid w:val="000A5411"/>
    <w:rsid w:val="000A574B"/>
    <w:rsid w:val="000A5B04"/>
    <w:rsid w:val="000A5E2A"/>
    <w:rsid w:val="000A643B"/>
    <w:rsid w:val="000A707A"/>
    <w:rsid w:val="000A73C8"/>
    <w:rsid w:val="000A78BA"/>
    <w:rsid w:val="000A7C15"/>
    <w:rsid w:val="000B0710"/>
    <w:rsid w:val="000B1B4D"/>
    <w:rsid w:val="000B1C11"/>
    <w:rsid w:val="000B1D13"/>
    <w:rsid w:val="000B2007"/>
    <w:rsid w:val="000B29B8"/>
    <w:rsid w:val="000B2A27"/>
    <w:rsid w:val="000B2D88"/>
    <w:rsid w:val="000B316C"/>
    <w:rsid w:val="000B3537"/>
    <w:rsid w:val="000B3D73"/>
    <w:rsid w:val="000B4A6A"/>
    <w:rsid w:val="000B4CF3"/>
    <w:rsid w:val="000B50FB"/>
    <w:rsid w:val="000B515D"/>
    <w:rsid w:val="000B54B0"/>
    <w:rsid w:val="000B57D4"/>
    <w:rsid w:val="000B5A74"/>
    <w:rsid w:val="000B5FA3"/>
    <w:rsid w:val="000B6AF6"/>
    <w:rsid w:val="000B71E3"/>
    <w:rsid w:val="000B7DBF"/>
    <w:rsid w:val="000C001C"/>
    <w:rsid w:val="000C0C26"/>
    <w:rsid w:val="000C1051"/>
    <w:rsid w:val="000C1F04"/>
    <w:rsid w:val="000C2892"/>
    <w:rsid w:val="000C2AD9"/>
    <w:rsid w:val="000C2B3C"/>
    <w:rsid w:val="000C2F75"/>
    <w:rsid w:val="000C30D7"/>
    <w:rsid w:val="000C3105"/>
    <w:rsid w:val="000C34DD"/>
    <w:rsid w:val="000C37BC"/>
    <w:rsid w:val="000C3875"/>
    <w:rsid w:val="000C482F"/>
    <w:rsid w:val="000C4992"/>
    <w:rsid w:val="000C5299"/>
    <w:rsid w:val="000C5468"/>
    <w:rsid w:val="000C55CC"/>
    <w:rsid w:val="000C5852"/>
    <w:rsid w:val="000C5D0E"/>
    <w:rsid w:val="000C6A4A"/>
    <w:rsid w:val="000C6AFD"/>
    <w:rsid w:val="000C6F06"/>
    <w:rsid w:val="000C7861"/>
    <w:rsid w:val="000C7985"/>
    <w:rsid w:val="000D06FA"/>
    <w:rsid w:val="000D0DDA"/>
    <w:rsid w:val="000D0E0F"/>
    <w:rsid w:val="000D0ED5"/>
    <w:rsid w:val="000D1076"/>
    <w:rsid w:val="000D113E"/>
    <w:rsid w:val="000D1169"/>
    <w:rsid w:val="000D15C5"/>
    <w:rsid w:val="000D1DB9"/>
    <w:rsid w:val="000D1E2C"/>
    <w:rsid w:val="000D28A5"/>
    <w:rsid w:val="000D31C1"/>
    <w:rsid w:val="000D36B2"/>
    <w:rsid w:val="000D39FD"/>
    <w:rsid w:val="000D47D2"/>
    <w:rsid w:val="000D4833"/>
    <w:rsid w:val="000D49D2"/>
    <w:rsid w:val="000D4A88"/>
    <w:rsid w:val="000D4BBC"/>
    <w:rsid w:val="000D4D90"/>
    <w:rsid w:val="000D4E26"/>
    <w:rsid w:val="000D5176"/>
    <w:rsid w:val="000D5EDB"/>
    <w:rsid w:val="000D6C0F"/>
    <w:rsid w:val="000D6ECA"/>
    <w:rsid w:val="000D6F1E"/>
    <w:rsid w:val="000D71C3"/>
    <w:rsid w:val="000D7A95"/>
    <w:rsid w:val="000D7BBD"/>
    <w:rsid w:val="000E03C0"/>
    <w:rsid w:val="000E0654"/>
    <w:rsid w:val="000E0BD8"/>
    <w:rsid w:val="000E11D1"/>
    <w:rsid w:val="000E19B3"/>
    <w:rsid w:val="000E23F8"/>
    <w:rsid w:val="000E2970"/>
    <w:rsid w:val="000E2C52"/>
    <w:rsid w:val="000E3CC1"/>
    <w:rsid w:val="000E4709"/>
    <w:rsid w:val="000E5331"/>
    <w:rsid w:val="000E5526"/>
    <w:rsid w:val="000E5D6B"/>
    <w:rsid w:val="000E5FE0"/>
    <w:rsid w:val="000E6C23"/>
    <w:rsid w:val="000E6D5D"/>
    <w:rsid w:val="000E7E6D"/>
    <w:rsid w:val="000F05D5"/>
    <w:rsid w:val="000F085E"/>
    <w:rsid w:val="000F1DEB"/>
    <w:rsid w:val="000F28C5"/>
    <w:rsid w:val="000F2931"/>
    <w:rsid w:val="000F2AD6"/>
    <w:rsid w:val="000F311A"/>
    <w:rsid w:val="000F3491"/>
    <w:rsid w:val="000F3DE6"/>
    <w:rsid w:val="000F3E70"/>
    <w:rsid w:val="000F4472"/>
    <w:rsid w:val="000F44E7"/>
    <w:rsid w:val="000F49F1"/>
    <w:rsid w:val="000F4C41"/>
    <w:rsid w:val="000F4ED3"/>
    <w:rsid w:val="000F4FA7"/>
    <w:rsid w:val="000F5354"/>
    <w:rsid w:val="000F536A"/>
    <w:rsid w:val="000F541D"/>
    <w:rsid w:val="000F5AD1"/>
    <w:rsid w:val="000F69FA"/>
    <w:rsid w:val="000F6AC4"/>
    <w:rsid w:val="000F7577"/>
    <w:rsid w:val="000F7974"/>
    <w:rsid w:val="000F7ECD"/>
    <w:rsid w:val="000F7FB5"/>
    <w:rsid w:val="00100317"/>
    <w:rsid w:val="00100503"/>
    <w:rsid w:val="00100611"/>
    <w:rsid w:val="001006BF"/>
    <w:rsid w:val="001011EC"/>
    <w:rsid w:val="001017C1"/>
    <w:rsid w:val="00101E92"/>
    <w:rsid w:val="00101F40"/>
    <w:rsid w:val="00102366"/>
    <w:rsid w:val="00103847"/>
    <w:rsid w:val="00103913"/>
    <w:rsid w:val="001039D6"/>
    <w:rsid w:val="00103B12"/>
    <w:rsid w:val="00105234"/>
    <w:rsid w:val="0010560F"/>
    <w:rsid w:val="00105614"/>
    <w:rsid w:val="00105E2B"/>
    <w:rsid w:val="0010619C"/>
    <w:rsid w:val="0010664D"/>
    <w:rsid w:val="00106A96"/>
    <w:rsid w:val="001103BB"/>
    <w:rsid w:val="00110510"/>
    <w:rsid w:val="001106A4"/>
    <w:rsid w:val="00110751"/>
    <w:rsid w:val="0011076D"/>
    <w:rsid w:val="00110DB1"/>
    <w:rsid w:val="00110DF0"/>
    <w:rsid w:val="001114D0"/>
    <w:rsid w:val="00111703"/>
    <w:rsid w:val="00111AA3"/>
    <w:rsid w:val="00111F29"/>
    <w:rsid w:val="00112888"/>
    <w:rsid w:val="00113348"/>
    <w:rsid w:val="001133FC"/>
    <w:rsid w:val="00113404"/>
    <w:rsid w:val="001134B4"/>
    <w:rsid w:val="001137A9"/>
    <w:rsid w:val="00113DE8"/>
    <w:rsid w:val="0011424C"/>
    <w:rsid w:val="0011478A"/>
    <w:rsid w:val="00114B56"/>
    <w:rsid w:val="00114B96"/>
    <w:rsid w:val="00114E47"/>
    <w:rsid w:val="00115291"/>
    <w:rsid w:val="00115A20"/>
    <w:rsid w:val="00115AF5"/>
    <w:rsid w:val="00115F88"/>
    <w:rsid w:val="001161CC"/>
    <w:rsid w:val="00116647"/>
    <w:rsid w:val="00116F84"/>
    <w:rsid w:val="0011782A"/>
    <w:rsid w:val="00117CA9"/>
    <w:rsid w:val="00117D7A"/>
    <w:rsid w:val="00120112"/>
    <w:rsid w:val="001206BB"/>
    <w:rsid w:val="00120DFD"/>
    <w:rsid w:val="00120EA1"/>
    <w:rsid w:val="001211F1"/>
    <w:rsid w:val="0012181E"/>
    <w:rsid w:val="00122048"/>
    <w:rsid w:val="001228A0"/>
    <w:rsid w:val="00123EFF"/>
    <w:rsid w:val="001241F7"/>
    <w:rsid w:val="00124B00"/>
    <w:rsid w:val="00124D1A"/>
    <w:rsid w:val="001251AF"/>
    <w:rsid w:val="00125654"/>
    <w:rsid w:val="00125D0D"/>
    <w:rsid w:val="00125D9D"/>
    <w:rsid w:val="001263E8"/>
    <w:rsid w:val="00126BB2"/>
    <w:rsid w:val="0012739C"/>
    <w:rsid w:val="0012769A"/>
    <w:rsid w:val="0012769D"/>
    <w:rsid w:val="00127810"/>
    <w:rsid w:val="001301E6"/>
    <w:rsid w:val="001304F2"/>
    <w:rsid w:val="00130C4C"/>
    <w:rsid w:val="00131074"/>
    <w:rsid w:val="001313EB"/>
    <w:rsid w:val="00131D9B"/>
    <w:rsid w:val="0013222E"/>
    <w:rsid w:val="00132C77"/>
    <w:rsid w:val="00134904"/>
    <w:rsid w:val="001349AB"/>
    <w:rsid w:val="00134F4E"/>
    <w:rsid w:val="00134FB0"/>
    <w:rsid w:val="001350AC"/>
    <w:rsid w:val="001352EC"/>
    <w:rsid w:val="00135991"/>
    <w:rsid w:val="00135CF8"/>
    <w:rsid w:val="00135E0B"/>
    <w:rsid w:val="001361A8"/>
    <w:rsid w:val="001361E1"/>
    <w:rsid w:val="001365A5"/>
    <w:rsid w:val="001368CC"/>
    <w:rsid w:val="001372CA"/>
    <w:rsid w:val="00137876"/>
    <w:rsid w:val="00137AFD"/>
    <w:rsid w:val="00137F90"/>
    <w:rsid w:val="0014012A"/>
    <w:rsid w:val="00140AD8"/>
    <w:rsid w:val="00140BE4"/>
    <w:rsid w:val="001411DE"/>
    <w:rsid w:val="00141399"/>
    <w:rsid w:val="00141A0B"/>
    <w:rsid w:val="00141AF4"/>
    <w:rsid w:val="0014249C"/>
    <w:rsid w:val="001428B0"/>
    <w:rsid w:val="00142E09"/>
    <w:rsid w:val="00142EB0"/>
    <w:rsid w:val="0014377B"/>
    <w:rsid w:val="00143D3A"/>
    <w:rsid w:val="001446E4"/>
    <w:rsid w:val="00145F65"/>
    <w:rsid w:val="001460E0"/>
    <w:rsid w:val="00146902"/>
    <w:rsid w:val="00146DFA"/>
    <w:rsid w:val="0015018D"/>
    <w:rsid w:val="00150228"/>
    <w:rsid w:val="001502C3"/>
    <w:rsid w:val="001504E8"/>
    <w:rsid w:val="00150536"/>
    <w:rsid w:val="001511F4"/>
    <w:rsid w:val="001514C0"/>
    <w:rsid w:val="00151523"/>
    <w:rsid w:val="00152913"/>
    <w:rsid w:val="001533B2"/>
    <w:rsid w:val="001534CA"/>
    <w:rsid w:val="0015369A"/>
    <w:rsid w:val="0015386A"/>
    <w:rsid w:val="001540F9"/>
    <w:rsid w:val="00154E90"/>
    <w:rsid w:val="001557A9"/>
    <w:rsid w:val="00155878"/>
    <w:rsid w:val="0015599D"/>
    <w:rsid w:val="00155A36"/>
    <w:rsid w:val="00156663"/>
    <w:rsid w:val="0015755C"/>
    <w:rsid w:val="001577F0"/>
    <w:rsid w:val="00157819"/>
    <w:rsid w:val="001579DA"/>
    <w:rsid w:val="001600C9"/>
    <w:rsid w:val="00160308"/>
    <w:rsid w:val="0016052B"/>
    <w:rsid w:val="00160957"/>
    <w:rsid w:val="00160B56"/>
    <w:rsid w:val="0016159C"/>
    <w:rsid w:val="00161833"/>
    <w:rsid w:val="00161A2E"/>
    <w:rsid w:val="00161D6B"/>
    <w:rsid w:val="00161E62"/>
    <w:rsid w:val="001623E2"/>
    <w:rsid w:val="00162797"/>
    <w:rsid w:val="00162A20"/>
    <w:rsid w:val="001636AD"/>
    <w:rsid w:val="00164CD1"/>
    <w:rsid w:val="001650B8"/>
    <w:rsid w:val="001651A8"/>
    <w:rsid w:val="001655BD"/>
    <w:rsid w:val="00165810"/>
    <w:rsid w:val="00165E36"/>
    <w:rsid w:val="0016614B"/>
    <w:rsid w:val="001665FD"/>
    <w:rsid w:val="00167589"/>
    <w:rsid w:val="00167A72"/>
    <w:rsid w:val="001700D6"/>
    <w:rsid w:val="0017080F"/>
    <w:rsid w:val="00170972"/>
    <w:rsid w:val="00170BD4"/>
    <w:rsid w:val="001711E3"/>
    <w:rsid w:val="00171A31"/>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82D"/>
    <w:rsid w:val="00180887"/>
    <w:rsid w:val="00180A83"/>
    <w:rsid w:val="001810D4"/>
    <w:rsid w:val="001813AB"/>
    <w:rsid w:val="001819C6"/>
    <w:rsid w:val="00181B78"/>
    <w:rsid w:val="0018211C"/>
    <w:rsid w:val="001821F8"/>
    <w:rsid w:val="001827D3"/>
    <w:rsid w:val="00182C46"/>
    <w:rsid w:val="00182CBE"/>
    <w:rsid w:val="001831B3"/>
    <w:rsid w:val="001845FA"/>
    <w:rsid w:val="00184F0F"/>
    <w:rsid w:val="0018522B"/>
    <w:rsid w:val="001854A8"/>
    <w:rsid w:val="00185810"/>
    <w:rsid w:val="00185D40"/>
    <w:rsid w:val="00186C17"/>
    <w:rsid w:val="00186DED"/>
    <w:rsid w:val="00187D5E"/>
    <w:rsid w:val="00190180"/>
    <w:rsid w:val="00190789"/>
    <w:rsid w:val="001909E0"/>
    <w:rsid w:val="00190A43"/>
    <w:rsid w:val="00190D0B"/>
    <w:rsid w:val="00190DAE"/>
    <w:rsid w:val="001911E5"/>
    <w:rsid w:val="001912FB"/>
    <w:rsid w:val="00191608"/>
    <w:rsid w:val="00191664"/>
    <w:rsid w:val="00191E2C"/>
    <w:rsid w:val="00192065"/>
    <w:rsid w:val="001941AA"/>
    <w:rsid w:val="00194F73"/>
    <w:rsid w:val="00195EC2"/>
    <w:rsid w:val="00195F99"/>
    <w:rsid w:val="001963AC"/>
    <w:rsid w:val="001968C9"/>
    <w:rsid w:val="00196D09"/>
    <w:rsid w:val="001976A1"/>
    <w:rsid w:val="001A016C"/>
    <w:rsid w:val="001A0422"/>
    <w:rsid w:val="001A102F"/>
    <w:rsid w:val="001A1A27"/>
    <w:rsid w:val="001A1D4C"/>
    <w:rsid w:val="001A1DCD"/>
    <w:rsid w:val="001A1ED0"/>
    <w:rsid w:val="001A2688"/>
    <w:rsid w:val="001A35A6"/>
    <w:rsid w:val="001A368A"/>
    <w:rsid w:val="001A3963"/>
    <w:rsid w:val="001A41DF"/>
    <w:rsid w:val="001A43F5"/>
    <w:rsid w:val="001A441D"/>
    <w:rsid w:val="001A4943"/>
    <w:rsid w:val="001A4BC5"/>
    <w:rsid w:val="001A4E0E"/>
    <w:rsid w:val="001A4E8C"/>
    <w:rsid w:val="001A4EF7"/>
    <w:rsid w:val="001A4F6E"/>
    <w:rsid w:val="001A5168"/>
    <w:rsid w:val="001A5ABD"/>
    <w:rsid w:val="001A5CE0"/>
    <w:rsid w:val="001A60E2"/>
    <w:rsid w:val="001A67F3"/>
    <w:rsid w:val="001A69F0"/>
    <w:rsid w:val="001A7485"/>
    <w:rsid w:val="001A79AA"/>
    <w:rsid w:val="001A7A24"/>
    <w:rsid w:val="001A7F95"/>
    <w:rsid w:val="001B07B0"/>
    <w:rsid w:val="001B0992"/>
    <w:rsid w:val="001B0AC4"/>
    <w:rsid w:val="001B0B17"/>
    <w:rsid w:val="001B1120"/>
    <w:rsid w:val="001B15E2"/>
    <w:rsid w:val="001B163A"/>
    <w:rsid w:val="001B1CEC"/>
    <w:rsid w:val="001B253D"/>
    <w:rsid w:val="001B277C"/>
    <w:rsid w:val="001B2C6A"/>
    <w:rsid w:val="001B2F19"/>
    <w:rsid w:val="001B3211"/>
    <w:rsid w:val="001B35ED"/>
    <w:rsid w:val="001B369D"/>
    <w:rsid w:val="001B424E"/>
    <w:rsid w:val="001B450E"/>
    <w:rsid w:val="001B46DB"/>
    <w:rsid w:val="001B47B3"/>
    <w:rsid w:val="001B4F75"/>
    <w:rsid w:val="001B5DDB"/>
    <w:rsid w:val="001B62D3"/>
    <w:rsid w:val="001B69D8"/>
    <w:rsid w:val="001B6A8A"/>
    <w:rsid w:val="001B74F4"/>
    <w:rsid w:val="001B75DC"/>
    <w:rsid w:val="001B7E39"/>
    <w:rsid w:val="001B7F9F"/>
    <w:rsid w:val="001C0136"/>
    <w:rsid w:val="001C0A6E"/>
    <w:rsid w:val="001C0AD1"/>
    <w:rsid w:val="001C0BCC"/>
    <w:rsid w:val="001C117D"/>
    <w:rsid w:val="001C1F9C"/>
    <w:rsid w:val="001C220A"/>
    <w:rsid w:val="001C226A"/>
    <w:rsid w:val="001C236E"/>
    <w:rsid w:val="001C29E7"/>
    <w:rsid w:val="001C32C6"/>
    <w:rsid w:val="001C3E2D"/>
    <w:rsid w:val="001C48C7"/>
    <w:rsid w:val="001C4A9E"/>
    <w:rsid w:val="001C4D66"/>
    <w:rsid w:val="001C5565"/>
    <w:rsid w:val="001C65E6"/>
    <w:rsid w:val="001C6CAB"/>
    <w:rsid w:val="001C6CC1"/>
    <w:rsid w:val="001C7130"/>
    <w:rsid w:val="001C714B"/>
    <w:rsid w:val="001C7E70"/>
    <w:rsid w:val="001D0068"/>
    <w:rsid w:val="001D01C6"/>
    <w:rsid w:val="001D0855"/>
    <w:rsid w:val="001D092F"/>
    <w:rsid w:val="001D1AEF"/>
    <w:rsid w:val="001D244E"/>
    <w:rsid w:val="001D24F1"/>
    <w:rsid w:val="001D31B1"/>
    <w:rsid w:val="001D3969"/>
    <w:rsid w:val="001D3AD1"/>
    <w:rsid w:val="001D462A"/>
    <w:rsid w:val="001D478B"/>
    <w:rsid w:val="001D4970"/>
    <w:rsid w:val="001D5E4F"/>
    <w:rsid w:val="001D5F02"/>
    <w:rsid w:val="001D6186"/>
    <w:rsid w:val="001D62AF"/>
    <w:rsid w:val="001D637E"/>
    <w:rsid w:val="001D659E"/>
    <w:rsid w:val="001D6652"/>
    <w:rsid w:val="001D69E5"/>
    <w:rsid w:val="001D6B3D"/>
    <w:rsid w:val="001D7104"/>
    <w:rsid w:val="001D7E75"/>
    <w:rsid w:val="001E022F"/>
    <w:rsid w:val="001E075F"/>
    <w:rsid w:val="001E0933"/>
    <w:rsid w:val="001E14E8"/>
    <w:rsid w:val="001E16F4"/>
    <w:rsid w:val="001E170F"/>
    <w:rsid w:val="001E18BD"/>
    <w:rsid w:val="001E1DBA"/>
    <w:rsid w:val="001E1EF2"/>
    <w:rsid w:val="001E290B"/>
    <w:rsid w:val="001E3119"/>
    <w:rsid w:val="001E385F"/>
    <w:rsid w:val="001E39E4"/>
    <w:rsid w:val="001E3C91"/>
    <w:rsid w:val="001E41C4"/>
    <w:rsid w:val="001E490C"/>
    <w:rsid w:val="001E4C68"/>
    <w:rsid w:val="001E50FD"/>
    <w:rsid w:val="001E5310"/>
    <w:rsid w:val="001E59DC"/>
    <w:rsid w:val="001E5DD7"/>
    <w:rsid w:val="001E5EEE"/>
    <w:rsid w:val="001E605E"/>
    <w:rsid w:val="001E64C0"/>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3531"/>
    <w:rsid w:val="001F3696"/>
    <w:rsid w:val="001F42FF"/>
    <w:rsid w:val="001F44B4"/>
    <w:rsid w:val="001F44D3"/>
    <w:rsid w:val="001F4510"/>
    <w:rsid w:val="001F51AD"/>
    <w:rsid w:val="001F58D3"/>
    <w:rsid w:val="001F65A4"/>
    <w:rsid w:val="001F65E0"/>
    <w:rsid w:val="001F6EE3"/>
    <w:rsid w:val="001F7362"/>
    <w:rsid w:val="001F7AE9"/>
    <w:rsid w:val="001F7CFD"/>
    <w:rsid w:val="00200DCA"/>
    <w:rsid w:val="002011D5"/>
    <w:rsid w:val="00201856"/>
    <w:rsid w:val="00201C2D"/>
    <w:rsid w:val="002020C3"/>
    <w:rsid w:val="0020224C"/>
    <w:rsid w:val="002024F6"/>
    <w:rsid w:val="00202A68"/>
    <w:rsid w:val="00202CC5"/>
    <w:rsid w:val="002030E4"/>
    <w:rsid w:val="00203367"/>
    <w:rsid w:val="00204438"/>
    <w:rsid w:val="00204A44"/>
    <w:rsid w:val="00206147"/>
    <w:rsid w:val="002064F3"/>
    <w:rsid w:val="002069A8"/>
    <w:rsid w:val="00206EE7"/>
    <w:rsid w:val="0020789A"/>
    <w:rsid w:val="00207C83"/>
    <w:rsid w:val="00210869"/>
    <w:rsid w:val="002116AD"/>
    <w:rsid w:val="00211999"/>
    <w:rsid w:val="00212392"/>
    <w:rsid w:val="0021239C"/>
    <w:rsid w:val="002123A4"/>
    <w:rsid w:val="002126CD"/>
    <w:rsid w:val="00212982"/>
    <w:rsid w:val="00212DD2"/>
    <w:rsid w:val="00213773"/>
    <w:rsid w:val="0021378A"/>
    <w:rsid w:val="00213B0E"/>
    <w:rsid w:val="00213CBC"/>
    <w:rsid w:val="00213D36"/>
    <w:rsid w:val="002141FB"/>
    <w:rsid w:val="002146CA"/>
    <w:rsid w:val="002147D6"/>
    <w:rsid w:val="002152A4"/>
    <w:rsid w:val="0021575B"/>
    <w:rsid w:val="00215783"/>
    <w:rsid w:val="00215D95"/>
    <w:rsid w:val="002163EE"/>
    <w:rsid w:val="0021669B"/>
    <w:rsid w:val="00216876"/>
    <w:rsid w:val="00217957"/>
    <w:rsid w:val="00217B44"/>
    <w:rsid w:val="00217DBE"/>
    <w:rsid w:val="0022018A"/>
    <w:rsid w:val="00220ADA"/>
    <w:rsid w:val="00220B7B"/>
    <w:rsid w:val="00221279"/>
    <w:rsid w:val="00221682"/>
    <w:rsid w:val="0022180E"/>
    <w:rsid w:val="002220BA"/>
    <w:rsid w:val="00222413"/>
    <w:rsid w:val="002227B3"/>
    <w:rsid w:val="0022283C"/>
    <w:rsid w:val="00222CE3"/>
    <w:rsid w:val="002235D7"/>
    <w:rsid w:val="002239C4"/>
    <w:rsid w:val="00224617"/>
    <w:rsid w:val="00224A15"/>
    <w:rsid w:val="00225591"/>
    <w:rsid w:val="00225690"/>
    <w:rsid w:val="0022574F"/>
    <w:rsid w:val="0022593A"/>
    <w:rsid w:val="00225B52"/>
    <w:rsid w:val="00225CE3"/>
    <w:rsid w:val="00225D3A"/>
    <w:rsid w:val="00225DC6"/>
    <w:rsid w:val="002260D7"/>
    <w:rsid w:val="00226B17"/>
    <w:rsid w:val="0022712B"/>
    <w:rsid w:val="002276A4"/>
    <w:rsid w:val="00227843"/>
    <w:rsid w:val="00227A99"/>
    <w:rsid w:val="00227C8B"/>
    <w:rsid w:val="00230A44"/>
    <w:rsid w:val="00230A52"/>
    <w:rsid w:val="00230FA5"/>
    <w:rsid w:val="00231131"/>
    <w:rsid w:val="002314E8"/>
    <w:rsid w:val="0023170E"/>
    <w:rsid w:val="00231839"/>
    <w:rsid w:val="00232445"/>
    <w:rsid w:val="0023262B"/>
    <w:rsid w:val="00232A4E"/>
    <w:rsid w:val="002330CA"/>
    <w:rsid w:val="0023323B"/>
    <w:rsid w:val="00233A7D"/>
    <w:rsid w:val="00234380"/>
    <w:rsid w:val="0023477E"/>
    <w:rsid w:val="0023482B"/>
    <w:rsid w:val="0023482C"/>
    <w:rsid w:val="0023494C"/>
    <w:rsid w:val="00234AA4"/>
    <w:rsid w:val="00234C7F"/>
    <w:rsid w:val="00234E62"/>
    <w:rsid w:val="00234F8F"/>
    <w:rsid w:val="0023658F"/>
    <w:rsid w:val="00236872"/>
    <w:rsid w:val="00236890"/>
    <w:rsid w:val="002368C0"/>
    <w:rsid w:val="0023697D"/>
    <w:rsid w:val="00236CC2"/>
    <w:rsid w:val="00236CDE"/>
    <w:rsid w:val="0023763A"/>
    <w:rsid w:val="00237982"/>
    <w:rsid w:val="00237C64"/>
    <w:rsid w:val="00237D7D"/>
    <w:rsid w:val="002400FA"/>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4D2E"/>
    <w:rsid w:val="002454F0"/>
    <w:rsid w:val="00245B9E"/>
    <w:rsid w:val="00246227"/>
    <w:rsid w:val="002465AC"/>
    <w:rsid w:val="002465EC"/>
    <w:rsid w:val="00246614"/>
    <w:rsid w:val="00246907"/>
    <w:rsid w:val="00246C0E"/>
    <w:rsid w:val="00246E4C"/>
    <w:rsid w:val="00246EC9"/>
    <w:rsid w:val="00246FE9"/>
    <w:rsid w:val="00247130"/>
    <w:rsid w:val="0024723E"/>
    <w:rsid w:val="00247760"/>
    <w:rsid w:val="00247E6F"/>
    <w:rsid w:val="00247FD9"/>
    <w:rsid w:val="0025003A"/>
    <w:rsid w:val="002500C0"/>
    <w:rsid w:val="00250260"/>
    <w:rsid w:val="002508EE"/>
    <w:rsid w:val="00250FD5"/>
    <w:rsid w:val="00251167"/>
    <w:rsid w:val="002511BA"/>
    <w:rsid w:val="0025228A"/>
    <w:rsid w:val="002526B9"/>
    <w:rsid w:val="00252DD3"/>
    <w:rsid w:val="0025394F"/>
    <w:rsid w:val="00253B8F"/>
    <w:rsid w:val="00253B97"/>
    <w:rsid w:val="00253F04"/>
    <w:rsid w:val="0025446E"/>
    <w:rsid w:val="002544CB"/>
    <w:rsid w:val="00254724"/>
    <w:rsid w:val="00255D8E"/>
    <w:rsid w:val="00256288"/>
    <w:rsid w:val="00256584"/>
    <w:rsid w:val="00256C48"/>
    <w:rsid w:val="00256EF8"/>
    <w:rsid w:val="002570D5"/>
    <w:rsid w:val="00257177"/>
    <w:rsid w:val="00257730"/>
    <w:rsid w:val="00257803"/>
    <w:rsid w:val="00257AAC"/>
    <w:rsid w:val="00257B74"/>
    <w:rsid w:val="00257CD8"/>
    <w:rsid w:val="00260C8B"/>
    <w:rsid w:val="002610D8"/>
    <w:rsid w:val="00261A6C"/>
    <w:rsid w:val="002629E2"/>
    <w:rsid w:val="00262BA8"/>
    <w:rsid w:val="00262BC8"/>
    <w:rsid w:val="002634CB"/>
    <w:rsid w:val="002634DD"/>
    <w:rsid w:val="002641D9"/>
    <w:rsid w:val="002643C5"/>
    <w:rsid w:val="002645B7"/>
    <w:rsid w:val="00264917"/>
    <w:rsid w:val="00264A16"/>
    <w:rsid w:val="00265022"/>
    <w:rsid w:val="002651EC"/>
    <w:rsid w:val="00265DC2"/>
    <w:rsid w:val="0026638C"/>
    <w:rsid w:val="002663C8"/>
    <w:rsid w:val="00266F00"/>
    <w:rsid w:val="002670EF"/>
    <w:rsid w:val="002671A2"/>
    <w:rsid w:val="002673A6"/>
    <w:rsid w:val="00267A38"/>
    <w:rsid w:val="00267CB0"/>
    <w:rsid w:val="00267F5F"/>
    <w:rsid w:val="002702C3"/>
    <w:rsid w:val="00270965"/>
    <w:rsid w:val="00270DFC"/>
    <w:rsid w:val="0027150D"/>
    <w:rsid w:val="00271E5D"/>
    <w:rsid w:val="00272082"/>
    <w:rsid w:val="00272A7E"/>
    <w:rsid w:val="00272D13"/>
    <w:rsid w:val="00273472"/>
    <w:rsid w:val="0027349D"/>
    <w:rsid w:val="00273516"/>
    <w:rsid w:val="00273985"/>
    <w:rsid w:val="00273B82"/>
    <w:rsid w:val="00273C67"/>
    <w:rsid w:val="00273E7A"/>
    <w:rsid w:val="0027425F"/>
    <w:rsid w:val="00274372"/>
    <w:rsid w:val="002744B7"/>
    <w:rsid w:val="002744E2"/>
    <w:rsid w:val="002746B6"/>
    <w:rsid w:val="0027475A"/>
    <w:rsid w:val="00275B4D"/>
    <w:rsid w:val="00275D59"/>
    <w:rsid w:val="00275F56"/>
    <w:rsid w:val="002765B7"/>
    <w:rsid w:val="002768BE"/>
    <w:rsid w:val="00276EAA"/>
    <w:rsid w:val="00277713"/>
    <w:rsid w:val="00277ABF"/>
    <w:rsid w:val="00277DBC"/>
    <w:rsid w:val="00277F64"/>
    <w:rsid w:val="00280550"/>
    <w:rsid w:val="00280A62"/>
    <w:rsid w:val="00280BA7"/>
    <w:rsid w:val="00280F5E"/>
    <w:rsid w:val="00281063"/>
    <w:rsid w:val="002813A7"/>
    <w:rsid w:val="00281676"/>
    <w:rsid w:val="00281E32"/>
    <w:rsid w:val="00282479"/>
    <w:rsid w:val="0028276E"/>
    <w:rsid w:val="002827F3"/>
    <w:rsid w:val="002829BD"/>
    <w:rsid w:val="00282B3E"/>
    <w:rsid w:val="00282C1F"/>
    <w:rsid w:val="00282C6C"/>
    <w:rsid w:val="00283B7F"/>
    <w:rsid w:val="002843D0"/>
    <w:rsid w:val="0028468D"/>
    <w:rsid w:val="0028470C"/>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069"/>
    <w:rsid w:val="00291341"/>
    <w:rsid w:val="002916DB"/>
    <w:rsid w:val="0029190A"/>
    <w:rsid w:val="002926F8"/>
    <w:rsid w:val="00293271"/>
    <w:rsid w:val="002933C9"/>
    <w:rsid w:val="00293587"/>
    <w:rsid w:val="0029361B"/>
    <w:rsid w:val="00293896"/>
    <w:rsid w:val="00293ED1"/>
    <w:rsid w:val="0029411C"/>
    <w:rsid w:val="00294219"/>
    <w:rsid w:val="00294A06"/>
    <w:rsid w:val="00294FFB"/>
    <w:rsid w:val="002953CD"/>
    <w:rsid w:val="002954A2"/>
    <w:rsid w:val="002954FD"/>
    <w:rsid w:val="00296242"/>
    <w:rsid w:val="00296CE6"/>
    <w:rsid w:val="002973DF"/>
    <w:rsid w:val="00297BA1"/>
    <w:rsid w:val="00297D6A"/>
    <w:rsid w:val="002A0190"/>
    <w:rsid w:val="002A04C8"/>
    <w:rsid w:val="002A0983"/>
    <w:rsid w:val="002A0BF5"/>
    <w:rsid w:val="002A0FBA"/>
    <w:rsid w:val="002A1128"/>
    <w:rsid w:val="002A158C"/>
    <w:rsid w:val="002A223C"/>
    <w:rsid w:val="002A2492"/>
    <w:rsid w:val="002A24EB"/>
    <w:rsid w:val="002A2C5E"/>
    <w:rsid w:val="002A2D3E"/>
    <w:rsid w:val="002A2D66"/>
    <w:rsid w:val="002A377A"/>
    <w:rsid w:val="002A3854"/>
    <w:rsid w:val="002A428E"/>
    <w:rsid w:val="002A46FA"/>
    <w:rsid w:val="002A4E30"/>
    <w:rsid w:val="002A4FEF"/>
    <w:rsid w:val="002A5227"/>
    <w:rsid w:val="002A57BC"/>
    <w:rsid w:val="002A581C"/>
    <w:rsid w:val="002A5E5B"/>
    <w:rsid w:val="002A602A"/>
    <w:rsid w:val="002A6316"/>
    <w:rsid w:val="002A6D4C"/>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6CEA"/>
    <w:rsid w:val="002B71D1"/>
    <w:rsid w:val="002C0144"/>
    <w:rsid w:val="002C0355"/>
    <w:rsid w:val="002C0CAC"/>
    <w:rsid w:val="002C1509"/>
    <w:rsid w:val="002C1A38"/>
    <w:rsid w:val="002C1F28"/>
    <w:rsid w:val="002C254B"/>
    <w:rsid w:val="002C25DE"/>
    <w:rsid w:val="002C27E8"/>
    <w:rsid w:val="002C2ACB"/>
    <w:rsid w:val="002C2B57"/>
    <w:rsid w:val="002C2F60"/>
    <w:rsid w:val="002C41CB"/>
    <w:rsid w:val="002C4623"/>
    <w:rsid w:val="002C4895"/>
    <w:rsid w:val="002C5C58"/>
    <w:rsid w:val="002C5E02"/>
    <w:rsid w:val="002C6A1A"/>
    <w:rsid w:val="002C6B67"/>
    <w:rsid w:val="002C7119"/>
    <w:rsid w:val="002C73EE"/>
    <w:rsid w:val="002C7660"/>
    <w:rsid w:val="002C7718"/>
    <w:rsid w:val="002C77DB"/>
    <w:rsid w:val="002C77F7"/>
    <w:rsid w:val="002C7CD4"/>
    <w:rsid w:val="002D0321"/>
    <w:rsid w:val="002D0E7A"/>
    <w:rsid w:val="002D1071"/>
    <w:rsid w:val="002D155B"/>
    <w:rsid w:val="002D1AD3"/>
    <w:rsid w:val="002D3599"/>
    <w:rsid w:val="002D40A5"/>
    <w:rsid w:val="002D48E1"/>
    <w:rsid w:val="002D58B8"/>
    <w:rsid w:val="002D61C8"/>
    <w:rsid w:val="002D629E"/>
    <w:rsid w:val="002D642B"/>
    <w:rsid w:val="002D66B3"/>
    <w:rsid w:val="002D6D9B"/>
    <w:rsid w:val="002D6E9A"/>
    <w:rsid w:val="002D726B"/>
    <w:rsid w:val="002D75DB"/>
    <w:rsid w:val="002E0067"/>
    <w:rsid w:val="002E02D0"/>
    <w:rsid w:val="002E0489"/>
    <w:rsid w:val="002E04C0"/>
    <w:rsid w:val="002E0544"/>
    <w:rsid w:val="002E0C61"/>
    <w:rsid w:val="002E1A09"/>
    <w:rsid w:val="002E1DF4"/>
    <w:rsid w:val="002E2C3B"/>
    <w:rsid w:val="002E3461"/>
    <w:rsid w:val="002E3556"/>
    <w:rsid w:val="002E3ADD"/>
    <w:rsid w:val="002E3C37"/>
    <w:rsid w:val="002E3FC3"/>
    <w:rsid w:val="002E421C"/>
    <w:rsid w:val="002E4391"/>
    <w:rsid w:val="002E4BA7"/>
    <w:rsid w:val="002E4D3D"/>
    <w:rsid w:val="002E5CA7"/>
    <w:rsid w:val="002E668B"/>
    <w:rsid w:val="002E6F06"/>
    <w:rsid w:val="002E7235"/>
    <w:rsid w:val="002E76BD"/>
    <w:rsid w:val="002E784F"/>
    <w:rsid w:val="002E7DEA"/>
    <w:rsid w:val="002F005F"/>
    <w:rsid w:val="002F0276"/>
    <w:rsid w:val="002F02F0"/>
    <w:rsid w:val="002F05C3"/>
    <w:rsid w:val="002F0810"/>
    <w:rsid w:val="002F08E4"/>
    <w:rsid w:val="002F10E7"/>
    <w:rsid w:val="002F11F9"/>
    <w:rsid w:val="002F1274"/>
    <w:rsid w:val="002F13E0"/>
    <w:rsid w:val="002F16CB"/>
    <w:rsid w:val="002F1742"/>
    <w:rsid w:val="002F1AB0"/>
    <w:rsid w:val="002F3163"/>
    <w:rsid w:val="002F3C64"/>
    <w:rsid w:val="002F4431"/>
    <w:rsid w:val="002F449B"/>
    <w:rsid w:val="002F47E7"/>
    <w:rsid w:val="002F480F"/>
    <w:rsid w:val="002F4826"/>
    <w:rsid w:val="002F510D"/>
    <w:rsid w:val="002F5245"/>
    <w:rsid w:val="002F5C06"/>
    <w:rsid w:val="002F5F61"/>
    <w:rsid w:val="002F7902"/>
    <w:rsid w:val="00300081"/>
    <w:rsid w:val="0030023E"/>
    <w:rsid w:val="0030059B"/>
    <w:rsid w:val="00300FC5"/>
    <w:rsid w:val="00301277"/>
    <w:rsid w:val="00301837"/>
    <w:rsid w:val="003019CD"/>
    <w:rsid w:val="00301E73"/>
    <w:rsid w:val="0030205B"/>
    <w:rsid w:val="00302F17"/>
    <w:rsid w:val="003030C1"/>
    <w:rsid w:val="0030341B"/>
    <w:rsid w:val="003034D2"/>
    <w:rsid w:val="0030373E"/>
    <w:rsid w:val="00303A1B"/>
    <w:rsid w:val="003045BE"/>
    <w:rsid w:val="003046B0"/>
    <w:rsid w:val="0030573A"/>
    <w:rsid w:val="00305C04"/>
    <w:rsid w:val="00305F53"/>
    <w:rsid w:val="003060F3"/>
    <w:rsid w:val="0030612A"/>
    <w:rsid w:val="003063EC"/>
    <w:rsid w:val="003067F1"/>
    <w:rsid w:val="003068EC"/>
    <w:rsid w:val="00306C01"/>
    <w:rsid w:val="003071BE"/>
    <w:rsid w:val="0030759B"/>
    <w:rsid w:val="003076C4"/>
    <w:rsid w:val="003079A6"/>
    <w:rsid w:val="003106C8"/>
    <w:rsid w:val="00310E3F"/>
    <w:rsid w:val="00311270"/>
    <w:rsid w:val="00311285"/>
    <w:rsid w:val="0031175D"/>
    <w:rsid w:val="00311803"/>
    <w:rsid w:val="003118AE"/>
    <w:rsid w:val="003119DD"/>
    <w:rsid w:val="00311B9D"/>
    <w:rsid w:val="00312297"/>
    <w:rsid w:val="00312383"/>
    <w:rsid w:val="00312B9A"/>
    <w:rsid w:val="00313367"/>
    <w:rsid w:val="0031354F"/>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386"/>
    <w:rsid w:val="0032165B"/>
    <w:rsid w:val="00321788"/>
    <w:rsid w:val="003217EE"/>
    <w:rsid w:val="00321848"/>
    <w:rsid w:val="00321CB3"/>
    <w:rsid w:val="00322341"/>
    <w:rsid w:val="00322C8A"/>
    <w:rsid w:val="00322D80"/>
    <w:rsid w:val="0032345B"/>
    <w:rsid w:val="003235FE"/>
    <w:rsid w:val="00323601"/>
    <w:rsid w:val="0032361B"/>
    <w:rsid w:val="00324ADE"/>
    <w:rsid w:val="00324FF5"/>
    <w:rsid w:val="003256A0"/>
    <w:rsid w:val="003265DE"/>
    <w:rsid w:val="00326A08"/>
    <w:rsid w:val="003275D6"/>
    <w:rsid w:val="0032767E"/>
    <w:rsid w:val="003277C6"/>
    <w:rsid w:val="00327845"/>
    <w:rsid w:val="00327B0E"/>
    <w:rsid w:val="003302CF"/>
    <w:rsid w:val="00330455"/>
    <w:rsid w:val="00330559"/>
    <w:rsid w:val="00330B86"/>
    <w:rsid w:val="00330DB5"/>
    <w:rsid w:val="0033113F"/>
    <w:rsid w:val="00331306"/>
    <w:rsid w:val="00331574"/>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53D5"/>
    <w:rsid w:val="00335A53"/>
    <w:rsid w:val="00335D62"/>
    <w:rsid w:val="00337646"/>
    <w:rsid w:val="003379A4"/>
    <w:rsid w:val="00337BB0"/>
    <w:rsid w:val="00337CB6"/>
    <w:rsid w:val="00340288"/>
    <w:rsid w:val="003403AE"/>
    <w:rsid w:val="00340528"/>
    <w:rsid w:val="003409BD"/>
    <w:rsid w:val="003409E6"/>
    <w:rsid w:val="0034111B"/>
    <w:rsid w:val="003416CB"/>
    <w:rsid w:val="00341FFE"/>
    <w:rsid w:val="00342559"/>
    <w:rsid w:val="00342C09"/>
    <w:rsid w:val="00342C8C"/>
    <w:rsid w:val="00342D1A"/>
    <w:rsid w:val="0034339B"/>
    <w:rsid w:val="00343860"/>
    <w:rsid w:val="00343AB5"/>
    <w:rsid w:val="00344A0F"/>
    <w:rsid w:val="00344A84"/>
    <w:rsid w:val="00344CEF"/>
    <w:rsid w:val="00344F44"/>
    <w:rsid w:val="0034511C"/>
    <w:rsid w:val="00345191"/>
    <w:rsid w:val="0034550A"/>
    <w:rsid w:val="00345B7B"/>
    <w:rsid w:val="0034620C"/>
    <w:rsid w:val="00346579"/>
    <w:rsid w:val="00346C50"/>
    <w:rsid w:val="003474B3"/>
    <w:rsid w:val="00347A1B"/>
    <w:rsid w:val="00347CA3"/>
    <w:rsid w:val="00347F9F"/>
    <w:rsid w:val="00350B44"/>
    <w:rsid w:val="00351032"/>
    <w:rsid w:val="003511FC"/>
    <w:rsid w:val="0035149A"/>
    <w:rsid w:val="00351668"/>
    <w:rsid w:val="003521F2"/>
    <w:rsid w:val="00352412"/>
    <w:rsid w:val="00352775"/>
    <w:rsid w:val="00352E6F"/>
    <w:rsid w:val="00352F14"/>
    <w:rsid w:val="003530B3"/>
    <w:rsid w:val="00353C12"/>
    <w:rsid w:val="003547B9"/>
    <w:rsid w:val="0035546F"/>
    <w:rsid w:val="003554BD"/>
    <w:rsid w:val="003554CE"/>
    <w:rsid w:val="00355624"/>
    <w:rsid w:val="00356586"/>
    <w:rsid w:val="00356792"/>
    <w:rsid w:val="003571E2"/>
    <w:rsid w:val="00360A82"/>
    <w:rsid w:val="00361062"/>
    <w:rsid w:val="003610F5"/>
    <w:rsid w:val="003616F4"/>
    <w:rsid w:val="0036172F"/>
    <w:rsid w:val="0036176C"/>
    <w:rsid w:val="00361DD4"/>
    <w:rsid w:val="003628D8"/>
    <w:rsid w:val="00362A1A"/>
    <w:rsid w:val="00362B5E"/>
    <w:rsid w:val="003638E9"/>
    <w:rsid w:val="003643A5"/>
    <w:rsid w:val="003649A7"/>
    <w:rsid w:val="00364D97"/>
    <w:rsid w:val="00364DF8"/>
    <w:rsid w:val="0036533F"/>
    <w:rsid w:val="00365370"/>
    <w:rsid w:val="00365B9E"/>
    <w:rsid w:val="00365CD3"/>
    <w:rsid w:val="003661C9"/>
    <w:rsid w:val="003667A7"/>
    <w:rsid w:val="0036693A"/>
    <w:rsid w:val="00366AFA"/>
    <w:rsid w:val="00366C31"/>
    <w:rsid w:val="00366E4E"/>
    <w:rsid w:val="0036737E"/>
    <w:rsid w:val="003676E5"/>
    <w:rsid w:val="003676EA"/>
    <w:rsid w:val="00367813"/>
    <w:rsid w:val="00367879"/>
    <w:rsid w:val="00367886"/>
    <w:rsid w:val="00367AD9"/>
    <w:rsid w:val="00367CC7"/>
    <w:rsid w:val="003700C2"/>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43B"/>
    <w:rsid w:val="00374BC0"/>
    <w:rsid w:val="00374D3E"/>
    <w:rsid w:val="003750F4"/>
    <w:rsid w:val="003754C6"/>
    <w:rsid w:val="003756D3"/>
    <w:rsid w:val="00375820"/>
    <w:rsid w:val="003759B2"/>
    <w:rsid w:val="00375B14"/>
    <w:rsid w:val="00375D85"/>
    <w:rsid w:val="003760FD"/>
    <w:rsid w:val="00376234"/>
    <w:rsid w:val="00376757"/>
    <w:rsid w:val="003767EC"/>
    <w:rsid w:val="003769AE"/>
    <w:rsid w:val="003769D5"/>
    <w:rsid w:val="00376E7E"/>
    <w:rsid w:val="00377475"/>
    <w:rsid w:val="0037793C"/>
    <w:rsid w:val="00377A8C"/>
    <w:rsid w:val="0038054C"/>
    <w:rsid w:val="0038061C"/>
    <w:rsid w:val="003808D6"/>
    <w:rsid w:val="00380D99"/>
    <w:rsid w:val="00381168"/>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5877"/>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220"/>
    <w:rsid w:val="003923A6"/>
    <w:rsid w:val="0039257A"/>
    <w:rsid w:val="003927A2"/>
    <w:rsid w:val="00392977"/>
    <w:rsid w:val="00393056"/>
    <w:rsid w:val="00393231"/>
    <w:rsid w:val="0039372B"/>
    <w:rsid w:val="0039383D"/>
    <w:rsid w:val="00393D23"/>
    <w:rsid w:val="00393FC7"/>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FEA"/>
    <w:rsid w:val="003A2BCD"/>
    <w:rsid w:val="003A344A"/>
    <w:rsid w:val="003A3622"/>
    <w:rsid w:val="003A36D4"/>
    <w:rsid w:val="003A4139"/>
    <w:rsid w:val="003A495B"/>
    <w:rsid w:val="003A4B2F"/>
    <w:rsid w:val="003A4C4A"/>
    <w:rsid w:val="003A4F9E"/>
    <w:rsid w:val="003A5033"/>
    <w:rsid w:val="003A53AA"/>
    <w:rsid w:val="003A5EEB"/>
    <w:rsid w:val="003A6F96"/>
    <w:rsid w:val="003A701E"/>
    <w:rsid w:val="003A7127"/>
    <w:rsid w:val="003A7161"/>
    <w:rsid w:val="003A7200"/>
    <w:rsid w:val="003A74D7"/>
    <w:rsid w:val="003A75C6"/>
    <w:rsid w:val="003A79FF"/>
    <w:rsid w:val="003A7DFF"/>
    <w:rsid w:val="003A7F3F"/>
    <w:rsid w:val="003B00E9"/>
    <w:rsid w:val="003B02DF"/>
    <w:rsid w:val="003B0A8B"/>
    <w:rsid w:val="003B1083"/>
    <w:rsid w:val="003B12DB"/>
    <w:rsid w:val="003B1C5D"/>
    <w:rsid w:val="003B1EAD"/>
    <w:rsid w:val="003B1F1C"/>
    <w:rsid w:val="003B1F40"/>
    <w:rsid w:val="003B23A8"/>
    <w:rsid w:val="003B3279"/>
    <w:rsid w:val="003B3822"/>
    <w:rsid w:val="003B3BAD"/>
    <w:rsid w:val="003B3F02"/>
    <w:rsid w:val="003B3F64"/>
    <w:rsid w:val="003B4318"/>
    <w:rsid w:val="003B4644"/>
    <w:rsid w:val="003B4B26"/>
    <w:rsid w:val="003B4E29"/>
    <w:rsid w:val="003B52E7"/>
    <w:rsid w:val="003B5306"/>
    <w:rsid w:val="003B58DD"/>
    <w:rsid w:val="003B59CB"/>
    <w:rsid w:val="003B6019"/>
    <w:rsid w:val="003B6179"/>
    <w:rsid w:val="003B6685"/>
    <w:rsid w:val="003B6963"/>
    <w:rsid w:val="003B69D0"/>
    <w:rsid w:val="003B6B10"/>
    <w:rsid w:val="003B73C0"/>
    <w:rsid w:val="003B7B4D"/>
    <w:rsid w:val="003C0125"/>
    <w:rsid w:val="003C03F7"/>
    <w:rsid w:val="003C05CD"/>
    <w:rsid w:val="003C0F88"/>
    <w:rsid w:val="003C0FE5"/>
    <w:rsid w:val="003C1CAF"/>
    <w:rsid w:val="003C22D4"/>
    <w:rsid w:val="003C29AF"/>
    <w:rsid w:val="003C2BA5"/>
    <w:rsid w:val="003C3F73"/>
    <w:rsid w:val="003C40A2"/>
    <w:rsid w:val="003C5329"/>
    <w:rsid w:val="003C5519"/>
    <w:rsid w:val="003C5A97"/>
    <w:rsid w:val="003C5B1F"/>
    <w:rsid w:val="003C616B"/>
    <w:rsid w:val="003C6673"/>
    <w:rsid w:val="003C681D"/>
    <w:rsid w:val="003C6BED"/>
    <w:rsid w:val="003C7965"/>
    <w:rsid w:val="003C7D06"/>
    <w:rsid w:val="003C7D9E"/>
    <w:rsid w:val="003C7EF7"/>
    <w:rsid w:val="003D0E1F"/>
    <w:rsid w:val="003D1182"/>
    <w:rsid w:val="003D13BA"/>
    <w:rsid w:val="003D1AE0"/>
    <w:rsid w:val="003D1AEC"/>
    <w:rsid w:val="003D212B"/>
    <w:rsid w:val="003D22DA"/>
    <w:rsid w:val="003D2788"/>
    <w:rsid w:val="003D3779"/>
    <w:rsid w:val="003D3E1A"/>
    <w:rsid w:val="003D425A"/>
    <w:rsid w:val="003D46B8"/>
    <w:rsid w:val="003D4866"/>
    <w:rsid w:val="003D507A"/>
    <w:rsid w:val="003D58C6"/>
    <w:rsid w:val="003D5A1E"/>
    <w:rsid w:val="003D5B8C"/>
    <w:rsid w:val="003D6280"/>
    <w:rsid w:val="003D66CB"/>
    <w:rsid w:val="003D687A"/>
    <w:rsid w:val="003D6E45"/>
    <w:rsid w:val="003D7202"/>
    <w:rsid w:val="003D7A2D"/>
    <w:rsid w:val="003D7C91"/>
    <w:rsid w:val="003E043F"/>
    <w:rsid w:val="003E07F1"/>
    <w:rsid w:val="003E0E8C"/>
    <w:rsid w:val="003E113F"/>
    <w:rsid w:val="003E1418"/>
    <w:rsid w:val="003E173D"/>
    <w:rsid w:val="003E2021"/>
    <w:rsid w:val="003E270D"/>
    <w:rsid w:val="003E4979"/>
    <w:rsid w:val="003E4B79"/>
    <w:rsid w:val="003E4B85"/>
    <w:rsid w:val="003E5760"/>
    <w:rsid w:val="003E581F"/>
    <w:rsid w:val="003E5F16"/>
    <w:rsid w:val="003E6103"/>
    <w:rsid w:val="003E634D"/>
    <w:rsid w:val="003E64BB"/>
    <w:rsid w:val="003E6AC1"/>
    <w:rsid w:val="003E7832"/>
    <w:rsid w:val="003E7EEA"/>
    <w:rsid w:val="003F01E7"/>
    <w:rsid w:val="003F18CF"/>
    <w:rsid w:val="003F255F"/>
    <w:rsid w:val="003F2BFE"/>
    <w:rsid w:val="003F2C38"/>
    <w:rsid w:val="003F3A44"/>
    <w:rsid w:val="003F425A"/>
    <w:rsid w:val="003F5F0A"/>
    <w:rsid w:val="003F6DF4"/>
    <w:rsid w:val="003F7022"/>
    <w:rsid w:val="003F7263"/>
    <w:rsid w:val="003F731E"/>
    <w:rsid w:val="003F75E5"/>
    <w:rsid w:val="003F77A8"/>
    <w:rsid w:val="003F7D77"/>
    <w:rsid w:val="00400066"/>
    <w:rsid w:val="00400A5E"/>
    <w:rsid w:val="004011E2"/>
    <w:rsid w:val="0040133A"/>
    <w:rsid w:val="004015B0"/>
    <w:rsid w:val="004016AD"/>
    <w:rsid w:val="00401A15"/>
    <w:rsid w:val="00401C5B"/>
    <w:rsid w:val="00401C60"/>
    <w:rsid w:val="00401DB0"/>
    <w:rsid w:val="00401DB1"/>
    <w:rsid w:val="004020FB"/>
    <w:rsid w:val="0040230D"/>
    <w:rsid w:val="004028D0"/>
    <w:rsid w:val="00402940"/>
    <w:rsid w:val="00403226"/>
    <w:rsid w:val="00403827"/>
    <w:rsid w:val="004040E3"/>
    <w:rsid w:val="00404D4D"/>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79C"/>
    <w:rsid w:val="00415FC5"/>
    <w:rsid w:val="00416787"/>
    <w:rsid w:val="00420012"/>
    <w:rsid w:val="004203CA"/>
    <w:rsid w:val="004208D7"/>
    <w:rsid w:val="00420B0E"/>
    <w:rsid w:val="00420C1F"/>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0BE"/>
    <w:rsid w:val="00425554"/>
    <w:rsid w:val="0042556A"/>
    <w:rsid w:val="00425668"/>
    <w:rsid w:val="00425752"/>
    <w:rsid w:val="00425B68"/>
    <w:rsid w:val="00425C9F"/>
    <w:rsid w:val="004268A5"/>
    <w:rsid w:val="004268BB"/>
    <w:rsid w:val="00426FC4"/>
    <w:rsid w:val="00427E02"/>
    <w:rsid w:val="004300E1"/>
    <w:rsid w:val="00430294"/>
    <w:rsid w:val="0043064C"/>
    <w:rsid w:val="004309CF"/>
    <w:rsid w:val="00430B44"/>
    <w:rsid w:val="00430F27"/>
    <w:rsid w:val="0043104B"/>
    <w:rsid w:val="0043181D"/>
    <w:rsid w:val="00432151"/>
    <w:rsid w:val="004328E4"/>
    <w:rsid w:val="00432937"/>
    <w:rsid w:val="00432954"/>
    <w:rsid w:val="00432BD0"/>
    <w:rsid w:val="00433460"/>
    <w:rsid w:val="00433D87"/>
    <w:rsid w:val="00433ECE"/>
    <w:rsid w:val="004347A7"/>
    <w:rsid w:val="004347E6"/>
    <w:rsid w:val="00434800"/>
    <w:rsid w:val="00434F9C"/>
    <w:rsid w:val="00435F09"/>
    <w:rsid w:val="00435F6F"/>
    <w:rsid w:val="00436548"/>
    <w:rsid w:val="00436B75"/>
    <w:rsid w:val="00436C20"/>
    <w:rsid w:val="00436C93"/>
    <w:rsid w:val="00436DAB"/>
    <w:rsid w:val="00437351"/>
    <w:rsid w:val="004373A1"/>
    <w:rsid w:val="0043760C"/>
    <w:rsid w:val="00437FC5"/>
    <w:rsid w:val="00437FCA"/>
    <w:rsid w:val="00440392"/>
    <w:rsid w:val="00440502"/>
    <w:rsid w:val="004406CF"/>
    <w:rsid w:val="004412E5"/>
    <w:rsid w:val="004415FC"/>
    <w:rsid w:val="00441989"/>
    <w:rsid w:val="00442112"/>
    <w:rsid w:val="004424E3"/>
    <w:rsid w:val="00442667"/>
    <w:rsid w:val="00442822"/>
    <w:rsid w:val="00442FDB"/>
    <w:rsid w:val="004437F3"/>
    <w:rsid w:val="00443948"/>
    <w:rsid w:val="00443A3A"/>
    <w:rsid w:val="00443A50"/>
    <w:rsid w:val="00443AE0"/>
    <w:rsid w:val="00443D1A"/>
    <w:rsid w:val="004442B1"/>
    <w:rsid w:val="004443FB"/>
    <w:rsid w:val="0044476D"/>
    <w:rsid w:val="00445064"/>
    <w:rsid w:val="00445172"/>
    <w:rsid w:val="00446320"/>
    <w:rsid w:val="00447501"/>
    <w:rsid w:val="00447603"/>
    <w:rsid w:val="00447939"/>
    <w:rsid w:val="00447999"/>
    <w:rsid w:val="00447AC5"/>
    <w:rsid w:val="00447D18"/>
    <w:rsid w:val="00447EAD"/>
    <w:rsid w:val="00450161"/>
    <w:rsid w:val="004504A7"/>
    <w:rsid w:val="004504A9"/>
    <w:rsid w:val="00450899"/>
    <w:rsid w:val="004508B7"/>
    <w:rsid w:val="00450BDB"/>
    <w:rsid w:val="00450FE9"/>
    <w:rsid w:val="00451407"/>
    <w:rsid w:val="00451A7B"/>
    <w:rsid w:val="004522A6"/>
    <w:rsid w:val="004529D7"/>
    <w:rsid w:val="00452A11"/>
    <w:rsid w:val="00452D4E"/>
    <w:rsid w:val="00453347"/>
    <w:rsid w:val="00453BF4"/>
    <w:rsid w:val="00453E12"/>
    <w:rsid w:val="00454199"/>
    <w:rsid w:val="00454571"/>
    <w:rsid w:val="00455AFA"/>
    <w:rsid w:val="00456308"/>
    <w:rsid w:val="004566BE"/>
    <w:rsid w:val="0045682E"/>
    <w:rsid w:val="004568B4"/>
    <w:rsid w:val="00457142"/>
    <w:rsid w:val="004573A4"/>
    <w:rsid w:val="00457493"/>
    <w:rsid w:val="00457558"/>
    <w:rsid w:val="00457958"/>
    <w:rsid w:val="00457E9F"/>
    <w:rsid w:val="0046098F"/>
    <w:rsid w:val="0046115F"/>
    <w:rsid w:val="0046148D"/>
    <w:rsid w:val="00461535"/>
    <w:rsid w:val="004627CF"/>
    <w:rsid w:val="00462977"/>
    <w:rsid w:val="00462DBA"/>
    <w:rsid w:val="00463154"/>
    <w:rsid w:val="004635B7"/>
    <w:rsid w:val="00464027"/>
    <w:rsid w:val="004641CB"/>
    <w:rsid w:val="0046443B"/>
    <w:rsid w:val="00464BC7"/>
    <w:rsid w:val="004651B8"/>
    <w:rsid w:val="00465580"/>
    <w:rsid w:val="00465972"/>
    <w:rsid w:val="00465A6B"/>
    <w:rsid w:val="00465E7E"/>
    <w:rsid w:val="00466230"/>
    <w:rsid w:val="00466BB5"/>
    <w:rsid w:val="004670C6"/>
    <w:rsid w:val="004672E8"/>
    <w:rsid w:val="004677E9"/>
    <w:rsid w:val="00470535"/>
    <w:rsid w:val="004706A0"/>
    <w:rsid w:val="004706D5"/>
    <w:rsid w:val="00471183"/>
    <w:rsid w:val="0047123C"/>
    <w:rsid w:val="004714F6"/>
    <w:rsid w:val="0047289C"/>
    <w:rsid w:val="00472C59"/>
    <w:rsid w:val="00472E22"/>
    <w:rsid w:val="00472F67"/>
    <w:rsid w:val="0047321F"/>
    <w:rsid w:val="004739A1"/>
    <w:rsid w:val="00473E81"/>
    <w:rsid w:val="0047430D"/>
    <w:rsid w:val="00474FDF"/>
    <w:rsid w:val="00475688"/>
    <w:rsid w:val="004758F6"/>
    <w:rsid w:val="004759BD"/>
    <w:rsid w:val="004759E3"/>
    <w:rsid w:val="00475C51"/>
    <w:rsid w:val="00476161"/>
    <w:rsid w:val="00476658"/>
    <w:rsid w:val="00476E34"/>
    <w:rsid w:val="00476EE1"/>
    <w:rsid w:val="00477163"/>
    <w:rsid w:val="004773F3"/>
    <w:rsid w:val="0047769A"/>
    <w:rsid w:val="00477B0E"/>
    <w:rsid w:val="00477FE7"/>
    <w:rsid w:val="00480262"/>
    <w:rsid w:val="00480CC0"/>
    <w:rsid w:val="00481688"/>
    <w:rsid w:val="004820E0"/>
    <w:rsid w:val="0048217B"/>
    <w:rsid w:val="004822CA"/>
    <w:rsid w:val="004829D6"/>
    <w:rsid w:val="0048371E"/>
    <w:rsid w:val="00483F95"/>
    <w:rsid w:val="004841EF"/>
    <w:rsid w:val="00484D20"/>
    <w:rsid w:val="004850C1"/>
    <w:rsid w:val="004862D3"/>
    <w:rsid w:val="004863F2"/>
    <w:rsid w:val="0048654A"/>
    <w:rsid w:val="00486F54"/>
    <w:rsid w:val="004871B4"/>
    <w:rsid w:val="004876DD"/>
    <w:rsid w:val="0049003B"/>
    <w:rsid w:val="0049081A"/>
    <w:rsid w:val="0049178A"/>
    <w:rsid w:val="00491C1D"/>
    <w:rsid w:val="00491DF1"/>
    <w:rsid w:val="00492535"/>
    <w:rsid w:val="00493435"/>
    <w:rsid w:val="00493994"/>
    <w:rsid w:val="00493ED8"/>
    <w:rsid w:val="00493FCB"/>
    <w:rsid w:val="00494B28"/>
    <w:rsid w:val="004951C2"/>
    <w:rsid w:val="00495708"/>
    <w:rsid w:val="00495FFF"/>
    <w:rsid w:val="00496112"/>
    <w:rsid w:val="00496A9F"/>
    <w:rsid w:val="0049710E"/>
    <w:rsid w:val="0049723E"/>
    <w:rsid w:val="00497358"/>
    <w:rsid w:val="00497FA5"/>
    <w:rsid w:val="004A03B3"/>
    <w:rsid w:val="004A04D5"/>
    <w:rsid w:val="004A1B07"/>
    <w:rsid w:val="004A1D17"/>
    <w:rsid w:val="004A2E04"/>
    <w:rsid w:val="004A3076"/>
    <w:rsid w:val="004A3226"/>
    <w:rsid w:val="004A399F"/>
    <w:rsid w:val="004A4096"/>
    <w:rsid w:val="004A454B"/>
    <w:rsid w:val="004A4692"/>
    <w:rsid w:val="004A48B3"/>
    <w:rsid w:val="004A4D32"/>
    <w:rsid w:val="004A5165"/>
    <w:rsid w:val="004A56C2"/>
    <w:rsid w:val="004A669F"/>
    <w:rsid w:val="004A6842"/>
    <w:rsid w:val="004A718C"/>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CCF"/>
    <w:rsid w:val="004B7363"/>
    <w:rsid w:val="004B79FA"/>
    <w:rsid w:val="004B7BD5"/>
    <w:rsid w:val="004B7D94"/>
    <w:rsid w:val="004C0FB7"/>
    <w:rsid w:val="004C104B"/>
    <w:rsid w:val="004C164A"/>
    <w:rsid w:val="004C1710"/>
    <w:rsid w:val="004C1938"/>
    <w:rsid w:val="004C19A8"/>
    <w:rsid w:val="004C1A6B"/>
    <w:rsid w:val="004C2E14"/>
    <w:rsid w:val="004C2FE3"/>
    <w:rsid w:val="004C305A"/>
    <w:rsid w:val="004C35EF"/>
    <w:rsid w:val="004C3951"/>
    <w:rsid w:val="004C3BCF"/>
    <w:rsid w:val="004C4829"/>
    <w:rsid w:val="004C4D30"/>
    <w:rsid w:val="004C4EAB"/>
    <w:rsid w:val="004C5570"/>
    <w:rsid w:val="004C59D2"/>
    <w:rsid w:val="004C5BD0"/>
    <w:rsid w:val="004C5D52"/>
    <w:rsid w:val="004C5DB0"/>
    <w:rsid w:val="004C5EB8"/>
    <w:rsid w:val="004C60D8"/>
    <w:rsid w:val="004C62EE"/>
    <w:rsid w:val="004C6A0D"/>
    <w:rsid w:val="004C775D"/>
    <w:rsid w:val="004D03B5"/>
    <w:rsid w:val="004D0749"/>
    <w:rsid w:val="004D09DE"/>
    <w:rsid w:val="004D1000"/>
    <w:rsid w:val="004D1D27"/>
    <w:rsid w:val="004D2EC3"/>
    <w:rsid w:val="004D2FF6"/>
    <w:rsid w:val="004D31E0"/>
    <w:rsid w:val="004D3FD6"/>
    <w:rsid w:val="004D405F"/>
    <w:rsid w:val="004D55CA"/>
    <w:rsid w:val="004D5A27"/>
    <w:rsid w:val="004D5F0E"/>
    <w:rsid w:val="004D6626"/>
    <w:rsid w:val="004D6758"/>
    <w:rsid w:val="004D736B"/>
    <w:rsid w:val="004D7B1A"/>
    <w:rsid w:val="004E06DF"/>
    <w:rsid w:val="004E0830"/>
    <w:rsid w:val="004E0A25"/>
    <w:rsid w:val="004E169C"/>
    <w:rsid w:val="004E1B87"/>
    <w:rsid w:val="004E1BF0"/>
    <w:rsid w:val="004E1E6A"/>
    <w:rsid w:val="004E271D"/>
    <w:rsid w:val="004E28E1"/>
    <w:rsid w:val="004E2B01"/>
    <w:rsid w:val="004E2BA7"/>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9B3"/>
    <w:rsid w:val="004F3AE0"/>
    <w:rsid w:val="004F3E6A"/>
    <w:rsid w:val="004F4419"/>
    <w:rsid w:val="004F469D"/>
    <w:rsid w:val="004F4CD0"/>
    <w:rsid w:val="004F4D34"/>
    <w:rsid w:val="004F5130"/>
    <w:rsid w:val="004F5346"/>
    <w:rsid w:val="004F5C09"/>
    <w:rsid w:val="004F5E4E"/>
    <w:rsid w:val="004F63CC"/>
    <w:rsid w:val="004F6678"/>
    <w:rsid w:val="004F6B28"/>
    <w:rsid w:val="004F6C65"/>
    <w:rsid w:val="004F6C78"/>
    <w:rsid w:val="004F6D2E"/>
    <w:rsid w:val="004F7F0F"/>
    <w:rsid w:val="004F7FBC"/>
    <w:rsid w:val="005001AE"/>
    <w:rsid w:val="005003DF"/>
    <w:rsid w:val="005007E7"/>
    <w:rsid w:val="005012FC"/>
    <w:rsid w:val="00501EBE"/>
    <w:rsid w:val="00503551"/>
    <w:rsid w:val="00503F38"/>
    <w:rsid w:val="005043FC"/>
    <w:rsid w:val="005046C6"/>
    <w:rsid w:val="00504A55"/>
    <w:rsid w:val="00504AE4"/>
    <w:rsid w:val="00505425"/>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61A"/>
    <w:rsid w:val="00512D51"/>
    <w:rsid w:val="00512E95"/>
    <w:rsid w:val="00513B0F"/>
    <w:rsid w:val="00513F27"/>
    <w:rsid w:val="00514674"/>
    <w:rsid w:val="0051477F"/>
    <w:rsid w:val="00514C40"/>
    <w:rsid w:val="00514C46"/>
    <w:rsid w:val="0051577E"/>
    <w:rsid w:val="00515BCF"/>
    <w:rsid w:val="00516083"/>
    <w:rsid w:val="00516290"/>
    <w:rsid w:val="0051635A"/>
    <w:rsid w:val="0051646E"/>
    <w:rsid w:val="005166C3"/>
    <w:rsid w:val="00516EA5"/>
    <w:rsid w:val="005179DA"/>
    <w:rsid w:val="00517E2A"/>
    <w:rsid w:val="005204CD"/>
    <w:rsid w:val="00520B46"/>
    <w:rsid w:val="00520B76"/>
    <w:rsid w:val="00520C1C"/>
    <w:rsid w:val="005211E8"/>
    <w:rsid w:val="00521439"/>
    <w:rsid w:val="00521CB1"/>
    <w:rsid w:val="00522133"/>
    <w:rsid w:val="0052291E"/>
    <w:rsid w:val="0052292E"/>
    <w:rsid w:val="0052373B"/>
    <w:rsid w:val="00523E00"/>
    <w:rsid w:val="00523E8A"/>
    <w:rsid w:val="0052439F"/>
    <w:rsid w:val="005243EB"/>
    <w:rsid w:val="0052440C"/>
    <w:rsid w:val="00524B93"/>
    <w:rsid w:val="00524DC2"/>
    <w:rsid w:val="00525789"/>
    <w:rsid w:val="00525890"/>
    <w:rsid w:val="005262D4"/>
    <w:rsid w:val="00526452"/>
    <w:rsid w:val="00526816"/>
    <w:rsid w:val="00526F09"/>
    <w:rsid w:val="00527E5A"/>
    <w:rsid w:val="00527F4F"/>
    <w:rsid w:val="00530182"/>
    <w:rsid w:val="00530512"/>
    <w:rsid w:val="00530799"/>
    <w:rsid w:val="0053109F"/>
    <w:rsid w:val="005311E8"/>
    <w:rsid w:val="005312C4"/>
    <w:rsid w:val="0053133A"/>
    <w:rsid w:val="00531822"/>
    <w:rsid w:val="005325F6"/>
    <w:rsid w:val="005326D0"/>
    <w:rsid w:val="005327CB"/>
    <w:rsid w:val="00532800"/>
    <w:rsid w:val="00532A38"/>
    <w:rsid w:val="00532A80"/>
    <w:rsid w:val="00532FDA"/>
    <w:rsid w:val="00533EE8"/>
    <w:rsid w:val="0053417D"/>
    <w:rsid w:val="005346E4"/>
    <w:rsid w:val="0053490C"/>
    <w:rsid w:val="00535585"/>
    <w:rsid w:val="00535864"/>
    <w:rsid w:val="0053590D"/>
    <w:rsid w:val="005365BF"/>
    <w:rsid w:val="00536A58"/>
    <w:rsid w:val="00536AB4"/>
    <w:rsid w:val="00536B6B"/>
    <w:rsid w:val="00537127"/>
    <w:rsid w:val="0053764B"/>
    <w:rsid w:val="0054069F"/>
    <w:rsid w:val="00540B1F"/>
    <w:rsid w:val="00541307"/>
    <w:rsid w:val="005413D5"/>
    <w:rsid w:val="00541B60"/>
    <w:rsid w:val="00541DB8"/>
    <w:rsid w:val="00541F9A"/>
    <w:rsid w:val="00542599"/>
    <w:rsid w:val="00542EB4"/>
    <w:rsid w:val="00544420"/>
    <w:rsid w:val="0054487A"/>
    <w:rsid w:val="005448B9"/>
    <w:rsid w:val="005450ED"/>
    <w:rsid w:val="00545136"/>
    <w:rsid w:val="005452C1"/>
    <w:rsid w:val="00545B42"/>
    <w:rsid w:val="0054612B"/>
    <w:rsid w:val="005463F4"/>
    <w:rsid w:val="00546F96"/>
    <w:rsid w:val="00547753"/>
    <w:rsid w:val="005479F5"/>
    <w:rsid w:val="00547B56"/>
    <w:rsid w:val="00547D90"/>
    <w:rsid w:val="005508EF"/>
    <w:rsid w:val="00550942"/>
    <w:rsid w:val="005510E3"/>
    <w:rsid w:val="005513A6"/>
    <w:rsid w:val="0055173F"/>
    <w:rsid w:val="00551AE8"/>
    <w:rsid w:val="00551D57"/>
    <w:rsid w:val="00551DF7"/>
    <w:rsid w:val="00552E11"/>
    <w:rsid w:val="00552E5B"/>
    <w:rsid w:val="00552FEB"/>
    <w:rsid w:val="0055326B"/>
    <w:rsid w:val="005532A3"/>
    <w:rsid w:val="00553395"/>
    <w:rsid w:val="00553567"/>
    <w:rsid w:val="005538EF"/>
    <w:rsid w:val="0055400F"/>
    <w:rsid w:val="00554453"/>
    <w:rsid w:val="005548DD"/>
    <w:rsid w:val="00554EC6"/>
    <w:rsid w:val="00555500"/>
    <w:rsid w:val="00555FC3"/>
    <w:rsid w:val="00556027"/>
    <w:rsid w:val="00556506"/>
    <w:rsid w:val="0055659A"/>
    <w:rsid w:val="00556731"/>
    <w:rsid w:val="00557401"/>
    <w:rsid w:val="0055747C"/>
    <w:rsid w:val="00557554"/>
    <w:rsid w:val="00557D41"/>
    <w:rsid w:val="00557F5B"/>
    <w:rsid w:val="00557FE2"/>
    <w:rsid w:val="00560729"/>
    <w:rsid w:val="005609BF"/>
    <w:rsid w:val="00560A86"/>
    <w:rsid w:val="00560DB4"/>
    <w:rsid w:val="00561C64"/>
    <w:rsid w:val="0056218D"/>
    <w:rsid w:val="0056236E"/>
    <w:rsid w:val="005628C0"/>
    <w:rsid w:val="00562C62"/>
    <w:rsid w:val="00562EAD"/>
    <w:rsid w:val="00563222"/>
    <w:rsid w:val="005636DA"/>
    <w:rsid w:val="00563AB8"/>
    <w:rsid w:val="00563AEB"/>
    <w:rsid w:val="00564775"/>
    <w:rsid w:val="00564887"/>
    <w:rsid w:val="00564B5B"/>
    <w:rsid w:val="00565252"/>
    <w:rsid w:val="00565339"/>
    <w:rsid w:val="00565BDB"/>
    <w:rsid w:val="0056640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2749"/>
    <w:rsid w:val="005727CE"/>
    <w:rsid w:val="00573129"/>
    <w:rsid w:val="005739F4"/>
    <w:rsid w:val="00573A7F"/>
    <w:rsid w:val="00573EE1"/>
    <w:rsid w:val="0057406C"/>
    <w:rsid w:val="005746BB"/>
    <w:rsid w:val="00574BEC"/>
    <w:rsid w:val="00575051"/>
    <w:rsid w:val="005758E3"/>
    <w:rsid w:val="00575EBB"/>
    <w:rsid w:val="00576050"/>
    <w:rsid w:val="00576640"/>
    <w:rsid w:val="00576D35"/>
    <w:rsid w:val="005772C9"/>
    <w:rsid w:val="005777C8"/>
    <w:rsid w:val="00577AD5"/>
    <w:rsid w:val="00577F23"/>
    <w:rsid w:val="005800C8"/>
    <w:rsid w:val="00580A72"/>
    <w:rsid w:val="00580D13"/>
    <w:rsid w:val="0058107B"/>
    <w:rsid w:val="0058149F"/>
    <w:rsid w:val="0058161B"/>
    <w:rsid w:val="005816F2"/>
    <w:rsid w:val="005817A5"/>
    <w:rsid w:val="00581DF3"/>
    <w:rsid w:val="00582329"/>
    <w:rsid w:val="00582853"/>
    <w:rsid w:val="00582893"/>
    <w:rsid w:val="00582C76"/>
    <w:rsid w:val="005839F2"/>
    <w:rsid w:val="00583A87"/>
    <w:rsid w:val="0058403B"/>
    <w:rsid w:val="005842BA"/>
    <w:rsid w:val="005843E6"/>
    <w:rsid w:val="005845FA"/>
    <w:rsid w:val="00584AC0"/>
    <w:rsid w:val="00585C21"/>
    <w:rsid w:val="00586243"/>
    <w:rsid w:val="00586635"/>
    <w:rsid w:val="005871B9"/>
    <w:rsid w:val="005874CD"/>
    <w:rsid w:val="00587597"/>
    <w:rsid w:val="00590D18"/>
    <w:rsid w:val="00590E3E"/>
    <w:rsid w:val="00590EDD"/>
    <w:rsid w:val="005917D6"/>
    <w:rsid w:val="00591988"/>
    <w:rsid w:val="00591FC9"/>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799"/>
    <w:rsid w:val="005977F9"/>
    <w:rsid w:val="00597818"/>
    <w:rsid w:val="00597BA8"/>
    <w:rsid w:val="005A01E7"/>
    <w:rsid w:val="005A02C8"/>
    <w:rsid w:val="005A05FF"/>
    <w:rsid w:val="005A09E5"/>
    <w:rsid w:val="005A116C"/>
    <w:rsid w:val="005A1473"/>
    <w:rsid w:val="005A19FF"/>
    <w:rsid w:val="005A205E"/>
    <w:rsid w:val="005A2074"/>
    <w:rsid w:val="005A24AE"/>
    <w:rsid w:val="005A3394"/>
    <w:rsid w:val="005A3C7A"/>
    <w:rsid w:val="005A3EF4"/>
    <w:rsid w:val="005A403A"/>
    <w:rsid w:val="005A43BE"/>
    <w:rsid w:val="005A4415"/>
    <w:rsid w:val="005A461D"/>
    <w:rsid w:val="005A4624"/>
    <w:rsid w:val="005A4B45"/>
    <w:rsid w:val="005A5011"/>
    <w:rsid w:val="005A508D"/>
    <w:rsid w:val="005A50A0"/>
    <w:rsid w:val="005A60BA"/>
    <w:rsid w:val="005A761B"/>
    <w:rsid w:val="005A79C6"/>
    <w:rsid w:val="005B096F"/>
    <w:rsid w:val="005B0987"/>
    <w:rsid w:val="005B0FB5"/>
    <w:rsid w:val="005B1191"/>
    <w:rsid w:val="005B1205"/>
    <w:rsid w:val="005B1255"/>
    <w:rsid w:val="005B1D3B"/>
    <w:rsid w:val="005B2088"/>
    <w:rsid w:val="005B2466"/>
    <w:rsid w:val="005B25B2"/>
    <w:rsid w:val="005B2BBB"/>
    <w:rsid w:val="005B2BF5"/>
    <w:rsid w:val="005B2C1A"/>
    <w:rsid w:val="005B2FD3"/>
    <w:rsid w:val="005B41B3"/>
    <w:rsid w:val="005B4289"/>
    <w:rsid w:val="005B5371"/>
    <w:rsid w:val="005B5926"/>
    <w:rsid w:val="005B5A74"/>
    <w:rsid w:val="005B5DBE"/>
    <w:rsid w:val="005B6139"/>
    <w:rsid w:val="005B66DA"/>
    <w:rsid w:val="005B6927"/>
    <w:rsid w:val="005B698D"/>
    <w:rsid w:val="005B6B33"/>
    <w:rsid w:val="005B6B72"/>
    <w:rsid w:val="005B6BFD"/>
    <w:rsid w:val="005B7331"/>
    <w:rsid w:val="005B75B6"/>
    <w:rsid w:val="005B7F6E"/>
    <w:rsid w:val="005C0AB6"/>
    <w:rsid w:val="005C0CC8"/>
    <w:rsid w:val="005C12AC"/>
    <w:rsid w:val="005C16D6"/>
    <w:rsid w:val="005C19E4"/>
    <w:rsid w:val="005C1C90"/>
    <w:rsid w:val="005C1CEF"/>
    <w:rsid w:val="005C392F"/>
    <w:rsid w:val="005C3964"/>
    <w:rsid w:val="005C3EF9"/>
    <w:rsid w:val="005C428A"/>
    <w:rsid w:val="005C4330"/>
    <w:rsid w:val="005C4787"/>
    <w:rsid w:val="005C4F48"/>
    <w:rsid w:val="005C5113"/>
    <w:rsid w:val="005C54B8"/>
    <w:rsid w:val="005C557C"/>
    <w:rsid w:val="005C56B7"/>
    <w:rsid w:val="005C5CDF"/>
    <w:rsid w:val="005C5F26"/>
    <w:rsid w:val="005C677E"/>
    <w:rsid w:val="005C6A24"/>
    <w:rsid w:val="005C6CD0"/>
    <w:rsid w:val="005C7049"/>
    <w:rsid w:val="005C7072"/>
    <w:rsid w:val="005C717D"/>
    <w:rsid w:val="005C758C"/>
    <w:rsid w:val="005C785E"/>
    <w:rsid w:val="005C78D5"/>
    <w:rsid w:val="005D00B6"/>
    <w:rsid w:val="005D05A8"/>
    <w:rsid w:val="005D0B73"/>
    <w:rsid w:val="005D101F"/>
    <w:rsid w:val="005D1247"/>
    <w:rsid w:val="005D1D60"/>
    <w:rsid w:val="005D205D"/>
    <w:rsid w:val="005D2555"/>
    <w:rsid w:val="005D2573"/>
    <w:rsid w:val="005D2D52"/>
    <w:rsid w:val="005D2F54"/>
    <w:rsid w:val="005D33D2"/>
    <w:rsid w:val="005D353D"/>
    <w:rsid w:val="005D3B08"/>
    <w:rsid w:val="005D3FD5"/>
    <w:rsid w:val="005D546B"/>
    <w:rsid w:val="005D5720"/>
    <w:rsid w:val="005D593D"/>
    <w:rsid w:val="005D63A5"/>
    <w:rsid w:val="005D65EA"/>
    <w:rsid w:val="005D69A4"/>
    <w:rsid w:val="005D7556"/>
    <w:rsid w:val="005D79B5"/>
    <w:rsid w:val="005D7BDA"/>
    <w:rsid w:val="005D7C08"/>
    <w:rsid w:val="005E0910"/>
    <w:rsid w:val="005E0A1F"/>
    <w:rsid w:val="005E0A30"/>
    <w:rsid w:val="005E0DEA"/>
    <w:rsid w:val="005E135A"/>
    <w:rsid w:val="005E1667"/>
    <w:rsid w:val="005E17B3"/>
    <w:rsid w:val="005E1B82"/>
    <w:rsid w:val="005E1BB5"/>
    <w:rsid w:val="005E1BD6"/>
    <w:rsid w:val="005E20D0"/>
    <w:rsid w:val="005E2A79"/>
    <w:rsid w:val="005E2D15"/>
    <w:rsid w:val="005E2EDB"/>
    <w:rsid w:val="005E2FB1"/>
    <w:rsid w:val="005E3850"/>
    <w:rsid w:val="005E3EB4"/>
    <w:rsid w:val="005E40C8"/>
    <w:rsid w:val="005E43DF"/>
    <w:rsid w:val="005E48DE"/>
    <w:rsid w:val="005E5614"/>
    <w:rsid w:val="005E566F"/>
    <w:rsid w:val="005E64AF"/>
    <w:rsid w:val="005E6BE9"/>
    <w:rsid w:val="005E71A5"/>
    <w:rsid w:val="005E777B"/>
    <w:rsid w:val="005E7A15"/>
    <w:rsid w:val="005F03D5"/>
    <w:rsid w:val="005F0860"/>
    <w:rsid w:val="005F14A7"/>
    <w:rsid w:val="005F1B20"/>
    <w:rsid w:val="005F1E18"/>
    <w:rsid w:val="005F1E86"/>
    <w:rsid w:val="005F26A4"/>
    <w:rsid w:val="005F27E0"/>
    <w:rsid w:val="005F292B"/>
    <w:rsid w:val="005F29C0"/>
    <w:rsid w:val="005F2A66"/>
    <w:rsid w:val="005F2B32"/>
    <w:rsid w:val="005F3176"/>
    <w:rsid w:val="005F3549"/>
    <w:rsid w:val="005F3D8C"/>
    <w:rsid w:val="005F433E"/>
    <w:rsid w:val="005F4454"/>
    <w:rsid w:val="005F4834"/>
    <w:rsid w:val="005F54B4"/>
    <w:rsid w:val="005F5576"/>
    <w:rsid w:val="005F5A4E"/>
    <w:rsid w:val="005F5A6F"/>
    <w:rsid w:val="005F5C6D"/>
    <w:rsid w:val="005F5E8E"/>
    <w:rsid w:val="005F60E6"/>
    <w:rsid w:val="005F61DD"/>
    <w:rsid w:val="005F764A"/>
    <w:rsid w:val="0060008E"/>
    <w:rsid w:val="006005C1"/>
    <w:rsid w:val="00600898"/>
    <w:rsid w:val="006011A0"/>
    <w:rsid w:val="00601F29"/>
    <w:rsid w:val="00601FA6"/>
    <w:rsid w:val="00602009"/>
    <w:rsid w:val="00602A78"/>
    <w:rsid w:val="00602BB2"/>
    <w:rsid w:val="00602BCA"/>
    <w:rsid w:val="0060305F"/>
    <w:rsid w:val="006034C7"/>
    <w:rsid w:val="00604617"/>
    <w:rsid w:val="00604684"/>
    <w:rsid w:val="00604730"/>
    <w:rsid w:val="006049CE"/>
    <w:rsid w:val="00604AE3"/>
    <w:rsid w:val="00604D1B"/>
    <w:rsid w:val="006052A3"/>
    <w:rsid w:val="006053D8"/>
    <w:rsid w:val="006057CF"/>
    <w:rsid w:val="006059A0"/>
    <w:rsid w:val="00605A1A"/>
    <w:rsid w:val="00606054"/>
    <w:rsid w:val="0060611E"/>
    <w:rsid w:val="006063E0"/>
    <w:rsid w:val="00606906"/>
    <w:rsid w:val="00606E56"/>
    <w:rsid w:val="00606EE7"/>
    <w:rsid w:val="00606FAA"/>
    <w:rsid w:val="006076E8"/>
    <w:rsid w:val="00607C10"/>
    <w:rsid w:val="006108B7"/>
    <w:rsid w:val="00610918"/>
    <w:rsid w:val="0061153D"/>
    <w:rsid w:val="00611BA6"/>
    <w:rsid w:val="006128D9"/>
    <w:rsid w:val="00612D19"/>
    <w:rsid w:val="00612F0F"/>
    <w:rsid w:val="0061330F"/>
    <w:rsid w:val="00613641"/>
    <w:rsid w:val="00614139"/>
    <w:rsid w:val="00614483"/>
    <w:rsid w:val="0061478C"/>
    <w:rsid w:val="006148B3"/>
    <w:rsid w:val="0061516E"/>
    <w:rsid w:val="006151BC"/>
    <w:rsid w:val="00615204"/>
    <w:rsid w:val="00615320"/>
    <w:rsid w:val="006154F0"/>
    <w:rsid w:val="00615A3B"/>
    <w:rsid w:val="00615E77"/>
    <w:rsid w:val="006162A3"/>
    <w:rsid w:val="00616C7D"/>
    <w:rsid w:val="0061735F"/>
    <w:rsid w:val="006205E1"/>
    <w:rsid w:val="006208EE"/>
    <w:rsid w:val="0062091D"/>
    <w:rsid w:val="00620C44"/>
    <w:rsid w:val="0062100E"/>
    <w:rsid w:val="006211A5"/>
    <w:rsid w:val="006219BC"/>
    <w:rsid w:val="006225AD"/>
    <w:rsid w:val="0062265C"/>
    <w:rsid w:val="00622789"/>
    <w:rsid w:val="006233C1"/>
    <w:rsid w:val="00623E15"/>
    <w:rsid w:val="00624649"/>
    <w:rsid w:val="006249A7"/>
    <w:rsid w:val="006249D1"/>
    <w:rsid w:val="00624D4F"/>
    <w:rsid w:val="00625713"/>
    <w:rsid w:val="00625B22"/>
    <w:rsid w:val="00625C53"/>
    <w:rsid w:val="00626415"/>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18E2"/>
    <w:rsid w:val="00632259"/>
    <w:rsid w:val="00632765"/>
    <w:rsid w:val="00632DD8"/>
    <w:rsid w:val="0063338A"/>
    <w:rsid w:val="006338DA"/>
    <w:rsid w:val="0063390C"/>
    <w:rsid w:val="00633A5E"/>
    <w:rsid w:val="00633F74"/>
    <w:rsid w:val="00634447"/>
    <w:rsid w:val="00634ADC"/>
    <w:rsid w:val="00634FF7"/>
    <w:rsid w:val="00635AEB"/>
    <w:rsid w:val="0063692A"/>
    <w:rsid w:val="00636EF8"/>
    <w:rsid w:val="00636FEF"/>
    <w:rsid w:val="0063715F"/>
    <w:rsid w:val="006377DB"/>
    <w:rsid w:val="006405A2"/>
    <w:rsid w:val="00640699"/>
    <w:rsid w:val="0064096C"/>
    <w:rsid w:val="006417E0"/>
    <w:rsid w:val="006418D2"/>
    <w:rsid w:val="006419D4"/>
    <w:rsid w:val="00641E1E"/>
    <w:rsid w:val="00642453"/>
    <w:rsid w:val="00642C48"/>
    <w:rsid w:val="00642EC9"/>
    <w:rsid w:val="00643426"/>
    <w:rsid w:val="00643AF2"/>
    <w:rsid w:val="00643E4C"/>
    <w:rsid w:val="006443B2"/>
    <w:rsid w:val="00644DD3"/>
    <w:rsid w:val="00645210"/>
    <w:rsid w:val="00645933"/>
    <w:rsid w:val="006459B3"/>
    <w:rsid w:val="00645D57"/>
    <w:rsid w:val="006466E9"/>
    <w:rsid w:val="00646970"/>
    <w:rsid w:val="00646AF8"/>
    <w:rsid w:val="00646FDD"/>
    <w:rsid w:val="00647433"/>
    <w:rsid w:val="00647C38"/>
    <w:rsid w:val="00647D39"/>
    <w:rsid w:val="00647FC8"/>
    <w:rsid w:val="006500A2"/>
    <w:rsid w:val="0065058D"/>
    <w:rsid w:val="00650C5E"/>
    <w:rsid w:val="00651147"/>
    <w:rsid w:val="00651150"/>
    <w:rsid w:val="006512BE"/>
    <w:rsid w:val="0065131D"/>
    <w:rsid w:val="00651DC1"/>
    <w:rsid w:val="00651FD6"/>
    <w:rsid w:val="0065234B"/>
    <w:rsid w:val="0065252C"/>
    <w:rsid w:val="00653553"/>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680"/>
    <w:rsid w:val="00660BFB"/>
    <w:rsid w:val="00660E23"/>
    <w:rsid w:val="00661956"/>
    <w:rsid w:val="0066207B"/>
    <w:rsid w:val="006626E7"/>
    <w:rsid w:val="00662A70"/>
    <w:rsid w:val="00662AF9"/>
    <w:rsid w:val="00662C14"/>
    <w:rsid w:val="00662C97"/>
    <w:rsid w:val="00662CBB"/>
    <w:rsid w:val="00662F3E"/>
    <w:rsid w:val="0066302B"/>
    <w:rsid w:val="0066398B"/>
    <w:rsid w:val="00663992"/>
    <w:rsid w:val="00663A89"/>
    <w:rsid w:val="00663F53"/>
    <w:rsid w:val="0066486A"/>
    <w:rsid w:val="00664E81"/>
    <w:rsid w:val="0066527F"/>
    <w:rsid w:val="006655F5"/>
    <w:rsid w:val="00666754"/>
    <w:rsid w:val="006668C2"/>
    <w:rsid w:val="00666AEA"/>
    <w:rsid w:val="00667FB2"/>
    <w:rsid w:val="00670085"/>
    <w:rsid w:val="0067018F"/>
    <w:rsid w:val="00670995"/>
    <w:rsid w:val="00670AD6"/>
    <w:rsid w:val="00670D2E"/>
    <w:rsid w:val="0067113A"/>
    <w:rsid w:val="00671991"/>
    <w:rsid w:val="00672016"/>
    <w:rsid w:val="0067269F"/>
    <w:rsid w:val="006726CB"/>
    <w:rsid w:val="0067272F"/>
    <w:rsid w:val="006727FE"/>
    <w:rsid w:val="00672C83"/>
    <w:rsid w:val="00673BA4"/>
    <w:rsid w:val="00674C5D"/>
    <w:rsid w:val="00674ED8"/>
    <w:rsid w:val="00675793"/>
    <w:rsid w:val="00675C5E"/>
    <w:rsid w:val="00676F0B"/>
    <w:rsid w:val="006773D1"/>
    <w:rsid w:val="006801BB"/>
    <w:rsid w:val="006802E3"/>
    <w:rsid w:val="00680CC6"/>
    <w:rsid w:val="006813BC"/>
    <w:rsid w:val="0068241B"/>
    <w:rsid w:val="0068289B"/>
    <w:rsid w:val="00682D60"/>
    <w:rsid w:val="00682DAE"/>
    <w:rsid w:val="00682FFC"/>
    <w:rsid w:val="00683889"/>
    <w:rsid w:val="00683AF8"/>
    <w:rsid w:val="006842A2"/>
    <w:rsid w:val="006848BB"/>
    <w:rsid w:val="00685075"/>
    <w:rsid w:val="006850C9"/>
    <w:rsid w:val="00685339"/>
    <w:rsid w:val="00685597"/>
    <w:rsid w:val="0068571A"/>
    <w:rsid w:val="00686338"/>
    <w:rsid w:val="006866EF"/>
    <w:rsid w:val="00686D46"/>
    <w:rsid w:val="00687279"/>
    <w:rsid w:val="0068731C"/>
    <w:rsid w:val="00687CC0"/>
    <w:rsid w:val="006904AD"/>
    <w:rsid w:val="006905F1"/>
    <w:rsid w:val="006912E6"/>
    <w:rsid w:val="006914E9"/>
    <w:rsid w:val="00691609"/>
    <w:rsid w:val="00691815"/>
    <w:rsid w:val="00691B9E"/>
    <w:rsid w:val="00691E51"/>
    <w:rsid w:val="006920CA"/>
    <w:rsid w:val="006927F0"/>
    <w:rsid w:val="00692C4E"/>
    <w:rsid w:val="00692CBF"/>
    <w:rsid w:val="00692F65"/>
    <w:rsid w:val="006936DB"/>
    <w:rsid w:val="00693801"/>
    <w:rsid w:val="006944B8"/>
    <w:rsid w:val="00694706"/>
    <w:rsid w:val="00694DF8"/>
    <w:rsid w:val="006955EE"/>
    <w:rsid w:val="006956E0"/>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BB0"/>
    <w:rsid w:val="006A1D86"/>
    <w:rsid w:val="006A23AC"/>
    <w:rsid w:val="006A2835"/>
    <w:rsid w:val="006A34D1"/>
    <w:rsid w:val="006A3A19"/>
    <w:rsid w:val="006A3B9E"/>
    <w:rsid w:val="006A3D6D"/>
    <w:rsid w:val="006A3D73"/>
    <w:rsid w:val="006A43EA"/>
    <w:rsid w:val="006A44C0"/>
    <w:rsid w:val="006A471A"/>
    <w:rsid w:val="006A5290"/>
    <w:rsid w:val="006A5359"/>
    <w:rsid w:val="006A7559"/>
    <w:rsid w:val="006A777A"/>
    <w:rsid w:val="006A7A82"/>
    <w:rsid w:val="006A7AE9"/>
    <w:rsid w:val="006A7C9D"/>
    <w:rsid w:val="006B0264"/>
    <w:rsid w:val="006B103F"/>
    <w:rsid w:val="006B1E59"/>
    <w:rsid w:val="006B2801"/>
    <w:rsid w:val="006B2995"/>
    <w:rsid w:val="006B2F13"/>
    <w:rsid w:val="006B37B2"/>
    <w:rsid w:val="006B3B10"/>
    <w:rsid w:val="006B3EFD"/>
    <w:rsid w:val="006B40C8"/>
    <w:rsid w:val="006B472A"/>
    <w:rsid w:val="006B4BE1"/>
    <w:rsid w:val="006B52BE"/>
    <w:rsid w:val="006B549F"/>
    <w:rsid w:val="006B557E"/>
    <w:rsid w:val="006B5712"/>
    <w:rsid w:val="006B65CB"/>
    <w:rsid w:val="006B765D"/>
    <w:rsid w:val="006C0867"/>
    <w:rsid w:val="006C0C0E"/>
    <w:rsid w:val="006C0C0F"/>
    <w:rsid w:val="006C12F3"/>
    <w:rsid w:val="006C14B3"/>
    <w:rsid w:val="006C199A"/>
    <w:rsid w:val="006C215A"/>
    <w:rsid w:val="006C24C7"/>
    <w:rsid w:val="006C273C"/>
    <w:rsid w:val="006C374A"/>
    <w:rsid w:val="006C3A0F"/>
    <w:rsid w:val="006C479E"/>
    <w:rsid w:val="006C519B"/>
    <w:rsid w:val="006C546D"/>
    <w:rsid w:val="006C57FE"/>
    <w:rsid w:val="006C5AB5"/>
    <w:rsid w:val="006C6E36"/>
    <w:rsid w:val="006C705E"/>
    <w:rsid w:val="006C7216"/>
    <w:rsid w:val="006C7266"/>
    <w:rsid w:val="006C794D"/>
    <w:rsid w:val="006D045E"/>
    <w:rsid w:val="006D04F4"/>
    <w:rsid w:val="006D0B6D"/>
    <w:rsid w:val="006D0FC7"/>
    <w:rsid w:val="006D1549"/>
    <w:rsid w:val="006D1A5F"/>
    <w:rsid w:val="006D26EA"/>
    <w:rsid w:val="006D381C"/>
    <w:rsid w:val="006D38D6"/>
    <w:rsid w:val="006D39EA"/>
    <w:rsid w:val="006D3CE0"/>
    <w:rsid w:val="006D4801"/>
    <w:rsid w:val="006D487E"/>
    <w:rsid w:val="006D494A"/>
    <w:rsid w:val="006D4A33"/>
    <w:rsid w:val="006D53DF"/>
    <w:rsid w:val="006D54F7"/>
    <w:rsid w:val="006D5604"/>
    <w:rsid w:val="006D5CDA"/>
    <w:rsid w:val="006D5FD0"/>
    <w:rsid w:val="006D6D88"/>
    <w:rsid w:val="006D7116"/>
    <w:rsid w:val="006D7902"/>
    <w:rsid w:val="006D7BA9"/>
    <w:rsid w:val="006D7C9D"/>
    <w:rsid w:val="006D7D85"/>
    <w:rsid w:val="006E045E"/>
    <w:rsid w:val="006E09E9"/>
    <w:rsid w:val="006E0B21"/>
    <w:rsid w:val="006E171B"/>
    <w:rsid w:val="006E1AAD"/>
    <w:rsid w:val="006E2162"/>
    <w:rsid w:val="006E2C6D"/>
    <w:rsid w:val="006E33D2"/>
    <w:rsid w:val="006E374B"/>
    <w:rsid w:val="006E3B50"/>
    <w:rsid w:val="006E44D3"/>
    <w:rsid w:val="006E45E2"/>
    <w:rsid w:val="006E4705"/>
    <w:rsid w:val="006E470D"/>
    <w:rsid w:val="006E47DF"/>
    <w:rsid w:val="006E49DF"/>
    <w:rsid w:val="006E4E81"/>
    <w:rsid w:val="006E58CF"/>
    <w:rsid w:val="006E6241"/>
    <w:rsid w:val="006E645F"/>
    <w:rsid w:val="006E6C13"/>
    <w:rsid w:val="006E6F3D"/>
    <w:rsid w:val="006E7601"/>
    <w:rsid w:val="006E79D1"/>
    <w:rsid w:val="006E7AF0"/>
    <w:rsid w:val="006F0243"/>
    <w:rsid w:val="006F0757"/>
    <w:rsid w:val="006F1132"/>
    <w:rsid w:val="006F117D"/>
    <w:rsid w:val="006F1195"/>
    <w:rsid w:val="006F13F3"/>
    <w:rsid w:val="006F1DBD"/>
    <w:rsid w:val="006F1E00"/>
    <w:rsid w:val="006F301F"/>
    <w:rsid w:val="006F342C"/>
    <w:rsid w:val="006F40F2"/>
    <w:rsid w:val="006F46AF"/>
    <w:rsid w:val="006F4A22"/>
    <w:rsid w:val="006F4E87"/>
    <w:rsid w:val="006F5847"/>
    <w:rsid w:val="006F5B1A"/>
    <w:rsid w:val="006F5F76"/>
    <w:rsid w:val="006F6790"/>
    <w:rsid w:val="006F6810"/>
    <w:rsid w:val="00700821"/>
    <w:rsid w:val="00700F0D"/>
    <w:rsid w:val="007010A7"/>
    <w:rsid w:val="007011D1"/>
    <w:rsid w:val="007011D8"/>
    <w:rsid w:val="007013FA"/>
    <w:rsid w:val="00702723"/>
    <w:rsid w:val="0070303A"/>
    <w:rsid w:val="0070328F"/>
    <w:rsid w:val="00704346"/>
    <w:rsid w:val="00704464"/>
    <w:rsid w:val="00704527"/>
    <w:rsid w:val="0070522E"/>
    <w:rsid w:val="00705758"/>
    <w:rsid w:val="00705BD7"/>
    <w:rsid w:val="007061EC"/>
    <w:rsid w:val="00706461"/>
    <w:rsid w:val="00706667"/>
    <w:rsid w:val="007068C5"/>
    <w:rsid w:val="00706995"/>
    <w:rsid w:val="00706C3A"/>
    <w:rsid w:val="00706E1E"/>
    <w:rsid w:val="007071D4"/>
    <w:rsid w:val="00707C37"/>
    <w:rsid w:val="00707CC4"/>
    <w:rsid w:val="00710164"/>
    <w:rsid w:val="00710167"/>
    <w:rsid w:val="00710595"/>
    <w:rsid w:val="00710870"/>
    <w:rsid w:val="007110B3"/>
    <w:rsid w:val="0071123C"/>
    <w:rsid w:val="00711284"/>
    <w:rsid w:val="00711488"/>
    <w:rsid w:val="00712020"/>
    <w:rsid w:val="00712026"/>
    <w:rsid w:val="007121C0"/>
    <w:rsid w:val="00712638"/>
    <w:rsid w:val="0071276A"/>
    <w:rsid w:val="007127DF"/>
    <w:rsid w:val="00712B22"/>
    <w:rsid w:val="00712D93"/>
    <w:rsid w:val="007139BF"/>
    <w:rsid w:val="00713C11"/>
    <w:rsid w:val="0071473D"/>
    <w:rsid w:val="00714A38"/>
    <w:rsid w:val="00714B10"/>
    <w:rsid w:val="00714B64"/>
    <w:rsid w:val="00714BA7"/>
    <w:rsid w:val="00714F03"/>
    <w:rsid w:val="00715C06"/>
    <w:rsid w:val="00716D4E"/>
    <w:rsid w:val="0071717E"/>
    <w:rsid w:val="0071763D"/>
    <w:rsid w:val="00720A2C"/>
    <w:rsid w:val="00720B85"/>
    <w:rsid w:val="00720C22"/>
    <w:rsid w:val="00720C6E"/>
    <w:rsid w:val="00720E58"/>
    <w:rsid w:val="00720E79"/>
    <w:rsid w:val="0072159E"/>
    <w:rsid w:val="00721ABD"/>
    <w:rsid w:val="00722B56"/>
    <w:rsid w:val="00722BE6"/>
    <w:rsid w:val="00722CD9"/>
    <w:rsid w:val="00722EF9"/>
    <w:rsid w:val="007232F1"/>
    <w:rsid w:val="00723D3A"/>
    <w:rsid w:val="00723F60"/>
    <w:rsid w:val="0072454A"/>
    <w:rsid w:val="007245B1"/>
    <w:rsid w:val="00724952"/>
    <w:rsid w:val="00724CD4"/>
    <w:rsid w:val="0072527A"/>
    <w:rsid w:val="007255B5"/>
    <w:rsid w:val="0072578B"/>
    <w:rsid w:val="00725D1A"/>
    <w:rsid w:val="00725DF3"/>
    <w:rsid w:val="007262D0"/>
    <w:rsid w:val="007269B7"/>
    <w:rsid w:val="00726B7D"/>
    <w:rsid w:val="00727275"/>
    <w:rsid w:val="00727285"/>
    <w:rsid w:val="00727380"/>
    <w:rsid w:val="00727D91"/>
    <w:rsid w:val="00727E44"/>
    <w:rsid w:val="00730152"/>
    <w:rsid w:val="007301B7"/>
    <w:rsid w:val="00730322"/>
    <w:rsid w:val="0073071A"/>
    <w:rsid w:val="00730DD2"/>
    <w:rsid w:val="00730E04"/>
    <w:rsid w:val="007310E4"/>
    <w:rsid w:val="00731129"/>
    <w:rsid w:val="007325BA"/>
    <w:rsid w:val="00732732"/>
    <w:rsid w:val="007331E5"/>
    <w:rsid w:val="0073397C"/>
    <w:rsid w:val="00734051"/>
    <w:rsid w:val="0073434B"/>
    <w:rsid w:val="0073458B"/>
    <w:rsid w:val="00734B84"/>
    <w:rsid w:val="00735EBF"/>
    <w:rsid w:val="007365ED"/>
    <w:rsid w:val="00736733"/>
    <w:rsid w:val="00736927"/>
    <w:rsid w:val="00737A4B"/>
    <w:rsid w:val="00737B53"/>
    <w:rsid w:val="00740008"/>
    <w:rsid w:val="00741355"/>
    <w:rsid w:val="00741C56"/>
    <w:rsid w:val="00741C83"/>
    <w:rsid w:val="00741D01"/>
    <w:rsid w:val="00741DA7"/>
    <w:rsid w:val="00741E9A"/>
    <w:rsid w:val="00742891"/>
    <w:rsid w:val="00742C3D"/>
    <w:rsid w:val="00742DAD"/>
    <w:rsid w:val="00743455"/>
    <w:rsid w:val="007435B8"/>
    <w:rsid w:val="007444AE"/>
    <w:rsid w:val="007447C6"/>
    <w:rsid w:val="007449FE"/>
    <w:rsid w:val="00744CEC"/>
    <w:rsid w:val="00744E20"/>
    <w:rsid w:val="00744F4B"/>
    <w:rsid w:val="00745A05"/>
    <w:rsid w:val="00745F8E"/>
    <w:rsid w:val="00746564"/>
    <w:rsid w:val="00746721"/>
    <w:rsid w:val="00747518"/>
    <w:rsid w:val="00747741"/>
    <w:rsid w:val="007505F4"/>
    <w:rsid w:val="00750979"/>
    <w:rsid w:val="00751313"/>
    <w:rsid w:val="007514AA"/>
    <w:rsid w:val="00751760"/>
    <w:rsid w:val="007518C9"/>
    <w:rsid w:val="0075197C"/>
    <w:rsid w:val="00751CA3"/>
    <w:rsid w:val="0075218A"/>
    <w:rsid w:val="00752238"/>
    <w:rsid w:val="00752736"/>
    <w:rsid w:val="00752DE0"/>
    <w:rsid w:val="00752E14"/>
    <w:rsid w:val="00753309"/>
    <w:rsid w:val="00753DA5"/>
    <w:rsid w:val="00754E53"/>
    <w:rsid w:val="0075502B"/>
    <w:rsid w:val="00755633"/>
    <w:rsid w:val="00755B6F"/>
    <w:rsid w:val="00755BCE"/>
    <w:rsid w:val="00755D08"/>
    <w:rsid w:val="007565B7"/>
    <w:rsid w:val="00756A17"/>
    <w:rsid w:val="00756B41"/>
    <w:rsid w:val="007576EC"/>
    <w:rsid w:val="00757957"/>
    <w:rsid w:val="00760978"/>
    <w:rsid w:val="00760D42"/>
    <w:rsid w:val="00761074"/>
    <w:rsid w:val="00761878"/>
    <w:rsid w:val="007623B0"/>
    <w:rsid w:val="00762A7D"/>
    <w:rsid w:val="00762C1D"/>
    <w:rsid w:val="00763B9E"/>
    <w:rsid w:val="00764234"/>
    <w:rsid w:val="0076431B"/>
    <w:rsid w:val="00764588"/>
    <w:rsid w:val="007648FE"/>
    <w:rsid w:val="00764B39"/>
    <w:rsid w:val="0076539C"/>
    <w:rsid w:val="007653B5"/>
    <w:rsid w:val="007656E2"/>
    <w:rsid w:val="007664EA"/>
    <w:rsid w:val="007665A2"/>
    <w:rsid w:val="007667C4"/>
    <w:rsid w:val="007670FC"/>
    <w:rsid w:val="00767200"/>
    <w:rsid w:val="00767282"/>
    <w:rsid w:val="007678B9"/>
    <w:rsid w:val="00767DDD"/>
    <w:rsid w:val="00767ECB"/>
    <w:rsid w:val="00767F7F"/>
    <w:rsid w:val="007703EA"/>
    <w:rsid w:val="00770C49"/>
    <w:rsid w:val="0077113A"/>
    <w:rsid w:val="007711EA"/>
    <w:rsid w:val="0077130E"/>
    <w:rsid w:val="0077138B"/>
    <w:rsid w:val="007713D7"/>
    <w:rsid w:val="00771BF6"/>
    <w:rsid w:val="0077249A"/>
    <w:rsid w:val="0077262C"/>
    <w:rsid w:val="00772A29"/>
    <w:rsid w:val="00773B3E"/>
    <w:rsid w:val="00773E65"/>
    <w:rsid w:val="007741B0"/>
    <w:rsid w:val="007745D3"/>
    <w:rsid w:val="007746DC"/>
    <w:rsid w:val="00774878"/>
    <w:rsid w:val="00774C97"/>
    <w:rsid w:val="0077558B"/>
    <w:rsid w:val="007756E4"/>
    <w:rsid w:val="00776874"/>
    <w:rsid w:val="0077726C"/>
    <w:rsid w:val="00777989"/>
    <w:rsid w:val="00777AAB"/>
    <w:rsid w:val="00777B4F"/>
    <w:rsid w:val="007801D2"/>
    <w:rsid w:val="00780FF9"/>
    <w:rsid w:val="00781154"/>
    <w:rsid w:val="007821E6"/>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0463"/>
    <w:rsid w:val="007910C3"/>
    <w:rsid w:val="00791110"/>
    <w:rsid w:val="00791250"/>
    <w:rsid w:val="0079150D"/>
    <w:rsid w:val="007918F4"/>
    <w:rsid w:val="00791DE1"/>
    <w:rsid w:val="00792DB0"/>
    <w:rsid w:val="00793181"/>
    <w:rsid w:val="007932F5"/>
    <w:rsid w:val="007936BD"/>
    <w:rsid w:val="007936C1"/>
    <w:rsid w:val="007939D0"/>
    <w:rsid w:val="00793D45"/>
    <w:rsid w:val="00793E16"/>
    <w:rsid w:val="00795E20"/>
    <w:rsid w:val="00796787"/>
    <w:rsid w:val="00796988"/>
    <w:rsid w:val="00796CCE"/>
    <w:rsid w:val="007975BD"/>
    <w:rsid w:val="00797ADF"/>
    <w:rsid w:val="00797B7E"/>
    <w:rsid w:val="00797FA0"/>
    <w:rsid w:val="007A05A2"/>
    <w:rsid w:val="007A0F79"/>
    <w:rsid w:val="007A10D6"/>
    <w:rsid w:val="007A12D8"/>
    <w:rsid w:val="007A12EE"/>
    <w:rsid w:val="007A138C"/>
    <w:rsid w:val="007A14E0"/>
    <w:rsid w:val="007A1834"/>
    <w:rsid w:val="007A1856"/>
    <w:rsid w:val="007A1E52"/>
    <w:rsid w:val="007A27EF"/>
    <w:rsid w:val="007A2A4D"/>
    <w:rsid w:val="007A2CAE"/>
    <w:rsid w:val="007A3027"/>
    <w:rsid w:val="007A31B2"/>
    <w:rsid w:val="007A347E"/>
    <w:rsid w:val="007A3629"/>
    <w:rsid w:val="007A385C"/>
    <w:rsid w:val="007A38F5"/>
    <w:rsid w:val="007A3D24"/>
    <w:rsid w:val="007A4860"/>
    <w:rsid w:val="007A4CAF"/>
    <w:rsid w:val="007A4D84"/>
    <w:rsid w:val="007A4F7B"/>
    <w:rsid w:val="007A55AF"/>
    <w:rsid w:val="007A5C01"/>
    <w:rsid w:val="007A61E4"/>
    <w:rsid w:val="007A704A"/>
    <w:rsid w:val="007A7242"/>
    <w:rsid w:val="007A757E"/>
    <w:rsid w:val="007B0470"/>
    <w:rsid w:val="007B1052"/>
    <w:rsid w:val="007B12B0"/>
    <w:rsid w:val="007B1392"/>
    <w:rsid w:val="007B1785"/>
    <w:rsid w:val="007B215A"/>
    <w:rsid w:val="007B22DC"/>
    <w:rsid w:val="007B24F0"/>
    <w:rsid w:val="007B2DAE"/>
    <w:rsid w:val="007B34DC"/>
    <w:rsid w:val="007B3A98"/>
    <w:rsid w:val="007B4008"/>
    <w:rsid w:val="007B40BE"/>
    <w:rsid w:val="007B46DC"/>
    <w:rsid w:val="007B47E7"/>
    <w:rsid w:val="007B49C4"/>
    <w:rsid w:val="007B4D74"/>
    <w:rsid w:val="007B4DC6"/>
    <w:rsid w:val="007B4F98"/>
    <w:rsid w:val="007B5132"/>
    <w:rsid w:val="007B5C5C"/>
    <w:rsid w:val="007B5F1C"/>
    <w:rsid w:val="007B63E5"/>
    <w:rsid w:val="007B66A6"/>
    <w:rsid w:val="007B69E8"/>
    <w:rsid w:val="007B6C17"/>
    <w:rsid w:val="007B743C"/>
    <w:rsid w:val="007C0165"/>
    <w:rsid w:val="007C048B"/>
    <w:rsid w:val="007C0508"/>
    <w:rsid w:val="007C057E"/>
    <w:rsid w:val="007C1346"/>
    <w:rsid w:val="007C1541"/>
    <w:rsid w:val="007C19DF"/>
    <w:rsid w:val="007C25F8"/>
    <w:rsid w:val="007C2E92"/>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ABB"/>
    <w:rsid w:val="007C7D97"/>
    <w:rsid w:val="007C7E7C"/>
    <w:rsid w:val="007C7E98"/>
    <w:rsid w:val="007C7F4C"/>
    <w:rsid w:val="007C7F70"/>
    <w:rsid w:val="007D0493"/>
    <w:rsid w:val="007D065E"/>
    <w:rsid w:val="007D0A94"/>
    <w:rsid w:val="007D0B22"/>
    <w:rsid w:val="007D0BD6"/>
    <w:rsid w:val="007D0D5B"/>
    <w:rsid w:val="007D143D"/>
    <w:rsid w:val="007D25B9"/>
    <w:rsid w:val="007D2833"/>
    <w:rsid w:val="007D29B4"/>
    <w:rsid w:val="007D2BE8"/>
    <w:rsid w:val="007D3066"/>
    <w:rsid w:val="007D421B"/>
    <w:rsid w:val="007D4490"/>
    <w:rsid w:val="007D4579"/>
    <w:rsid w:val="007D51EB"/>
    <w:rsid w:val="007D54CD"/>
    <w:rsid w:val="007D58BB"/>
    <w:rsid w:val="007D6150"/>
    <w:rsid w:val="007D6835"/>
    <w:rsid w:val="007D6A93"/>
    <w:rsid w:val="007D7A93"/>
    <w:rsid w:val="007D7ABD"/>
    <w:rsid w:val="007D7CDE"/>
    <w:rsid w:val="007D7DC7"/>
    <w:rsid w:val="007E01AF"/>
    <w:rsid w:val="007E0772"/>
    <w:rsid w:val="007E0D31"/>
    <w:rsid w:val="007E0E04"/>
    <w:rsid w:val="007E0EF9"/>
    <w:rsid w:val="007E1708"/>
    <w:rsid w:val="007E1873"/>
    <w:rsid w:val="007E21D9"/>
    <w:rsid w:val="007E2BDD"/>
    <w:rsid w:val="007E45CA"/>
    <w:rsid w:val="007E48C0"/>
    <w:rsid w:val="007E496C"/>
    <w:rsid w:val="007E5885"/>
    <w:rsid w:val="007E61B7"/>
    <w:rsid w:val="007E64FF"/>
    <w:rsid w:val="007E6F62"/>
    <w:rsid w:val="007E6FEA"/>
    <w:rsid w:val="007E7C7B"/>
    <w:rsid w:val="007E7DCE"/>
    <w:rsid w:val="007E7E0F"/>
    <w:rsid w:val="007E7F8F"/>
    <w:rsid w:val="007F015E"/>
    <w:rsid w:val="007F072A"/>
    <w:rsid w:val="007F1160"/>
    <w:rsid w:val="007F21B0"/>
    <w:rsid w:val="007F2DE9"/>
    <w:rsid w:val="007F341B"/>
    <w:rsid w:val="007F3682"/>
    <w:rsid w:val="007F3AA2"/>
    <w:rsid w:val="007F3B45"/>
    <w:rsid w:val="007F3E3E"/>
    <w:rsid w:val="007F4A9E"/>
    <w:rsid w:val="007F4ABC"/>
    <w:rsid w:val="007F4D45"/>
    <w:rsid w:val="007F4D7E"/>
    <w:rsid w:val="007F510F"/>
    <w:rsid w:val="007F545B"/>
    <w:rsid w:val="007F5682"/>
    <w:rsid w:val="007F57B2"/>
    <w:rsid w:val="007F59B2"/>
    <w:rsid w:val="007F6607"/>
    <w:rsid w:val="007F7386"/>
    <w:rsid w:val="007F7865"/>
    <w:rsid w:val="007F7FB3"/>
    <w:rsid w:val="0080026A"/>
    <w:rsid w:val="00800340"/>
    <w:rsid w:val="00800953"/>
    <w:rsid w:val="00800B0B"/>
    <w:rsid w:val="008010B6"/>
    <w:rsid w:val="00801255"/>
    <w:rsid w:val="0080197B"/>
    <w:rsid w:val="008019DC"/>
    <w:rsid w:val="00801A69"/>
    <w:rsid w:val="00801C1F"/>
    <w:rsid w:val="008021D3"/>
    <w:rsid w:val="00802849"/>
    <w:rsid w:val="00802971"/>
    <w:rsid w:val="008038E3"/>
    <w:rsid w:val="008038F6"/>
    <w:rsid w:val="00804483"/>
    <w:rsid w:val="00804558"/>
    <w:rsid w:val="00804616"/>
    <w:rsid w:val="008047AE"/>
    <w:rsid w:val="008047C1"/>
    <w:rsid w:val="00804B21"/>
    <w:rsid w:val="00805483"/>
    <w:rsid w:val="0080585D"/>
    <w:rsid w:val="00806273"/>
    <w:rsid w:val="0080661F"/>
    <w:rsid w:val="008068F3"/>
    <w:rsid w:val="00806EFD"/>
    <w:rsid w:val="00807074"/>
    <w:rsid w:val="00807E43"/>
    <w:rsid w:val="00807F69"/>
    <w:rsid w:val="00810368"/>
    <w:rsid w:val="008107E4"/>
    <w:rsid w:val="00810856"/>
    <w:rsid w:val="008108B5"/>
    <w:rsid w:val="00810BE7"/>
    <w:rsid w:val="00811336"/>
    <w:rsid w:val="0081165D"/>
    <w:rsid w:val="00811B28"/>
    <w:rsid w:val="00812862"/>
    <w:rsid w:val="00812A7A"/>
    <w:rsid w:val="00812E92"/>
    <w:rsid w:val="0081362B"/>
    <w:rsid w:val="00813C55"/>
    <w:rsid w:val="0081413E"/>
    <w:rsid w:val="0081450B"/>
    <w:rsid w:val="0081467F"/>
    <w:rsid w:val="00815339"/>
    <w:rsid w:val="00815806"/>
    <w:rsid w:val="0081591F"/>
    <w:rsid w:val="00815A99"/>
    <w:rsid w:val="00815E5B"/>
    <w:rsid w:val="008160D1"/>
    <w:rsid w:val="008162B3"/>
    <w:rsid w:val="0081640D"/>
    <w:rsid w:val="0081687A"/>
    <w:rsid w:val="008169A1"/>
    <w:rsid w:val="008173D1"/>
    <w:rsid w:val="00820160"/>
    <w:rsid w:val="0082022B"/>
    <w:rsid w:val="00820E0E"/>
    <w:rsid w:val="00821237"/>
    <w:rsid w:val="008216DA"/>
    <w:rsid w:val="008217C3"/>
    <w:rsid w:val="00821868"/>
    <w:rsid w:val="008219AD"/>
    <w:rsid w:val="008219B8"/>
    <w:rsid w:val="00821ECA"/>
    <w:rsid w:val="00822408"/>
    <w:rsid w:val="00822414"/>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742E"/>
    <w:rsid w:val="00830B33"/>
    <w:rsid w:val="00830CED"/>
    <w:rsid w:val="0083118A"/>
    <w:rsid w:val="00831784"/>
    <w:rsid w:val="00831BF6"/>
    <w:rsid w:val="00832075"/>
    <w:rsid w:val="00832727"/>
    <w:rsid w:val="008337C1"/>
    <w:rsid w:val="00833802"/>
    <w:rsid w:val="0083414D"/>
    <w:rsid w:val="00834F23"/>
    <w:rsid w:val="008353B6"/>
    <w:rsid w:val="00836A67"/>
    <w:rsid w:val="00836CEB"/>
    <w:rsid w:val="008372AB"/>
    <w:rsid w:val="0084004E"/>
    <w:rsid w:val="008409B3"/>
    <w:rsid w:val="00840EAF"/>
    <w:rsid w:val="008416BF"/>
    <w:rsid w:val="008416FD"/>
    <w:rsid w:val="0084188F"/>
    <w:rsid w:val="00842080"/>
    <w:rsid w:val="00842659"/>
    <w:rsid w:val="0084293A"/>
    <w:rsid w:val="00842E50"/>
    <w:rsid w:val="00843126"/>
    <w:rsid w:val="0084354C"/>
    <w:rsid w:val="0084375D"/>
    <w:rsid w:val="00843EBE"/>
    <w:rsid w:val="0084416F"/>
    <w:rsid w:val="00844271"/>
    <w:rsid w:val="00844462"/>
    <w:rsid w:val="008449FE"/>
    <w:rsid w:val="00845515"/>
    <w:rsid w:val="00845520"/>
    <w:rsid w:val="008457A4"/>
    <w:rsid w:val="00845FC4"/>
    <w:rsid w:val="0084609B"/>
    <w:rsid w:val="008461B0"/>
    <w:rsid w:val="00846B94"/>
    <w:rsid w:val="00846C9F"/>
    <w:rsid w:val="00846D16"/>
    <w:rsid w:val="00846F4C"/>
    <w:rsid w:val="0085044B"/>
    <w:rsid w:val="00850E3A"/>
    <w:rsid w:val="00850EE1"/>
    <w:rsid w:val="00851562"/>
    <w:rsid w:val="0085165B"/>
    <w:rsid w:val="0085179C"/>
    <w:rsid w:val="008518FA"/>
    <w:rsid w:val="00851903"/>
    <w:rsid w:val="00851B3F"/>
    <w:rsid w:val="00851DCB"/>
    <w:rsid w:val="00851E0C"/>
    <w:rsid w:val="00851F5F"/>
    <w:rsid w:val="00852142"/>
    <w:rsid w:val="008528CF"/>
    <w:rsid w:val="00853510"/>
    <w:rsid w:val="00853669"/>
    <w:rsid w:val="00853E5B"/>
    <w:rsid w:val="00854123"/>
    <w:rsid w:val="008542D1"/>
    <w:rsid w:val="00854465"/>
    <w:rsid w:val="008544BD"/>
    <w:rsid w:val="0085453E"/>
    <w:rsid w:val="008547E9"/>
    <w:rsid w:val="00854946"/>
    <w:rsid w:val="00854B62"/>
    <w:rsid w:val="00854B77"/>
    <w:rsid w:val="00854E58"/>
    <w:rsid w:val="008554BE"/>
    <w:rsid w:val="008558ED"/>
    <w:rsid w:val="00855CFC"/>
    <w:rsid w:val="00855FD5"/>
    <w:rsid w:val="00856049"/>
    <w:rsid w:val="00856252"/>
    <w:rsid w:val="0085632A"/>
    <w:rsid w:val="008566CE"/>
    <w:rsid w:val="008568BB"/>
    <w:rsid w:val="00856E96"/>
    <w:rsid w:val="00857822"/>
    <w:rsid w:val="00857C93"/>
    <w:rsid w:val="00860D51"/>
    <w:rsid w:val="008611C1"/>
    <w:rsid w:val="0086151A"/>
    <w:rsid w:val="0086173C"/>
    <w:rsid w:val="00861DA4"/>
    <w:rsid w:val="00862330"/>
    <w:rsid w:val="0086264B"/>
    <w:rsid w:val="008626E9"/>
    <w:rsid w:val="008626EB"/>
    <w:rsid w:val="00862775"/>
    <w:rsid w:val="00862EFD"/>
    <w:rsid w:val="008638FB"/>
    <w:rsid w:val="0086444C"/>
    <w:rsid w:val="008644B1"/>
    <w:rsid w:val="00864768"/>
    <w:rsid w:val="008652FA"/>
    <w:rsid w:val="008658AB"/>
    <w:rsid w:val="00865B18"/>
    <w:rsid w:val="008665B3"/>
    <w:rsid w:val="0086672E"/>
    <w:rsid w:val="00866CF2"/>
    <w:rsid w:val="0086723F"/>
    <w:rsid w:val="008675EC"/>
    <w:rsid w:val="008679CE"/>
    <w:rsid w:val="00867DA7"/>
    <w:rsid w:val="008705A8"/>
    <w:rsid w:val="008718FC"/>
    <w:rsid w:val="00871CC2"/>
    <w:rsid w:val="00871F4F"/>
    <w:rsid w:val="0087200D"/>
    <w:rsid w:val="00872131"/>
    <w:rsid w:val="008723B8"/>
    <w:rsid w:val="008725F5"/>
    <w:rsid w:val="00872C81"/>
    <w:rsid w:val="00873147"/>
    <w:rsid w:val="00873664"/>
    <w:rsid w:val="008737A2"/>
    <w:rsid w:val="00873C1E"/>
    <w:rsid w:val="00873CD6"/>
    <w:rsid w:val="00873DE6"/>
    <w:rsid w:val="00873FBF"/>
    <w:rsid w:val="00874178"/>
    <w:rsid w:val="00874272"/>
    <w:rsid w:val="008743DF"/>
    <w:rsid w:val="0087444F"/>
    <w:rsid w:val="00874830"/>
    <w:rsid w:val="00874C66"/>
    <w:rsid w:val="00874D1E"/>
    <w:rsid w:val="00874F67"/>
    <w:rsid w:val="00875F4F"/>
    <w:rsid w:val="008762D8"/>
    <w:rsid w:val="00876300"/>
    <w:rsid w:val="008772D9"/>
    <w:rsid w:val="00877B29"/>
    <w:rsid w:val="0088031A"/>
    <w:rsid w:val="008808B9"/>
    <w:rsid w:val="00880B30"/>
    <w:rsid w:val="00880CB0"/>
    <w:rsid w:val="00880F1D"/>
    <w:rsid w:val="0088172A"/>
    <w:rsid w:val="00881F90"/>
    <w:rsid w:val="00883237"/>
    <w:rsid w:val="00883240"/>
    <w:rsid w:val="0088415B"/>
    <w:rsid w:val="00884F66"/>
    <w:rsid w:val="008851C4"/>
    <w:rsid w:val="008855F4"/>
    <w:rsid w:val="0088567E"/>
    <w:rsid w:val="00885696"/>
    <w:rsid w:val="0088570A"/>
    <w:rsid w:val="00885E9D"/>
    <w:rsid w:val="0088636E"/>
    <w:rsid w:val="008864A7"/>
    <w:rsid w:val="0088666A"/>
    <w:rsid w:val="0088688A"/>
    <w:rsid w:val="00886A9E"/>
    <w:rsid w:val="00886DC9"/>
    <w:rsid w:val="00886EC7"/>
    <w:rsid w:val="00887184"/>
    <w:rsid w:val="008879EA"/>
    <w:rsid w:val="00890139"/>
    <w:rsid w:val="00890395"/>
    <w:rsid w:val="008906D6"/>
    <w:rsid w:val="0089160E"/>
    <w:rsid w:val="00891BF4"/>
    <w:rsid w:val="008920E2"/>
    <w:rsid w:val="008921B1"/>
    <w:rsid w:val="00892687"/>
    <w:rsid w:val="008926D4"/>
    <w:rsid w:val="008930F5"/>
    <w:rsid w:val="00893386"/>
    <w:rsid w:val="0089363C"/>
    <w:rsid w:val="00893657"/>
    <w:rsid w:val="00893671"/>
    <w:rsid w:val="00893918"/>
    <w:rsid w:val="008941FB"/>
    <w:rsid w:val="00894383"/>
    <w:rsid w:val="00894565"/>
    <w:rsid w:val="00894E2F"/>
    <w:rsid w:val="00894EED"/>
    <w:rsid w:val="008950D6"/>
    <w:rsid w:val="008959B6"/>
    <w:rsid w:val="00895A8C"/>
    <w:rsid w:val="00895B46"/>
    <w:rsid w:val="00896474"/>
    <w:rsid w:val="008968E2"/>
    <w:rsid w:val="00896DBC"/>
    <w:rsid w:val="00897945"/>
    <w:rsid w:val="00897B59"/>
    <w:rsid w:val="00897C6C"/>
    <w:rsid w:val="00897D1A"/>
    <w:rsid w:val="008A014E"/>
    <w:rsid w:val="008A0905"/>
    <w:rsid w:val="008A0B02"/>
    <w:rsid w:val="008A0E0D"/>
    <w:rsid w:val="008A155C"/>
    <w:rsid w:val="008A180E"/>
    <w:rsid w:val="008A197C"/>
    <w:rsid w:val="008A1E6E"/>
    <w:rsid w:val="008A2545"/>
    <w:rsid w:val="008A2636"/>
    <w:rsid w:val="008A2D3D"/>
    <w:rsid w:val="008A35DB"/>
    <w:rsid w:val="008A3AA7"/>
    <w:rsid w:val="008A3AF9"/>
    <w:rsid w:val="008A3FBE"/>
    <w:rsid w:val="008A4013"/>
    <w:rsid w:val="008A4C9C"/>
    <w:rsid w:val="008A6041"/>
    <w:rsid w:val="008A60F8"/>
    <w:rsid w:val="008A69FE"/>
    <w:rsid w:val="008A6EC7"/>
    <w:rsid w:val="008A6F36"/>
    <w:rsid w:val="008A7286"/>
    <w:rsid w:val="008A7B50"/>
    <w:rsid w:val="008B0641"/>
    <w:rsid w:val="008B0EB7"/>
    <w:rsid w:val="008B138E"/>
    <w:rsid w:val="008B1563"/>
    <w:rsid w:val="008B166C"/>
    <w:rsid w:val="008B1678"/>
    <w:rsid w:val="008B1B60"/>
    <w:rsid w:val="008B1C78"/>
    <w:rsid w:val="008B1F87"/>
    <w:rsid w:val="008B212F"/>
    <w:rsid w:val="008B28BD"/>
    <w:rsid w:val="008B2BC2"/>
    <w:rsid w:val="008B2E96"/>
    <w:rsid w:val="008B2F53"/>
    <w:rsid w:val="008B3006"/>
    <w:rsid w:val="008B3139"/>
    <w:rsid w:val="008B3B50"/>
    <w:rsid w:val="008B3D47"/>
    <w:rsid w:val="008B40CA"/>
    <w:rsid w:val="008B4265"/>
    <w:rsid w:val="008B44CB"/>
    <w:rsid w:val="008B46D2"/>
    <w:rsid w:val="008B5253"/>
    <w:rsid w:val="008B53D8"/>
    <w:rsid w:val="008B5706"/>
    <w:rsid w:val="008B63BE"/>
    <w:rsid w:val="008B640B"/>
    <w:rsid w:val="008B640E"/>
    <w:rsid w:val="008B6505"/>
    <w:rsid w:val="008B688D"/>
    <w:rsid w:val="008B6DCB"/>
    <w:rsid w:val="008B70EE"/>
    <w:rsid w:val="008B715C"/>
    <w:rsid w:val="008B75B8"/>
    <w:rsid w:val="008C0AF0"/>
    <w:rsid w:val="008C0EAD"/>
    <w:rsid w:val="008C1442"/>
    <w:rsid w:val="008C1693"/>
    <w:rsid w:val="008C19D9"/>
    <w:rsid w:val="008C1A5E"/>
    <w:rsid w:val="008C1A81"/>
    <w:rsid w:val="008C20F4"/>
    <w:rsid w:val="008C216F"/>
    <w:rsid w:val="008C29FE"/>
    <w:rsid w:val="008C30C0"/>
    <w:rsid w:val="008C32CA"/>
    <w:rsid w:val="008C38CC"/>
    <w:rsid w:val="008C3967"/>
    <w:rsid w:val="008C431E"/>
    <w:rsid w:val="008C4FD4"/>
    <w:rsid w:val="008C54BD"/>
    <w:rsid w:val="008C54C4"/>
    <w:rsid w:val="008C6056"/>
    <w:rsid w:val="008C6628"/>
    <w:rsid w:val="008C69C9"/>
    <w:rsid w:val="008C6E38"/>
    <w:rsid w:val="008C6F75"/>
    <w:rsid w:val="008C7C18"/>
    <w:rsid w:val="008C7CC4"/>
    <w:rsid w:val="008D047D"/>
    <w:rsid w:val="008D04B1"/>
    <w:rsid w:val="008D0B4C"/>
    <w:rsid w:val="008D14C4"/>
    <w:rsid w:val="008D160C"/>
    <w:rsid w:val="008D1964"/>
    <w:rsid w:val="008D1A52"/>
    <w:rsid w:val="008D1F0B"/>
    <w:rsid w:val="008D221A"/>
    <w:rsid w:val="008D24D6"/>
    <w:rsid w:val="008D24E1"/>
    <w:rsid w:val="008D28E4"/>
    <w:rsid w:val="008D3E6A"/>
    <w:rsid w:val="008D4EF6"/>
    <w:rsid w:val="008D53E2"/>
    <w:rsid w:val="008D5908"/>
    <w:rsid w:val="008D5AF1"/>
    <w:rsid w:val="008D634F"/>
    <w:rsid w:val="008D655E"/>
    <w:rsid w:val="008D6A6E"/>
    <w:rsid w:val="008D6E8C"/>
    <w:rsid w:val="008D726A"/>
    <w:rsid w:val="008D781F"/>
    <w:rsid w:val="008D78ED"/>
    <w:rsid w:val="008D7DBE"/>
    <w:rsid w:val="008E02B7"/>
    <w:rsid w:val="008E02D8"/>
    <w:rsid w:val="008E03A0"/>
    <w:rsid w:val="008E20BE"/>
    <w:rsid w:val="008E241B"/>
    <w:rsid w:val="008E2EED"/>
    <w:rsid w:val="008E3007"/>
    <w:rsid w:val="008E3096"/>
    <w:rsid w:val="008E330C"/>
    <w:rsid w:val="008E332F"/>
    <w:rsid w:val="008E3B17"/>
    <w:rsid w:val="008E4114"/>
    <w:rsid w:val="008E45EA"/>
    <w:rsid w:val="008E4A1A"/>
    <w:rsid w:val="008E56D2"/>
    <w:rsid w:val="008E5E01"/>
    <w:rsid w:val="008E6400"/>
    <w:rsid w:val="008E69A3"/>
    <w:rsid w:val="008E7CC9"/>
    <w:rsid w:val="008F02A1"/>
    <w:rsid w:val="008F0E69"/>
    <w:rsid w:val="008F12FF"/>
    <w:rsid w:val="008F1416"/>
    <w:rsid w:val="008F2244"/>
    <w:rsid w:val="008F27B4"/>
    <w:rsid w:val="008F2A95"/>
    <w:rsid w:val="008F36E2"/>
    <w:rsid w:val="008F3D3E"/>
    <w:rsid w:val="008F3F31"/>
    <w:rsid w:val="008F4655"/>
    <w:rsid w:val="008F4779"/>
    <w:rsid w:val="008F5174"/>
    <w:rsid w:val="008F542B"/>
    <w:rsid w:val="008F553E"/>
    <w:rsid w:val="008F5670"/>
    <w:rsid w:val="008F599F"/>
    <w:rsid w:val="008F5E5E"/>
    <w:rsid w:val="008F63DF"/>
    <w:rsid w:val="008F64E5"/>
    <w:rsid w:val="008F677E"/>
    <w:rsid w:val="008F783C"/>
    <w:rsid w:val="008F7C28"/>
    <w:rsid w:val="0090034D"/>
    <w:rsid w:val="0090055F"/>
    <w:rsid w:val="00900BFD"/>
    <w:rsid w:val="00900EC7"/>
    <w:rsid w:val="00900FFC"/>
    <w:rsid w:val="009011F9"/>
    <w:rsid w:val="00901244"/>
    <w:rsid w:val="00901979"/>
    <w:rsid w:val="00902357"/>
    <w:rsid w:val="0090242A"/>
    <w:rsid w:val="00902741"/>
    <w:rsid w:val="009027D9"/>
    <w:rsid w:val="00902A33"/>
    <w:rsid w:val="00902C85"/>
    <w:rsid w:val="00902D2C"/>
    <w:rsid w:val="009030F7"/>
    <w:rsid w:val="009034D9"/>
    <w:rsid w:val="0090415A"/>
    <w:rsid w:val="009046C9"/>
    <w:rsid w:val="009046F1"/>
    <w:rsid w:val="00904883"/>
    <w:rsid w:val="00904B0A"/>
    <w:rsid w:val="00904F84"/>
    <w:rsid w:val="00905136"/>
    <w:rsid w:val="009055DD"/>
    <w:rsid w:val="0090616A"/>
    <w:rsid w:val="00906284"/>
    <w:rsid w:val="00906527"/>
    <w:rsid w:val="00906BD9"/>
    <w:rsid w:val="00906EA0"/>
    <w:rsid w:val="00907F4C"/>
    <w:rsid w:val="0091006A"/>
    <w:rsid w:val="00910B57"/>
    <w:rsid w:val="0091148A"/>
    <w:rsid w:val="00911687"/>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17DDF"/>
    <w:rsid w:val="0092063E"/>
    <w:rsid w:val="00920EC8"/>
    <w:rsid w:val="00921102"/>
    <w:rsid w:val="00921305"/>
    <w:rsid w:val="00921783"/>
    <w:rsid w:val="009217D9"/>
    <w:rsid w:val="00921AC8"/>
    <w:rsid w:val="00921BBF"/>
    <w:rsid w:val="0092206F"/>
    <w:rsid w:val="00922482"/>
    <w:rsid w:val="00922A2B"/>
    <w:rsid w:val="00924A6C"/>
    <w:rsid w:val="00924ED4"/>
    <w:rsid w:val="00924F63"/>
    <w:rsid w:val="00925B04"/>
    <w:rsid w:val="009261E8"/>
    <w:rsid w:val="009264AB"/>
    <w:rsid w:val="00926BBA"/>
    <w:rsid w:val="009271AB"/>
    <w:rsid w:val="00927281"/>
    <w:rsid w:val="009273B8"/>
    <w:rsid w:val="009275E2"/>
    <w:rsid w:val="00927A20"/>
    <w:rsid w:val="00930298"/>
    <w:rsid w:val="009302A6"/>
    <w:rsid w:val="00930CD6"/>
    <w:rsid w:val="00931325"/>
    <w:rsid w:val="009319DC"/>
    <w:rsid w:val="00931AAD"/>
    <w:rsid w:val="00931B47"/>
    <w:rsid w:val="00931E6D"/>
    <w:rsid w:val="00932D04"/>
    <w:rsid w:val="00932E9E"/>
    <w:rsid w:val="00932EEC"/>
    <w:rsid w:val="00933B8A"/>
    <w:rsid w:val="00934141"/>
    <w:rsid w:val="009341AA"/>
    <w:rsid w:val="0093429A"/>
    <w:rsid w:val="0093500C"/>
    <w:rsid w:val="00935056"/>
    <w:rsid w:val="009352D3"/>
    <w:rsid w:val="009355BB"/>
    <w:rsid w:val="00935789"/>
    <w:rsid w:val="009357D6"/>
    <w:rsid w:val="009359C5"/>
    <w:rsid w:val="00935CFA"/>
    <w:rsid w:val="00935E37"/>
    <w:rsid w:val="009360A2"/>
    <w:rsid w:val="009361E8"/>
    <w:rsid w:val="00936247"/>
    <w:rsid w:val="00936501"/>
    <w:rsid w:val="009366AD"/>
    <w:rsid w:val="009371FB"/>
    <w:rsid w:val="009377A1"/>
    <w:rsid w:val="00937AC8"/>
    <w:rsid w:val="00940850"/>
    <w:rsid w:val="00940B1D"/>
    <w:rsid w:val="00941930"/>
    <w:rsid w:val="0094243B"/>
    <w:rsid w:val="009428A4"/>
    <w:rsid w:val="00943157"/>
    <w:rsid w:val="0094368C"/>
    <w:rsid w:val="00943893"/>
    <w:rsid w:val="00944312"/>
    <w:rsid w:val="009443DC"/>
    <w:rsid w:val="00944AE2"/>
    <w:rsid w:val="00944CCD"/>
    <w:rsid w:val="0094526B"/>
    <w:rsid w:val="009456EB"/>
    <w:rsid w:val="00945BAF"/>
    <w:rsid w:val="00945C22"/>
    <w:rsid w:val="00945E7E"/>
    <w:rsid w:val="00945E8F"/>
    <w:rsid w:val="009463FD"/>
    <w:rsid w:val="009465FA"/>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115"/>
    <w:rsid w:val="009543D8"/>
    <w:rsid w:val="009545D6"/>
    <w:rsid w:val="00954F67"/>
    <w:rsid w:val="00955AA9"/>
    <w:rsid w:val="00955AB2"/>
    <w:rsid w:val="00955E60"/>
    <w:rsid w:val="00955EC8"/>
    <w:rsid w:val="009564B0"/>
    <w:rsid w:val="0095680B"/>
    <w:rsid w:val="0095699A"/>
    <w:rsid w:val="00956B34"/>
    <w:rsid w:val="0095702D"/>
    <w:rsid w:val="009571A6"/>
    <w:rsid w:val="0095752A"/>
    <w:rsid w:val="009577C1"/>
    <w:rsid w:val="009602BA"/>
    <w:rsid w:val="0096080E"/>
    <w:rsid w:val="00960AF2"/>
    <w:rsid w:val="009615D7"/>
    <w:rsid w:val="00961971"/>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0AF"/>
    <w:rsid w:val="0096746C"/>
    <w:rsid w:val="00967655"/>
    <w:rsid w:val="00970836"/>
    <w:rsid w:val="00970F12"/>
    <w:rsid w:val="00970F42"/>
    <w:rsid w:val="0097109A"/>
    <w:rsid w:val="009710BF"/>
    <w:rsid w:val="00971874"/>
    <w:rsid w:val="00971F83"/>
    <w:rsid w:val="00972061"/>
    <w:rsid w:val="0097245C"/>
    <w:rsid w:val="00972599"/>
    <w:rsid w:val="009725FE"/>
    <w:rsid w:val="0097282B"/>
    <w:rsid w:val="00972DAC"/>
    <w:rsid w:val="00973A35"/>
    <w:rsid w:val="0097462D"/>
    <w:rsid w:val="00974A1E"/>
    <w:rsid w:val="0097559A"/>
    <w:rsid w:val="00975D48"/>
    <w:rsid w:val="00976546"/>
    <w:rsid w:val="00976FCF"/>
    <w:rsid w:val="0097741A"/>
    <w:rsid w:val="00977CDB"/>
    <w:rsid w:val="00980072"/>
    <w:rsid w:val="00980BAC"/>
    <w:rsid w:val="00980EED"/>
    <w:rsid w:val="00980F3F"/>
    <w:rsid w:val="00981143"/>
    <w:rsid w:val="00981511"/>
    <w:rsid w:val="00981885"/>
    <w:rsid w:val="00981C21"/>
    <w:rsid w:val="00981D1C"/>
    <w:rsid w:val="00982214"/>
    <w:rsid w:val="009823D4"/>
    <w:rsid w:val="00982474"/>
    <w:rsid w:val="00983285"/>
    <w:rsid w:val="00984672"/>
    <w:rsid w:val="00984B3A"/>
    <w:rsid w:val="00984F97"/>
    <w:rsid w:val="0098569D"/>
    <w:rsid w:val="00985736"/>
    <w:rsid w:val="00985A09"/>
    <w:rsid w:val="00985BFC"/>
    <w:rsid w:val="00986277"/>
    <w:rsid w:val="009863E2"/>
    <w:rsid w:val="009866A3"/>
    <w:rsid w:val="0098693D"/>
    <w:rsid w:val="00990343"/>
    <w:rsid w:val="009905E1"/>
    <w:rsid w:val="0099064C"/>
    <w:rsid w:val="0099078A"/>
    <w:rsid w:val="0099097F"/>
    <w:rsid w:val="00992097"/>
    <w:rsid w:val="009924AA"/>
    <w:rsid w:val="00992869"/>
    <w:rsid w:val="00992914"/>
    <w:rsid w:val="00992C47"/>
    <w:rsid w:val="00992E7B"/>
    <w:rsid w:val="00993370"/>
    <w:rsid w:val="0099345E"/>
    <w:rsid w:val="00993776"/>
    <w:rsid w:val="00993832"/>
    <w:rsid w:val="00993C0A"/>
    <w:rsid w:val="00993F15"/>
    <w:rsid w:val="009942CA"/>
    <w:rsid w:val="009944B9"/>
    <w:rsid w:val="009947D5"/>
    <w:rsid w:val="00994B69"/>
    <w:rsid w:val="00994E90"/>
    <w:rsid w:val="009952E4"/>
    <w:rsid w:val="0099551B"/>
    <w:rsid w:val="00995532"/>
    <w:rsid w:val="009955E2"/>
    <w:rsid w:val="00995629"/>
    <w:rsid w:val="0099593E"/>
    <w:rsid w:val="009959A5"/>
    <w:rsid w:val="00995C16"/>
    <w:rsid w:val="00995D2A"/>
    <w:rsid w:val="0099625A"/>
    <w:rsid w:val="009965BC"/>
    <w:rsid w:val="0099662E"/>
    <w:rsid w:val="00997258"/>
    <w:rsid w:val="00997C19"/>
    <w:rsid w:val="00997ECC"/>
    <w:rsid w:val="009A0415"/>
    <w:rsid w:val="009A04CD"/>
    <w:rsid w:val="009A0E41"/>
    <w:rsid w:val="009A161D"/>
    <w:rsid w:val="009A177E"/>
    <w:rsid w:val="009A1AE9"/>
    <w:rsid w:val="009A22E6"/>
    <w:rsid w:val="009A2486"/>
    <w:rsid w:val="009A2690"/>
    <w:rsid w:val="009A3105"/>
    <w:rsid w:val="009A3193"/>
    <w:rsid w:val="009A3307"/>
    <w:rsid w:val="009A3520"/>
    <w:rsid w:val="009A3547"/>
    <w:rsid w:val="009A39FF"/>
    <w:rsid w:val="009A3CB5"/>
    <w:rsid w:val="009A3EAF"/>
    <w:rsid w:val="009A3F33"/>
    <w:rsid w:val="009A4136"/>
    <w:rsid w:val="009A43A0"/>
    <w:rsid w:val="009A4BB7"/>
    <w:rsid w:val="009A4E44"/>
    <w:rsid w:val="009A5501"/>
    <w:rsid w:val="009A56A5"/>
    <w:rsid w:val="009A6621"/>
    <w:rsid w:val="009A6807"/>
    <w:rsid w:val="009A6AEA"/>
    <w:rsid w:val="009A6CC5"/>
    <w:rsid w:val="009A7F10"/>
    <w:rsid w:val="009B0092"/>
    <w:rsid w:val="009B1F3A"/>
    <w:rsid w:val="009B2766"/>
    <w:rsid w:val="009B2C69"/>
    <w:rsid w:val="009B3219"/>
    <w:rsid w:val="009B32D4"/>
    <w:rsid w:val="009B32F0"/>
    <w:rsid w:val="009B33C6"/>
    <w:rsid w:val="009B3EB4"/>
    <w:rsid w:val="009B3F21"/>
    <w:rsid w:val="009B42BE"/>
    <w:rsid w:val="009B441F"/>
    <w:rsid w:val="009B482B"/>
    <w:rsid w:val="009B51BF"/>
    <w:rsid w:val="009B5973"/>
    <w:rsid w:val="009B5B48"/>
    <w:rsid w:val="009B5CAA"/>
    <w:rsid w:val="009B5DB0"/>
    <w:rsid w:val="009B61DC"/>
    <w:rsid w:val="009B62E6"/>
    <w:rsid w:val="009B6463"/>
    <w:rsid w:val="009B6652"/>
    <w:rsid w:val="009B67C4"/>
    <w:rsid w:val="009B6A3F"/>
    <w:rsid w:val="009B6C5A"/>
    <w:rsid w:val="009B71E1"/>
    <w:rsid w:val="009B73F7"/>
    <w:rsid w:val="009B7480"/>
    <w:rsid w:val="009B7B87"/>
    <w:rsid w:val="009C0448"/>
    <w:rsid w:val="009C0615"/>
    <w:rsid w:val="009C0CF8"/>
    <w:rsid w:val="009C125A"/>
    <w:rsid w:val="009C1EB2"/>
    <w:rsid w:val="009C251A"/>
    <w:rsid w:val="009C2675"/>
    <w:rsid w:val="009C2839"/>
    <w:rsid w:val="009C2D1F"/>
    <w:rsid w:val="009C2DC4"/>
    <w:rsid w:val="009C3042"/>
    <w:rsid w:val="009C305C"/>
    <w:rsid w:val="009C386A"/>
    <w:rsid w:val="009C3DDE"/>
    <w:rsid w:val="009C3E9C"/>
    <w:rsid w:val="009C460E"/>
    <w:rsid w:val="009C4A32"/>
    <w:rsid w:val="009C63AB"/>
    <w:rsid w:val="009C64FC"/>
    <w:rsid w:val="009C69D0"/>
    <w:rsid w:val="009C69F4"/>
    <w:rsid w:val="009C6AF8"/>
    <w:rsid w:val="009C7163"/>
    <w:rsid w:val="009C7232"/>
    <w:rsid w:val="009C77A3"/>
    <w:rsid w:val="009D00FA"/>
    <w:rsid w:val="009D1082"/>
    <w:rsid w:val="009D20AC"/>
    <w:rsid w:val="009D20C9"/>
    <w:rsid w:val="009D21C8"/>
    <w:rsid w:val="009D2490"/>
    <w:rsid w:val="009D26D8"/>
    <w:rsid w:val="009D30F9"/>
    <w:rsid w:val="009D3192"/>
    <w:rsid w:val="009D31C0"/>
    <w:rsid w:val="009D322C"/>
    <w:rsid w:val="009D334F"/>
    <w:rsid w:val="009D372A"/>
    <w:rsid w:val="009D37A8"/>
    <w:rsid w:val="009D3916"/>
    <w:rsid w:val="009D3A26"/>
    <w:rsid w:val="009D3BAC"/>
    <w:rsid w:val="009D3EDD"/>
    <w:rsid w:val="009D44B0"/>
    <w:rsid w:val="009D4789"/>
    <w:rsid w:val="009D48BA"/>
    <w:rsid w:val="009D4B43"/>
    <w:rsid w:val="009D4B7E"/>
    <w:rsid w:val="009D4D48"/>
    <w:rsid w:val="009D4DC6"/>
    <w:rsid w:val="009D4E83"/>
    <w:rsid w:val="009D5106"/>
    <w:rsid w:val="009D66B9"/>
    <w:rsid w:val="009D6B77"/>
    <w:rsid w:val="009D6CE1"/>
    <w:rsid w:val="009D779C"/>
    <w:rsid w:val="009E0A34"/>
    <w:rsid w:val="009E14B2"/>
    <w:rsid w:val="009E1D15"/>
    <w:rsid w:val="009E1DFA"/>
    <w:rsid w:val="009E23ED"/>
    <w:rsid w:val="009E25CC"/>
    <w:rsid w:val="009E26BC"/>
    <w:rsid w:val="009E322C"/>
    <w:rsid w:val="009E3352"/>
    <w:rsid w:val="009E3479"/>
    <w:rsid w:val="009E387D"/>
    <w:rsid w:val="009E453D"/>
    <w:rsid w:val="009E4E80"/>
    <w:rsid w:val="009E5013"/>
    <w:rsid w:val="009E56B0"/>
    <w:rsid w:val="009E5917"/>
    <w:rsid w:val="009E6223"/>
    <w:rsid w:val="009E725F"/>
    <w:rsid w:val="009E79CF"/>
    <w:rsid w:val="009E7F22"/>
    <w:rsid w:val="009E7F2E"/>
    <w:rsid w:val="009F009C"/>
    <w:rsid w:val="009F00E0"/>
    <w:rsid w:val="009F0345"/>
    <w:rsid w:val="009F03D3"/>
    <w:rsid w:val="009F04F2"/>
    <w:rsid w:val="009F0A8F"/>
    <w:rsid w:val="009F1298"/>
    <w:rsid w:val="009F19FE"/>
    <w:rsid w:val="009F1C25"/>
    <w:rsid w:val="009F2188"/>
    <w:rsid w:val="009F231C"/>
    <w:rsid w:val="009F2512"/>
    <w:rsid w:val="009F2B66"/>
    <w:rsid w:val="009F2C7D"/>
    <w:rsid w:val="009F3D88"/>
    <w:rsid w:val="009F40CE"/>
    <w:rsid w:val="009F4625"/>
    <w:rsid w:val="009F4CDA"/>
    <w:rsid w:val="009F4D28"/>
    <w:rsid w:val="009F59BF"/>
    <w:rsid w:val="009F5F68"/>
    <w:rsid w:val="009F677D"/>
    <w:rsid w:val="009F6941"/>
    <w:rsid w:val="009F6EDA"/>
    <w:rsid w:val="009F776E"/>
    <w:rsid w:val="009F7885"/>
    <w:rsid w:val="00A006C0"/>
    <w:rsid w:val="00A00F42"/>
    <w:rsid w:val="00A01519"/>
    <w:rsid w:val="00A0195A"/>
    <w:rsid w:val="00A02B70"/>
    <w:rsid w:val="00A02D3C"/>
    <w:rsid w:val="00A032EA"/>
    <w:rsid w:val="00A0408F"/>
    <w:rsid w:val="00A04E68"/>
    <w:rsid w:val="00A05674"/>
    <w:rsid w:val="00A05975"/>
    <w:rsid w:val="00A05EAA"/>
    <w:rsid w:val="00A05FCE"/>
    <w:rsid w:val="00A0608D"/>
    <w:rsid w:val="00A060BE"/>
    <w:rsid w:val="00A0695E"/>
    <w:rsid w:val="00A07D26"/>
    <w:rsid w:val="00A07F98"/>
    <w:rsid w:val="00A1018A"/>
    <w:rsid w:val="00A1036E"/>
    <w:rsid w:val="00A103CF"/>
    <w:rsid w:val="00A104A1"/>
    <w:rsid w:val="00A10B4C"/>
    <w:rsid w:val="00A10D80"/>
    <w:rsid w:val="00A10FC7"/>
    <w:rsid w:val="00A11671"/>
    <w:rsid w:val="00A1187C"/>
    <w:rsid w:val="00A120A6"/>
    <w:rsid w:val="00A12796"/>
    <w:rsid w:val="00A12A97"/>
    <w:rsid w:val="00A12CCC"/>
    <w:rsid w:val="00A12D1A"/>
    <w:rsid w:val="00A12E07"/>
    <w:rsid w:val="00A12F3D"/>
    <w:rsid w:val="00A13A4E"/>
    <w:rsid w:val="00A13C17"/>
    <w:rsid w:val="00A14F24"/>
    <w:rsid w:val="00A15566"/>
    <w:rsid w:val="00A155C3"/>
    <w:rsid w:val="00A15B2D"/>
    <w:rsid w:val="00A15C9B"/>
    <w:rsid w:val="00A163CD"/>
    <w:rsid w:val="00A16778"/>
    <w:rsid w:val="00A16B57"/>
    <w:rsid w:val="00A17972"/>
    <w:rsid w:val="00A20224"/>
    <w:rsid w:val="00A20CE6"/>
    <w:rsid w:val="00A21424"/>
    <w:rsid w:val="00A21997"/>
    <w:rsid w:val="00A22874"/>
    <w:rsid w:val="00A231DF"/>
    <w:rsid w:val="00A236A8"/>
    <w:rsid w:val="00A23A98"/>
    <w:rsid w:val="00A24217"/>
    <w:rsid w:val="00A244D8"/>
    <w:rsid w:val="00A244E9"/>
    <w:rsid w:val="00A24622"/>
    <w:rsid w:val="00A246A3"/>
    <w:rsid w:val="00A24BB9"/>
    <w:rsid w:val="00A25764"/>
    <w:rsid w:val="00A257B4"/>
    <w:rsid w:val="00A259A8"/>
    <w:rsid w:val="00A25ABB"/>
    <w:rsid w:val="00A25E39"/>
    <w:rsid w:val="00A267F3"/>
    <w:rsid w:val="00A26827"/>
    <w:rsid w:val="00A26D47"/>
    <w:rsid w:val="00A26DA7"/>
    <w:rsid w:val="00A26F41"/>
    <w:rsid w:val="00A26F88"/>
    <w:rsid w:val="00A26FF8"/>
    <w:rsid w:val="00A275D1"/>
    <w:rsid w:val="00A27B57"/>
    <w:rsid w:val="00A30B0E"/>
    <w:rsid w:val="00A313B3"/>
    <w:rsid w:val="00A31D00"/>
    <w:rsid w:val="00A32051"/>
    <w:rsid w:val="00A32AE0"/>
    <w:rsid w:val="00A32B77"/>
    <w:rsid w:val="00A32BB4"/>
    <w:rsid w:val="00A33CCF"/>
    <w:rsid w:val="00A35346"/>
    <w:rsid w:val="00A35D65"/>
    <w:rsid w:val="00A35EE9"/>
    <w:rsid w:val="00A35FED"/>
    <w:rsid w:val="00A36A7A"/>
    <w:rsid w:val="00A36CF6"/>
    <w:rsid w:val="00A36EC5"/>
    <w:rsid w:val="00A375CF"/>
    <w:rsid w:val="00A37965"/>
    <w:rsid w:val="00A37EDA"/>
    <w:rsid w:val="00A4035D"/>
    <w:rsid w:val="00A411E0"/>
    <w:rsid w:val="00A413A3"/>
    <w:rsid w:val="00A415EA"/>
    <w:rsid w:val="00A42AE9"/>
    <w:rsid w:val="00A43270"/>
    <w:rsid w:val="00A4365B"/>
    <w:rsid w:val="00A4451E"/>
    <w:rsid w:val="00A44818"/>
    <w:rsid w:val="00A44C27"/>
    <w:rsid w:val="00A4539E"/>
    <w:rsid w:val="00A46080"/>
    <w:rsid w:val="00A461CB"/>
    <w:rsid w:val="00A467A6"/>
    <w:rsid w:val="00A46C6C"/>
    <w:rsid w:val="00A46EB1"/>
    <w:rsid w:val="00A4736B"/>
    <w:rsid w:val="00A4792C"/>
    <w:rsid w:val="00A47A54"/>
    <w:rsid w:val="00A47C59"/>
    <w:rsid w:val="00A500DE"/>
    <w:rsid w:val="00A5092B"/>
    <w:rsid w:val="00A50CF7"/>
    <w:rsid w:val="00A50FEC"/>
    <w:rsid w:val="00A51FC3"/>
    <w:rsid w:val="00A532FC"/>
    <w:rsid w:val="00A53624"/>
    <w:rsid w:val="00A53C86"/>
    <w:rsid w:val="00A543EA"/>
    <w:rsid w:val="00A5487C"/>
    <w:rsid w:val="00A54F72"/>
    <w:rsid w:val="00A55056"/>
    <w:rsid w:val="00A556E4"/>
    <w:rsid w:val="00A565B6"/>
    <w:rsid w:val="00A567E2"/>
    <w:rsid w:val="00A56806"/>
    <w:rsid w:val="00A5696C"/>
    <w:rsid w:val="00A57F15"/>
    <w:rsid w:val="00A60066"/>
    <w:rsid w:val="00A60179"/>
    <w:rsid w:val="00A60A8F"/>
    <w:rsid w:val="00A6149B"/>
    <w:rsid w:val="00A61782"/>
    <w:rsid w:val="00A61FDA"/>
    <w:rsid w:val="00A62559"/>
    <w:rsid w:val="00A63850"/>
    <w:rsid w:val="00A64787"/>
    <w:rsid w:val="00A648E9"/>
    <w:rsid w:val="00A64DED"/>
    <w:rsid w:val="00A6654A"/>
    <w:rsid w:val="00A66C0D"/>
    <w:rsid w:val="00A67288"/>
    <w:rsid w:val="00A672D7"/>
    <w:rsid w:val="00A6753F"/>
    <w:rsid w:val="00A6764D"/>
    <w:rsid w:val="00A67934"/>
    <w:rsid w:val="00A67C50"/>
    <w:rsid w:val="00A67D4A"/>
    <w:rsid w:val="00A703AE"/>
    <w:rsid w:val="00A70415"/>
    <w:rsid w:val="00A705CB"/>
    <w:rsid w:val="00A709AE"/>
    <w:rsid w:val="00A70DCB"/>
    <w:rsid w:val="00A70E5B"/>
    <w:rsid w:val="00A719E7"/>
    <w:rsid w:val="00A71FD1"/>
    <w:rsid w:val="00A720C2"/>
    <w:rsid w:val="00A7248F"/>
    <w:rsid w:val="00A72733"/>
    <w:rsid w:val="00A72BC8"/>
    <w:rsid w:val="00A72C04"/>
    <w:rsid w:val="00A72FA3"/>
    <w:rsid w:val="00A72FE2"/>
    <w:rsid w:val="00A730CB"/>
    <w:rsid w:val="00A73341"/>
    <w:rsid w:val="00A73628"/>
    <w:rsid w:val="00A73FA5"/>
    <w:rsid w:val="00A7422F"/>
    <w:rsid w:val="00A748ED"/>
    <w:rsid w:val="00A74A27"/>
    <w:rsid w:val="00A75386"/>
    <w:rsid w:val="00A7593A"/>
    <w:rsid w:val="00A7597F"/>
    <w:rsid w:val="00A75A86"/>
    <w:rsid w:val="00A75D3F"/>
    <w:rsid w:val="00A768C8"/>
    <w:rsid w:val="00A76C21"/>
    <w:rsid w:val="00A76EBA"/>
    <w:rsid w:val="00A7719B"/>
    <w:rsid w:val="00A77727"/>
    <w:rsid w:val="00A808BD"/>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904F2"/>
    <w:rsid w:val="00A90A9D"/>
    <w:rsid w:val="00A90F06"/>
    <w:rsid w:val="00A911A0"/>
    <w:rsid w:val="00A91363"/>
    <w:rsid w:val="00A91450"/>
    <w:rsid w:val="00A91B63"/>
    <w:rsid w:val="00A92070"/>
    <w:rsid w:val="00A920B1"/>
    <w:rsid w:val="00A92564"/>
    <w:rsid w:val="00A926C9"/>
    <w:rsid w:val="00A92A21"/>
    <w:rsid w:val="00A92DB9"/>
    <w:rsid w:val="00A93738"/>
    <w:rsid w:val="00A93870"/>
    <w:rsid w:val="00A93CD1"/>
    <w:rsid w:val="00A93D4B"/>
    <w:rsid w:val="00A94084"/>
    <w:rsid w:val="00A9446E"/>
    <w:rsid w:val="00A95613"/>
    <w:rsid w:val="00A95904"/>
    <w:rsid w:val="00A96852"/>
    <w:rsid w:val="00A9791D"/>
    <w:rsid w:val="00A97D4A"/>
    <w:rsid w:val="00A97DB8"/>
    <w:rsid w:val="00AA0209"/>
    <w:rsid w:val="00AA03A6"/>
    <w:rsid w:val="00AA1128"/>
    <w:rsid w:val="00AA1A7C"/>
    <w:rsid w:val="00AA1AC9"/>
    <w:rsid w:val="00AA1ADA"/>
    <w:rsid w:val="00AA20B3"/>
    <w:rsid w:val="00AA2772"/>
    <w:rsid w:val="00AA2A7D"/>
    <w:rsid w:val="00AA2A95"/>
    <w:rsid w:val="00AA2ECC"/>
    <w:rsid w:val="00AA3A3E"/>
    <w:rsid w:val="00AA3B94"/>
    <w:rsid w:val="00AA3C94"/>
    <w:rsid w:val="00AA41D4"/>
    <w:rsid w:val="00AA4203"/>
    <w:rsid w:val="00AA4248"/>
    <w:rsid w:val="00AA4775"/>
    <w:rsid w:val="00AA488F"/>
    <w:rsid w:val="00AA49FD"/>
    <w:rsid w:val="00AA5111"/>
    <w:rsid w:val="00AA5515"/>
    <w:rsid w:val="00AA567F"/>
    <w:rsid w:val="00AA583C"/>
    <w:rsid w:val="00AA65CF"/>
    <w:rsid w:val="00AA6A88"/>
    <w:rsid w:val="00AA6EFF"/>
    <w:rsid w:val="00AA7769"/>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F65"/>
    <w:rsid w:val="00AB32C1"/>
    <w:rsid w:val="00AB3552"/>
    <w:rsid w:val="00AB38DC"/>
    <w:rsid w:val="00AB396F"/>
    <w:rsid w:val="00AB49C3"/>
    <w:rsid w:val="00AB4F2C"/>
    <w:rsid w:val="00AB55F8"/>
    <w:rsid w:val="00AB5DF2"/>
    <w:rsid w:val="00AB5EA8"/>
    <w:rsid w:val="00AB5EC1"/>
    <w:rsid w:val="00AB5F33"/>
    <w:rsid w:val="00AB6044"/>
    <w:rsid w:val="00AB62E5"/>
    <w:rsid w:val="00AB6C4D"/>
    <w:rsid w:val="00AB6F4D"/>
    <w:rsid w:val="00AB7866"/>
    <w:rsid w:val="00AB7E15"/>
    <w:rsid w:val="00AC1541"/>
    <w:rsid w:val="00AC18E5"/>
    <w:rsid w:val="00AC1D3B"/>
    <w:rsid w:val="00AC226A"/>
    <w:rsid w:val="00AC23E1"/>
    <w:rsid w:val="00AC242D"/>
    <w:rsid w:val="00AC246C"/>
    <w:rsid w:val="00AC2D6B"/>
    <w:rsid w:val="00AC2FB2"/>
    <w:rsid w:val="00AC31BB"/>
    <w:rsid w:val="00AC32FB"/>
    <w:rsid w:val="00AC35CC"/>
    <w:rsid w:val="00AC3ADE"/>
    <w:rsid w:val="00AC3F58"/>
    <w:rsid w:val="00AC4C92"/>
    <w:rsid w:val="00AC4E28"/>
    <w:rsid w:val="00AC4E71"/>
    <w:rsid w:val="00AC4F50"/>
    <w:rsid w:val="00AC4F7E"/>
    <w:rsid w:val="00AC5700"/>
    <w:rsid w:val="00AC5A64"/>
    <w:rsid w:val="00AC6391"/>
    <w:rsid w:val="00AC6B85"/>
    <w:rsid w:val="00AC6F14"/>
    <w:rsid w:val="00AC7042"/>
    <w:rsid w:val="00AC7147"/>
    <w:rsid w:val="00AC752F"/>
    <w:rsid w:val="00AC7B8D"/>
    <w:rsid w:val="00AC7E49"/>
    <w:rsid w:val="00AD0975"/>
    <w:rsid w:val="00AD099F"/>
    <w:rsid w:val="00AD1344"/>
    <w:rsid w:val="00AD154F"/>
    <w:rsid w:val="00AD1C10"/>
    <w:rsid w:val="00AD2E7B"/>
    <w:rsid w:val="00AD2F8F"/>
    <w:rsid w:val="00AD3685"/>
    <w:rsid w:val="00AD3B6E"/>
    <w:rsid w:val="00AD3F4F"/>
    <w:rsid w:val="00AD403C"/>
    <w:rsid w:val="00AD4153"/>
    <w:rsid w:val="00AD4838"/>
    <w:rsid w:val="00AD5156"/>
    <w:rsid w:val="00AD5420"/>
    <w:rsid w:val="00AD56CF"/>
    <w:rsid w:val="00AD58FE"/>
    <w:rsid w:val="00AD5973"/>
    <w:rsid w:val="00AD5DDB"/>
    <w:rsid w:val="00AD5E3E"/>
    <w:rsid w:val="00AD60B8"/>
    <w:rsid w:val="00AD60EF"/>
    <w:rsid w:val="00AD612C"/>
    <w:rsid w:val="00AD7030"/>
    <w:rsid w:val="00AD734C"/>
    <w:rsid w:val="00AD7922"/>
    <w:rsid w:val="00AE0413"/>
    <w:rsid w:val="00AE05BF"/>
    <w:rsid w:val="00AE0D7B"/>
    <w:rsid w:val="00AE0D8D"/>
    <w:rsid w:val="00AE23C8"/>
    <w:rsid w:val="00AE265A"/>
    <w:rsid w:val="00AE2E50"/>
    <w:rsid w:val="00AE308D"/>
    <w:rsid w:val="00AE36D1"/>
    <w:rsid w:val="00AE3DDB"/>
    <w:rsid w:val="00AE4081"/>
    <w:rsid w:val="00AE4A64"/>
    <w:rsid w:val="00AE5771"/>
    <w:rsid w:val="00AE59FC"/>
    <w:rsid w:val="00AE6AAF"/>
    <w:rsid w:val="00AE6E97"/>
    <w:rsid w:val="00AE758E"/>
    <w:rsid w:val="00AF00EA"/>
    <w:rsid w:val="00AF059D"/>
    <w:rsid w:val="00AF077D"/>
    <w:rsid w:val="00AF0992"/>
    <w:rsid w:val="00AF0C7C"/>
    <w:rsid w:val="00AF0D62"/>
    <w:rsid w:val="00AF0EB3"/>
    <w:rsid w:val="00AF102C"/>
    <w:rsid w:val="00AF1281"/>
    <w:rsid w:val="00AF129E"/>
    <w:rsid w:val="00AF14C8"/>
    <w:rsid w:val="00AF185D"/>
    <w:rsid w:val="00AF23D9"/>
    <w:rsid w:val="00AF290E"/>
    <w:rsid w:val="00AF29FA"/>
    <w:rsid w:val="00AF37D5"/>
    <w:rsid w:val="00AF381B"/>
    <w:rsid w:val="00AF3F63"/>
    <w:rsid w:val="00AF4345"/>
    <w:rsid w:val="00AF463B"/>
    <w:rsid w:val="00AF4CC5"/>
    <w:rsid w:val="00AF4D6B"/>
    <w:rsid w:val="00AF5319"/>
    <w:rsid w:val="00AF5BE8"/>
    <w:rsid w:val="00AF608B"/>
    <w:rsid w:val="00AF6A59"/>
    <w:rsid w:val="00AF749E"/>
    <w:rsid w:val="00AF7BDD"/>
    <w:rsid w:val="00AF7C97"/>
    <w:rsid w:val="00B0022B"/>
    <w:rsid w:val="00B00F8C"/>
    <w:rsid w:val="00B00FEC"/>
    <w:rsid w:val="00B01430"/>
    <w:rsid w:val="00B01861"/>
    <w:rsid w:val="00B01EB6"/>
    <w:rsid w:val="00B02145"/>
    <w:rsid w:val="00B02F0C"/>
    <w:rsid w:val="00B03415"/>
    <w:rsid w:val="00B03776"/>
    <w:rsid w:val="00B03ED8"/>
    <w:rsid w:val="00B03EDC"/>
    <w:rsid w:val="00B0401D"/>
    <w:rsid w:val="00B042D2"/>
    <w:rsid w:val="00B042DC"/>
    <w:rsid w:val="00B04464"/>
    <w:rsid w:val="00B04E8D"/>
    <w:rsid w:val="00B04F50"/>
    <w:rsid w:val="00B0542F"/>
    <w:rsid w:val="00B05A05"/>
    <w:rsid w:val="00B06495"/>
    <w:rsid w:val="00B064F1"/>
    <w:rsid w:val="00B06DA3"/>
    <w:rsid w:val="00B0714D"/>
    <w:rsid w:val="00B07B99"/>
    <w:rsid w:val="00B102A1"/>
    <w:rsid w:val="00B109DF"/>
    <w:rsid w:val="00B110D5"/>
    <w:rsid w:val="00B1185D"/>
    <w:rsid w:val="00B118E1"/>
    <w:rsid w:val="00B11A39"/>
    <w:rsid w:val="00B11A5F"/>
    <w:rsid w:val="00B11A9A"/>
    <w:rsid w:val="00B120CF"/>
    <w:rsid w:val="00B1210E"/>
    <w:rsid w:val="00B1243E"/>
    <w:rsid w:val="00B129BD"/>
    <w:rsid w:val="00B12BDA"/>
    <w:rsid w:val="00B13D2B"/>
    <w:rsid w:val="00B13E98"/>
    <w:rsid w:val="00B13F2E"/>
    <w:rsid w:val="00B14011"/>
    <w:rsid w:val="00B14059"/>
    <w:rsid w:val="00B143FF"/>
    <w:rsid w:val="00B14793"/>
    <w:rsid w:val="00B15075"/>
    <w:rsid w:val="00B15774"/>
    <w:rsid w:val="00B15D6A"/>
    <w:rsid w:val="00B15DB9"/>
    <w:rsid w:val="00B16794"/>
    <w:rsid w:val="00B17535"/>
    <w:rsid w:val="00B1780E"/>
    <w:rsid w:val="00B17A1B"/>
    <w:rsid w:val="00B200D3"/>
    <w:rsid w:val="00B2060E"/>
    <w:rsid w:val="00B20DCF"/>
    <w:rsid w:val="00B20F8A"/>
    <w:rsid w:val="00B215EB"/>
    <w:rsid w:val="00B22522"/>
    <w:rsid w:val="00B2288A"/>
    <w:rsid w:val="00B23DA1"/>
    <w:rsid w:val="00B241C3"/>
    <w:rsid w:val="00B24D66"/>
    <w:rsid w:val="00B24FD5"/>
    <w:rsid w:val="00B253DF"/>
    <w:rsid w:val="00B258AF"/>
    <w:rsid w:val="00B264B0"/>
    <w:rsid w:val="00B26A84"/>
    <w:rsid w:val="00B26CDB"/>
    <w:rsid w:val="00B26D88"/>
    <w:rsid w:val="00B26ECF"/>
    <w:rsid w:val="00B27444"/>
    <w:rsid w:val="00B27734"/>
    <w:rsid w:val="00B27771"/>
    <w:rsid w:val="00B27787"/>
    <w:rsid w:val="00B278D7"/>
    <w:rsid w:val="00B3091E"/>
    <w:rsid w:val="00B31602"/>
    <w:rsid w:val="00B319FE"/>
    <w:rsid w:val="00B3232C"/>
    <w:rsid w:val="00B32A61"/>
    <w:rsid w:val="00B32CF3"/>
    <w:rsid w:val="00B331B8"/>
    <w:rsid w:val="00B33786"/>
    <w:rsid w:val="00B337A4"/>
    <w:rsid w:val="00B34725"/>
    <w:rsid w:val="00B355F0"/>
    <w:rsid w:val="00B3578C"/>
    <w:rsid w:val="00B35BD5"/>
    <w:rsid w:val="00B35DB4"/>
    <w:rsid w:val="00B36D9E"/>
    <w:rsid w:val="00B37311"/>
    <w:rsid w:val="00B373FB"/>
    <w:rsid w:val="00B37975"/>
    <w:rsid w:val="00B4082B"/>
    <w:rsid w:val="00B4106F"/>
    <w:rsid w:val="00B41BD0"/>
    <w:rsid w:val="00B41BE7"/>
    <w:rsid w:val="00B424F7"/>
    <w:rsid w:val="00B42568"/>
    <w:rsid w:val="00B43035"/>
    <w:rsid w:val="00B4316E"/>
    <w:rsid w:val="00B432E6"/>
    <w:rsid w:val="00B4339F"/>
    <w:rsid w:val="00B4381B"/>
    <w:rsid w:val="00B4383C"/>
    <w:rsid w:val="00B43B68"/>
    <w:rsid w:val="00B43DB9"/>
    <w:rsid w:val="00B4403D"/>
    <w:rsid w:val="00B45847"/>
    <w:rsid w:val="00B460A1"/>
    <w:rsid w:val="00B46275"/>
    <w:rsid w:val="00B464C7"/>
    <w:rsid w:val="00B4658A"/>
    <w:rsid w:val="00B4733F"/>
    <w:rsid w:val="00B4758E"/>
    <w:rsid w:val="00B47CBB"/>
    <w:rsid w:val="00B5069B"/>
    <w:rsid w:val="00B5083E"/>
    <w:rsid w:val="00B50ADB"/>
    <w:rsid w:val="00B50ED6"/>
    <w:rsid w:val="00B51604"/>
    <w:rsid w:val="00B51605"/>
    <w:rsid w:val="00B518FE"/>
    <w:rsid w:val="00B51F64"/>
    <w:rsid w:val="00B52D1F"/>
    <w:rsid w:val="00B53B4E"/>
    <w:rsid w:val="00B53C5F"/>
    <w:rsid w:val="00B54492"/>
    <w:rsid w:val="00B54BD8"/>
    <w:rsid w:val="00B54E20"/>
    <w:rsid w:val="00B5596C"/>
    <w:rsid w:val="00B55AC2"/>
    <w:rsid w:val="00B55D09"/>
    <w:rsid w:val="00B55FDD"/>
    <w:rsid w:val="00B569B2"/>
    <w:rsid w:val="00B56FBD"/>
    <w:rsid w:val="00B5715A"/>
    <w:rsid w:val="00B57327"/>
    <w:rsid w:val="00B57484"/>
    <w:rsid w:val="00B57A3A"/>
    <w:rsid w:val="00B6002D"/>
    <w:rsid w:val="00B6010B"/>
    <w:rsid w:val="00B60FF5"/>
    <w:rsid w:val="00B61262"/>
    <w:rsid w:val="00B61DBF"/>
    <w:rsid w:val="00B6210A"/>
    <w:rsid w:val="00B6220A"/>
    <w:rsid w:val="00B623EA"/>
    <w:rsid w:val="00B629DD"/>
    <w:rsid w:val="00B629F3"/>
    <w:rsid w:val="00B63ACD"/>
    <w:rsid w:val="00B640CF"/>
    <w:rsid w:val="00B64DEF"/>
    <w:rsid w:val="00B65828"/>
    <w:rsid w:val="00B65920"/>
    <w:rsid w:val="00B659F7"/>
    <w:rsid w:val="00B65E01"/>
    <w:rsid w:val="00B665BB"/>
    <w:rsid w:val="00B66800"/>
    <w:rsid w:val="00B668CA"/>
    <w:rsid w:val="00B669C3"/>
    <w:rsid w:val="00B669E8"/>
    <w:rsid w:val="00B66AB0"/>
    <w:rsid w:val="00B67348"/>
    <w:rsid w:val="00B677D7"/>
    <w:rsid w:val="00B7095E"/>
    <w:rsid w:val="00B70C27"/>
    <w:rsid w:val="00B70ED8"/>
    <w:rsid w:val="00B710E0"/>
    <w:rsid w:val="00B7115D"/>
    <w:rsid w:val="00B7162D"/>
    <w:rsid w:val="00B71E56"/>
    <w:rsid w:val="00B7211C"/>
    <w:rsid w:val="00B727DF"/>
    <w:rsid w:val="00B72CF9"/>
    <w:rsid w:val="00B72EE9"/>
    <w:rsid w:val="00B73637"/>
    <w:rsid w:val="00B73B61"/>
    <w:rsid w:val="00B73D34"/>
    <w:rsid w:val="00B742C1"/>
    <w:rsid w:val="00B74720"/>
    <w:rsid w:val="00B74C99"/>
    <w:rsid w:val="00B75032"/>
    <w:rsid w:val="00B750D5"/>
    <w:rsid w:val="00B7591C"/>
    <w:rsid w:val="00B75D1D"/>
    <w:rsid w:val="00B75E98"/>
    <w:rsid w:val="00B76A3F"/>
    <w:rsid w:val="00B76A7D"/>
    <w:rsid w:val="00B76CE1"/>
    <w:rsid w:val="00B776D5"/>
    <w:rsid w:val="00B779CC"/>
    <w:rsid w:val="00B77B7E"/>
    <w:rsid w:val="00B80744"/>
    <w:rsid w:val="00B80979"/>
    <w:rsid w:val="00B818AA"/>
    <w:rsid w:val="00B818BA"/>
    <w:rsid w:val="00B81B66"/>
    <w:rsid w:val="00B81BC2"/>
    <w:rsid w:val="00B81C75"/>
    <w:rsid w:val="00B81D8F"/>
    <w:rsid w:val="00B81EEF"/>
    <w:rsid w:val="00B81F26"/>
    <w:rsid w:val="00B83095"/>
    <w:rsid w:val="00B83200"/>
    <w:rsid w:val="00B83BCB"/>
    <w:rsid w:val="00B840BB"/>
    <w:rsid w:val="00B84A69"/>
    <w:rsid w:val="00B84C9F"/>
    <w:rsid w:val="00B8525F"/>
    <w:rsid w:val="00B856E9"/>
    <w:rsid w:val="00B85774"/>
    <w:rsid w:val="00B859B6"/>
    <w:rsid w:val="00B86429"/>
    <w:rsid w:val="00B8648F"/>
    <w:rsid w:val="00B866C7"/>
    <w:rsid w:val="00B86835"/>
    <w:rsid w:val="00B86EFB"/>
    <w:rsid w:val="00B87552"/>
    <w:rsid w:val="00B87563"/>
    <w:rsid w:val="00B87EBC"/>
    <w:rsid w:val="00B87FF0"/>
    <w:rsid w:val="00B90791"/>
    <w:rsid w:val="00B90825"/>
    <w:rsid w:val="00B9084F"/>
    <w:rsid w:val="00B90862"/>
    <w:rsid w:val="00B90DD5"/>
    <w:rsid w:val="00B90E4E"/>
    <w:rsid w:val="00B912EC"/>
    <w:rsid w:val="00B917AC"/>
    <w:rsid w:val="00B91C02"/>
    <w:rsid w:val="00B91F77"/>
    <w:rsid w:val="00B926AC"/>
    <w:rsid w:val="00B92A43"/>
    <w:rsid w:val="00B92E6B"/>
    <w:rsid w:val="00B93043"/>
    <w:rsid w:val="00B93431"/>
    <w:rsid w:val="00B93500"/>
    <w:rsid w:val="00B93D97"/>
    <w:rsid w:val="00B93DBA"/>
    <w:rsid w:val="00B94392"/>
    <w:rsid w:val="00B955F5"/>
    <w:rsid w:val="00B95663"/>
    <w:rsid w:val="00B95A36"/>
    <w:rsid w:val="00B95B19"/>
    <w:rsid w:val="00B95CCC"/>
    <w:rsid w:val="00B95F44"/>
    <w:rsid w:val="00B967B0"/>
    <w:rsid w:val="00B968F0"/>
    <w:rsid w:val="00B96D3C"/>
    <w:rsid w:val="00B97577"/>
    <w:rsid w:val="00BA03D6"/>
    <w:rsid w:val="00BA0FE9"/>
    <w:rsid w:val="00BA139F"/>
    <w:rsid w:val="00BA1928"/>
    <w:rsid w:val="00BA1A0B"/>
    <w:rsid w:val="00BA1E85"/>
    <w:rsid w:val="00BA29AA"/>
    <w:rsid w:val="00BA2B66"/>
    <w:rsid w:val="00BA327D"/>
    <w:rsid w:val="00BA359B"/>
    <w:rsid w:val="00BA3A93"/>
    <w:rsid w:val="00BA3C8A"/>
    <w:rsid w:val="00BA4D05"/>
    <w:rsid w:val="00BA5165"/>
    <w:rsid w:val="00BA5599"/>
    <w:rsid w:val="00BA5A40"/>
    <w:rsid w:val="00BA5FD5"/>
    <w:rsid w:val="00BA62AB"/>
    <w:rsid w:val="00BA6507"/>
    <w:rsid w:val="00BA6A57"/>
    <w:rsid w:val="00BA6CAF"/>
    <w:rsid w:val="00BA711A"/>
    <w:rsid w:val="00BA7E0B"/>
    <w:rsid w:val="00BB0A3B"/>
    <w:rsid w:val="00BB0DE3"/>
    <w:rsid w:val="00BB0EA0"/>
    <w:rsid w:val="00BB10CD"/>
    <w:rsid w:val="00BB10F0"/>
    <w:rsid w:val="00BB122E"/>
    <w:rsid w:val="00BB190B"/>
    <w:rsid w:val="00BB1F37"/>
    <w:rsid w:val="00BB25BB"/>
    <w:rsid w:val="00BB2906"/>
    <w:rsid w:val="00BB3DBA"/>
    <w:rsid w:val="00BB4A6F"/>
    <w:rsid w:val="00BB4FAE"/>
    <w:rsid w:val="00BB56B1"/>
    <w:rsid w:val="00BB5759"/>
    <w:rsid w:val="00BB5A30"/>
    <w:rsid w:val="00BB5A5F"/>
    <w:rsid w:val="00BB5B98"/>
    <w:rsid w:val="00BB6EA9"/>
    <w:rsid w:val="00BB7283"/>
    <w:rsid w:val="00BB775E"/>
    <w:rsid w:val="00BB7BAC"/>
    <w:rsid w:val="00BC08D8"/>
    <w:rsid w:val="00BC08FC"/>
    <w:rsid w:val="00BC0A70"/>
    <w:rsid w:val="00BC1753"/>
    <w:rsid w:val="00BC202D"/>
    <w:rsid w:val="00BC213B"/>
    <w:rsid w:val="00BC2964"/>
    <w:rsid w:val="00BC2AC0"/>
    <w:rsid w:val="00BC3112"/>
    <w:rsid w:val="00BC339D"/>
    <w:rsid w:val="00BC36C3"/>
    <w:rsid w:val="00BC3776"/>
    <w:rsid w:val="00BC3D8E"/>
    <w:rsid w:val="00BC3E7F"/>
    <w:rsid w:val="00BC41B5"/>
    <w:rsid w:val="00BC430B"/>
    <w:rsid w:val="00BC4B86"/>
    <w:rsid w:val="00BC4C63"/>
    <w:rsid w:val="00BC54D1"/>
    <w:rsid w:val="00BC6308"/>
    <w:rsid w:val="00BC63FE"/>
    <w:rsid w:val="00BC666D"/>
    <w:rsid w:val="00BC67A4"/>
    <w:rsid w:val="00BC6B4D"/>
    <w:rsid w:val="00BC6C4F"/>
    <w:rsid w:val="00BC76AA"/>
    <w:rsid w:val="00BD0018"/>
    <w:rsid w:val="00BD00CD"/>
    <w:rsid w:val="00BD0D52"/>
    <w:rsid w:val="00BD1290"/>
    <w:rsid w:val="00BD1CFB"/>
    <w:rsid w:val="00BD27CF"/>
    <w:rsid w:val="00BD2B8F"/>
    <w:rsid w:val="00BD320D"/>
    <w:rsid w:val="00BD35B9"/>
    <w:rsid w:val="00BD36EC"/>
    <w:rsid w:val="00BD3A42"/>
    <w:rsid w:val="00BD41EF"/>
    <w:rsid w:val="00BD4A52"/>
    <w:rsid w:val="00BD4F6B"/>
    <w:rsid w:val="00BD51CA"/>
    <w:rsid w:val="00BD5CD2"/>
    <w:rsid w:val="00BD77DE"/>
    <w:rsid w:val="00BD79C2"/>
    <w:rsid w:val="00BD7E86"/>
    <w:rsid w:val="00BE0658"/>
    <w:rsid w:val="00BE0F37"/>
    <w:rsid w:val="00BE1143"/>
    <w:rsid w:val="00BE12CA"/>
    <w:rsid w:val="00BE1835"/>
    <w:rsid w:val="00BE1F2E"/>
    <w:rsid w:val="00BE1FA7"/>
    <w:rsid w:val="00BE2AD7"/>
    <w:rsid w:val="00BE2BA6"/>
    <w:rsid w:val="00BE2BAA"/>
    <w:rsid w:val="00BE321F"/>
    <w:rsid w:val="00BE33C0"/>
    <w:rsid w:val="00BE3552"/>
    <w:rsid w:val="00BE439F"/>
    <w:rsid w:val="00BE4F8D"/>
    <w:rsid w:val="00BE590A"/>
    <w:rsid w:val="00BE7323"/>
    <w:rsid w:val="00BE770F"/>
    <w:rsid w:val="00BE778C"/>
    <w:rsid w:val="00BF01D4"/>
    <w:rsid w:val="00BF179E"/>
    <w:rsid w:val="00BF1F1F"/>
    <w:rsid w:val="00BF20FB"/>
    <w:rsid w:val="00BF2997"/>
    <w:rsid w:val="00BF3915"/>
    <w:rsid w:val="00BF3C03"/>
    <w:rsid w:val="00BF4C22"/>
    <w:rsid w:val="00BF4CD1"/>
    <w:rsid w:val="00BF4DD7"/>
    <w:rsid w:val="00BF51E4"/>
    <w:rsid w:val="00BF53E6"/>
    <w:rsid w:val="00BF6043"/>
    <w:rsid w:val="00BF6C94"/>
    <w:rsid w:val="00BF76ED"/>
    <w:rsid w:val="00C00156"/>
    <w:rsid w:val="00C002E0"/>
    <w:rsid w:val="00C003C3"/>
    <w:rsid w:val="00C0060F"/>
    <w:rsid w:val="00C006F6"/>
    <w:rsid w:val="00C00838"/>
    <w:rsid w:val="00C008C6"/>
    <w:rsid w:val="00C00BE6"/>
    <w:rsid w:val="00C00F80"/>
    <w:rsid w:val="00C01250"/>
    <w:rsid w:val="00C015F1"/>
    <w:rsid w:val="00C01619"/>
    <w:rsid w:val="00C01C52"/>
    <w:rsid w:val="00C01E16"/>
    <w:rsid w:val="00C03041"/>
    <w:rsid w:val="00C03815"/>
    <w:rsid w:val="00C03982"/>
    <w:rsid w:val="00C03B5B"/>
    <w:rsid w:val="00C041F4"/>
    <w:rsid w:val="00C042C2"/>
    <w:rsid w:val="00C04C59"/>
    <w:rsid w:val="00C04D2F"/>
    <w:rsid w:val="00C0524E"/>
    <w:rsid w:val="00C05428"/>
    <w:rsid w:val="00C057F7"/>
    <w:rsid w:val="00C058A3"/>
    <w:rsid w:val="00C05E05"/>
    <w:rsid w:val="00C0711F"/>
    <w:rsid w:val="00C07465"/>
    <w:rsid w:val="00C077E1"/>
    <w:rsid w:val="00C107BE"/>
    <w:rsid w:val="00C10BD0"/>
    <w:rsid w:val="00C10C03"/>
    <w:rsid w:val="00C112F7"/>
    <w:rsid w:val="00C1161D"/>
    <w:rsid w:val="00C11E56"/>
    <w:rsid w:val="00C12676"/>
    <w:rsid w:val="00C12761"/>
    <w:rsid w:val="00C12CC4"/>
    <w:rsid w:val="00C12CE6"/>
    <w:rsid w:val="00C12D9C"/>
    <w:rsid w:val="00C13208"/>
    <w:rsid w:val="00C133F5"/>
    <w:rsid w:val="00C1360E"/>
    <w:rsid w:val="00C13819"/>
    <w:rsid w:val="00C13CCA"/>
    <w:rsid w:val="00C142EA"/>
    <w:rsid w:val="00C14AD2"/>
    <w:rsid w:val="00C14CA5"/>
    <w:rsid w:val="00C15233"/>
    <w:rsid w:val="00C15BE1"/>
    <w:rsid w:val="00C15DF7"/>
    <w:rsid w:val="00C160D9"/>
    <w:rsid w:val="00C16B32"/>
    <w:rsid w:val="00C16FF1"/>
    <w:rsid w:val="00C17089"/>
    <w:rsid w:val="00C1715B"/>
    <w:rsid w:val="00C1757F"/>
    <w:rsid w:val="00C178B2"/>
    <w:rsid w:val="00C17B74"/>
    <w:rsid w:val="00C17BCC"/>
    <w:rsid w:val="00C20358"/>
    <w:rsid w:val="00C2059D"/>
    <w:rsid w:val="00C207F8"/>
    <w:rsid w:val="00C20A09"/>
    <w:rsid w:val="00C20AEB"/>
    <w:rsid w:val="00C20F22"/>
    <w:rsid w:val="00C21FD9"/>
    <w:rsid w:val="00C21FF8"/>
    <w:rsid w:val="00C220EC"/>
    <w:rsid w:val="00C220F2"/>
    <w:rsid w:val="00C223A0"/>
    <w:rsid w:val="00C22BD3"/>
    <w:rsid w:val="00C23BBD"/>
    <w:rsid w:val="00C2455C"/>
    <w:rsid w:val="00C24638"/>
    <w:rsid w:val="00C24719"/>
    <w:rsid w:val="00C24A62"/>
    <w:rsid w:val="00C24C73"/>
    <w:rsid w:val="00C25C1C"/>
    <w:rsid w:val="00C26495"/>
    <w:rsid w:val="00C27123"/>
    <w:rsid w:val="00C273ED"/>
    <w:rsid w:val="00C27447"/>
    <w:rsid w:val="00C27891"/>
    <w:rsid w:val="00C27D45"/>
    <w:rsid w:val="00C300F5"/>
    <w:rsid w:val="00C309AF"/>
    <w:rsid w:val="00C30AED"/>
    <w:rsid w:val="00C30B41"/>
    <w:rsid w:val="00C31073"/>
    <w:rsid w:val="00C314B5"/>
    <w:rsid w:val="00C31AC9"/>
    <w:rsid w:val="00C32570"/>
    <w:rsid w:val="00C32C1E"/>
    <w:rsid w:val="00C32D53"/>
    <w:rsid w:val="00C32F69"/>
    <w:rsid w:val="00C3312E"/>
    <w:rsid w:val="00C337E8"/>
    <w:rsid w:val="00C33CD5"/>
    <w:rsid w:val="00C340B6"/>
    <w:rsid w:val="00C340CF"/>
    <w:rsid w:val="00C34101"/>
    <w:rsid w:val="00C34668"/>
    <w:rsid w:val="00C348FE"/>
    <w:rsid w:val="00C34C06"/>
    <w:rsid w:val="00C34E97"/>
    <w:rsid w:val="00C34FBC"/>
    <w:rsid w:val="00C35087"/>
    <w:rsid w:val="00C3523B"/>
    <w:rsid w:val="00C354ED"/>
    <w:rsid w:val="00C3593C"/>
    <w:rsid w:val="00C35947"/>
    <w:rsid w:val="00C36BD5"/>
    <w:rsid w:val="00C36C3F"/>
    <w:rsid w:val="00C36FFE"/>
    <w:rsid w:val="00C37980"/>
    <w:rsid w:val="00C37C9E"/>
    <w:rsid w:val="00C40A83"/>
    <w:rsid w:val="00C40D37"/>
    <w:rsid w:val="00C412E1"/>
    <w:rsid w:val="00C416FD"/>
    <w:rsid w:val="00C419DE"/>
    <w:rsid w:val="00C41E73"/>
    <w:rsid w:val="00C41FA0"/>
    <w:rsid w:val="00C421E0"/>
    <w:rsid w:val="00C4271F"/>
    <w:rsid w:val="00C42A6C"/>
    <w:rsid w:val="00C42B60"/>
    <w:rsid w:val="00C42FCD"/>
    <w:rsid w:val="00C437E5"/>
    <w:rsid w:val="00C43E4A"/>
    <w:rsid w:val="00C43FD4"/>
    <w:rsid w:val="00C4445E"/>
    <w:rsid w:val="00C44846"/>
    <w:rsid w:val="00C45A51"/>
    <w:rsid w:val="00C45D91"/>
    <w:rsid w:val="00C469E3"/>
    <w:rsid w:val="00C47155"/>
    <w:rsid w:val="00C47987"/>
    <w:rsid w:val="00C47CD2"/>
    <w:rsid w:val="00C47D56"/>
    <w:rsid w:val="00C510DE"/>
    <w:rsid w:val="00C5182C"/>
    <w:rsid w:val="00C521BE"/>
    <w:rsid w:val="00C536E4"/>
    <w:rsid w:val="00C538AE"/>
    <w:rsid w:val="00C53C32"/>
    <w:rsid w:val="00C53E7A"/>
    <w:rsid w:val="00C53F70"/>
    <w:rsid w:val="00C54492"/>
    <w:rsid w:val="00C544B6"/>
    <w:rsid w:val="00C54601"/>
    <w:rsid w:val="00C54E26"/>
    <w:rsid w:val="00C55285"/>
    <w:rsid w:val="00C56A84"/>
    <w:rsid w:val="00C575E8"/>
    <w:rsid w:val="00C5777E"/>
    <w:rsid w:val="00C57EB0"/>
    <w:rsid w:val="00C60984"/>
    <w:rsid w:val="00C60E33"/>
    <w:rsid w:val="00C6111A"/>
    <w:rsid w:val="00C61801"/>
    <w:rsid w:val="00C618DF"/>
    <w:rsid w:val="00C62DD0"/>
    <w:rsid w:val="00C63E4C"/>
    <w:rsid w:val="00C65030"/>
    <w:rsid w:val="00C652A1"/>
    <w:rsid w:val="00C655E4"/>
    <w:rsid w:val="00C6565C"/>
    <w:rsid w:val="00C65738"/>
    <w:rsid w:val="00C6590A"/>
    <w:rsid w:val="00C65BBC"/>
    <w:rsid w:val="00C65FFB"/>
    <w:rsid w:val="00C660A5"/>
    <w:rsid w:val="00C66663"/>
    <w:rsid w:val="00C666E1"/>
    <w:rsid w:val="00C668D8"/>
    <w:rsid w:val="00C66BCD"/>
    <w:rsid w:val="00C66E74"/>
    <w:rsid w:val="00C67029"/>
    <w:rsid w:val="00C674FD"/>
    <w:rsid w:val="00C70099"/>
    <w:rsid w:val="00C70B38"/>
    <w:rsid w:val="00C70B43"/>
    <w:rsid w:val="00C71A56"/>
    <w:rsid w:val="00C72CE4"/>
    <w:rsid w:val="00C72E58"/>
    <w:rsid w:val="00C7300B"/>
    <w:rsid w:val="00C73044"/>
    <w:rsid w:val="00C730CC"/>
    <w:rsid w:val="00C744C2"/>
    <w:rsid w:val="00C7532A"/>
    <w:rsid w:val="00C75721"/>
    <w:rsid w:val="00C760A6"/>
    <w:rsid w:val="00C762B7"/>
    <w:rsid w:val="00C76682"/>
    <w:rsid w:val="00C76825"/>
    <w:rsid w:val="00C77078"/>
    <w:rsid w:val="00C77C4B"/>
    <w:rsid w:val="00C77D50"/>
    <w:rsid w:val="00C80962"/>
    <w:rsid w:val="00C80DC6"/>
    <w:rsid w:val="00C815E4"/>
    <w:rsid w:val="00C81CD0"/>
    <w:rsid w:val="00C8290C"/>
    <w:rsid w:val="00C83F6E"/>
    <w:rsid w:val="00C84C0F"/>
    <w:rsid w:val="00C8512B"/>
    <w:rsid w:val="00C858C8"/>
    <w:rsid w:val="00C85A79"/>
    <w:rsid w:val="00C86242"/>
    <w:rsid w:val="00C86A9A"/>
    <w:rsid w:val="00C86D64"/>
    <w:rsid w:val="00C87625"/>
    <w:rsid w:val="00C87CDD"/>
    <w:rsid w:val="00C87F3D"/>
    <w:rsid w:val="00C9079F"/>
    <w:rsid w:val="00C909EE"/>
    <w:rsid w:val="00C90AEE"/>
    <w:rsid w:val="00C90E27"/>
    <w:rsid w:val="00C910ED"/>
    <w:rsid w:val="00C914C9"/>
    <w:rsid w:val="00C9156F"/>
    <w:rsid w:val="00C91601"/>
    <w:rsid w:val="00C916FD"/>
    <w:rsid w:val="00C917FB"/>
    <w:rsid w:val="00C918B8"/>
    <w:rsid w:val="00C91E57"/>
    <w:rsid w:val="00C922E8"/>
    <w:rsid w:val="00C92B92"/>
    <w:rsid w:val="00C93188"/>
    <w:rsid w:val="00C93247"/>
    <w:rsid w:val="00C94EF3"/>
    <w:rsid w:val="00C952A9"/>
    <w:rsid w:val="00C9534F"/>
    <w:rsid w:val="00C95E98"/>
    <w:rsid w:val="00C95F67"/>
    <w:rsid w:val="00C961C0"/>
    <w:rsid w:val="00C965E4"/>
    <w:rsid w:val="00C9739A"/>
    <w:rsid w:val="00C97D95"/>
    <w:rsid w:val="00C97EE5"/>
    <w:rsid w:val="00CA01FF"/>
    <w:rsid w:val="00CA091C"/>
    <w:rsid w:val="00CA0C6A"/>
    <w:rsid w:val="00CA13BF"/>
    <w:rsid w:val="00CA13F7"/>
    <w:rsid w:val="00CA1463"/>
    <w:rsid w:val="00CA14DE"/>
    <w:rsid w:val="00CA157F"/>
    <w:rsid w:val="00CA2A57"/>
    <w:rsid w:val="00CA2C4B"/>
    <w:rsid w:val="00CA3097"/>
    <w:rsid w:val="00CA30A9"/>
    <w:rsid w:val="00CA35EC"/>
    <w:rsid w:val="00CA3D36"/>
    <w:rsid w:val="00CA3EC4"/>
    <w:rsid w:val="00CA4249"/>
    <w:rsid w:val="00CA4EF3"/>
    <w:rsid w:val="00CA4F65"/>
    <w:rsid w:val="00CA575F"/>
    <w:rsid w:val="00CA5766"/>
    <w:rsid w:val="00CA6F7C"/>
    <w:rsid w:val="00CB0076"/>
    <w:rsid w:val="00CB0652"/>
    <w:rsid w:val="00CB06CE"/>
    <w:rsid w:val="00CB0A8A"/>
    <w:rsid w:val="00CB138C"/>
    <w:rsid w:val="00CB166F"/>
    <w:rsid w:val="00CB16BA"/>
    <w:rsid w:val="00CB1BD3"/>
    <w:rsid w:val="00CB21EF"/>
    <w:rsid w:val="00CB26B1"/>
    <w:rsid w:val="00CB2714"/>
    <w:rsid w:val="00CB2824"/>
    <w:rsid w:val="00CB2C75"/>
    <w:rsid w:val="00CB2E3E"/>
    <w:rsid w:val="00CB2F95"/>
    <w:rsid w:val="00CB30E7"/>
    <w:rsid w:val="00CB3270"/>
    <w:rsid w:val="00CB3359"/>
    <w:rsid w:val="00CB33B8"/>
    <w:rsid w:val="00CB3E1B"/>
    <w:rsid w:val="00CB3E41"/>
    <w:rsid w:val="00CB411F"/>
    <w:rsid w:val="00CB413B"/>
    <w:rsid w:val="00CB45CB"/>
    <w:rsid w:val="00CB47D7"/>
    <w:rsid w:val="00CB4DA4"/>
    <w:rsid w:val="00CB557A"/>
    <w:rsid w:val="00CB55D2"/>
    <w:rsid w:val="00CB58C5"/>
    <w:rsid w:val="00CB5AEB"/>
    <w:rsid w:val="00CB6108"/>
    <w:rsid w:val="00CB644A"/>
    <w:rsid w:val="00CB7071"/>
    <w:rsid w:val="00CB70FF"/>
    <w:rsid w:val="00CB7318"/>
    <w:rsid w:val="00CB73AE"/>
    <w:rsid w:val="00CB75F9"/>
    <w:rsid w:val="00CB7D14"/>
    <w:rsid w:val="00CB7D9F"/>
    <w:rsid w:val="00CC0203"/>
    <w:rsid w:val="00CC0588"/>
    <w:rsid w:val="00CC07A1"/>
    <w:rsid w:val="00CC0824"/>
    <w:rsid w:val="00CC08D7"/>
    <w:rsid w:val="00CC0A9A"/>
    <w:rsid w:val="00CC0EA3"/>
    <w:rsid w:val="00CC0F59"/>
    <w:rsid w:val="00CC156F"/>
    <w:rsid w:val="00CC2B9C"/>
    <w:rsid w:val="00CC326E"/>
    <w:rsid w:val="00CC37B4"/>
    <w:rsid w:val="00CC38EE"/>
    <w:rsid w:val="00CC49C3"/>
    <w:rsid w:val="00CC566D"/>
    <w:rsid w:val="00CC566E"/>
    <w:rsid w:val="00CC6516"/>
    <w:rsid w:val="00CC6AA6"/>
    <w:rsid w:val="00CC6ACF"/>
    <w:rsid w:val="00CC6C60"/>
    <w:rsid w:val="00CC6CA9"/>
    <w:rsid w:val="00CC722F"/>
    <w:rsid w:val="00CC726E"/>
    <w:rsid w:val="00CC7476"/>
    <w:rsid w:val="00CC74F8"/>
    <w:rsid w:val="00CC75EE"/>
    <w:rsid w:val="00CD032E"/>
    <w:rsid w:val="00CD0BAE"/>
    <w:rsid w:val="00CD1017"/>
    <w:rsid w:val="00CD129C"/>
    <w:rsid w:val="00CD12BA"/>
    <w:rsid w:val="00CD181E"/>
    <w:rsid w:val="00CD2ABC"/>
    <w:rsid w:val="00CD2C45"/>
    <w:rsid w:val="00CD2C7B"/>
    <w:rsid w:val="00CD2FAD"/>
    <w:rsid w:val="00CD3712"/>
    <w:rsid w:val="00CD3817"/>
    <w:rsid w:val="00CD387C"/>
    <w:rsid w:val="00CD474C"/>
    <w:rsid w:val="00CD54EA"/>
    <w:rsid w:val="00CD5589"/>
    <w:rsid w:val="00CD5CCC"/>
    <w:rsid w:val="00CD5EDB"/>
    <w:rsid w:val="00CD6B16"/>
    <w:rsid w:val="00CD6B5E"/>
    <w:rsid w:val="00CD7422"/>
    <w:rsid w:val="00CD76B5"/>
    <w:rsid w:val="00CE0950"/>
    <w:rsid w:val="00CE0FC5"/>
    <w:rsid w:val="00CE11D8"/>
    <w:rsid w:val="00CE1648"/>
    <w:rsid w:val="00CE18C9"/>
    <w:rsid w:val="00CE1A90"/>
    <w:rsid w:val="00CE1B73"/>
    <w:rsid w:val="00CE1C5C"/>
    <w:rsid w:val="00CE1CA9"/>
    <w:rsid w:val="00CE1E07"/>
    <w:rsid w:val="00CE216D"/>
    <w:rsid w:val="00CE2567"/>
    <w:rsid w:val="00CE2A65"/>
    <w:rsid w:val="00CE2DAC"/>
    <w:rsid w:val="00CE3037"/>
    <w:rsid w:val="00CE32AD"/>
    <w:rsid w:val="00CE3361"/>
    <w:rsid w:val="00CE3F49"/>
    <w:rsid w:val="00CE49B0"/>
    <w:rsid w:val="00CE4EA8"/>
    <w:rsid w:val="00CE5261"/>
    <w:rsid w:val="00CE584B"/>
    <w:rsid w:val="00CE5A0A"/>
    <w:rsid w:val="00CE607F"/>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2D39"/>
    <w:rsid w:val="00CF3828"/>
    <w:rsid w:val="00CF39B2"/>
    <w:rsid w:val="00CF3E3D"/>
    <w:rsid w:val="00CF4060"/>
    <w:rsid w:val="00CF4BEF"/>
    <w:rsid w:val="00CF4C2C"/>
    <w:rsid w:val="00CF52EB"/>
    <w:rsid w:val="00CF585D"/>
    <w:rsid w:val="00CF5CA8"/>
    <w:rsid w:val="00CF6408"/>
    <w:rsid w:val="00CF6514"/>
    <w:rsid w:val="00CF6E4E"/>
    <w:rsid w:val="00CF7073"/>
    <w:rsid w:val="00CF72BD"/>
    <w:rsid w:val="00CF767E"/>
    <w:rsid w:val="00CF7681"/>
    <w:rsid w:val="00CF78C0"/>
    <w:rsid w:val="00D015A8"/>
    <w:rsid w:val="00D01624"/>
    <w:rsid w:val="00D01BF0"/>
    <w:rsid w:val="00D02074"/>
    <w:rsid w:val="00D024F9"/>
    <w:rsid w:val="00D027F9"/>
    <w:rsid w:val="00D02A55"/>
    <w:rsid w:val="00D02E25"/>
    <w:rsid w:val="00D032AA"/>
    <w:rsid w:val="00D03A3E"/>
    <w:rsid w:val="00D03B1A"/>
    <w:rsid w:val="00D03E97"/>
    <w:rsid w:val="00D040BB"/>
    <w:rsid w:val="00D04BBE"/>
    <w:rsid w:val="00D04E3B"/>
    <w:rsid w:val="00D056E9"/>
    <w:rsid w:val="00D059BC"/>
    <w:rsid w:val="00D05C23"/>
    <w:rsid w:val="00D05CB6"/>
    <w:rsid w:val="00D061E5"/>
    <w:rsid w:val="00D06325"/>
    <w:rsid w:val="00D07170"/>
    <w:rsid w:val="00D07684"/>
    <w:rsid w:val="00D076A6"/>
    <w:rsid w:val="00D07F59"/>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420"/>
    <w:rsid w:val="00D1564A"/>
    <w:rsid w:val="00D156E5"/>
    <w:rsid w:val="00D15AF0"/>
    <w:rsid w:val="00D16747"/>
    <w:rsid w:val="00D175C7"/>
    <w:rsid w:val="00D17E09"/>
    <w:rsid w:val="00D17FF0"/>
    <w:rsid w:val="00D2052C"/>
    <w:rsid w:val="00D20886"/>
    <w:rsid w:val="00D21735"/>
    <w:rsid w:val="00D22E00"/>
    <w:rsid w:val="00D23009"/>
    <w:rsid w:val="00D23CF4"/>
    <w:rsid w:val="00D24555"/>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427"/>
    <w:rsid w:val="00D329F9"/>
    <w:rsid w:val="00D32CDD"/>
    <w:rsid w:val="00D32E0D"/>
    <w:rsid w:val="00D3326D"/>
    <w:rsid w:val="00D33977"/>
    <w:rsid w:val="00D34097"/>
    <w:rsid w:val="00D35240"/>
    <w:rsid w:val="00D3544C"/>
    <w:rsid w:val="00D36DA4"/>
    <w:rsid w:val="00D3719F"/>
    <w:rsid w:val="00D371C8"/>
    <w:rsid w:val="00D4061B"/>
    <w:rsid w:val="00D4072A"/>
    <w:rsid w:val="00D40C47"/>
    <w:rsid w:val="00D40F62"/>
    <w:rsid w:val="00D41957"/>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752"/>
    <w:rsid w:val="00D46DBF"/>
    <w:rsid w:val="00D46F26"/>
    <w:rsid w:val="00D47591"/>
    <w:rsid w:val="00D5001D"/>
    <w:rsid w:val="00D50BA1"/>
    <w:rsid w:val="00D50EC4"/>
    <w:rsid w:val="00D50F4A"/>
    <w:rsid w:val="00D51089"/>
    <w:rsid w:val="00D512E8"/>
    <w:rsid w:val="00D51687"/>
    <w:rsid w:val="00D5228C"/>
    <w:rsid w:val="00D52E06"/>
    <w:rsid w:val="00D54116"/>
    <w:rsid w:val="00D54140"/>
    <w:rsid w:val="00D548CD"/>
    <w:rsid w:val="00D553C7"/>
    <w:rsid w:val="00D5635A"/>
    <w:rsid w:val="00D5648F"/>
    <w:rsid w:val="00D5651D"/>
    <w:rsid w:val="00D57553"/>
    <w:rsid w:val="00D57B21"/>
    <w:rsid w:val="00D57B9A"/>
    <w:rsid w:val="00D57D4A"/>
    <w:rsid w:val="00D60190"/>
    <w:rsid w:val="00D602D3"/>
    <w:rsid w:val="00D605A5"/>
    <w:rsid w:val="00D606A0"/>
    <w:rsid w:val="00D60A2F"/>
    <w:rsid w:val="00D60DAB"/>
    <w:rsid w:val="00D6179A"/>
    <w:rsid w:val="00D61A8A"/>
    <w:rsid w:val="00D62369"/>
    <w:rsid w:val="00D623AA"/>
    <w:rsid w:val="00D62A24"/>
    <w:rsid w:val="00D62FAC"/>
    <w:rsid w:val="00D635B0"/>
    <w:rsid w:val="00D637A9"/>
    <w:rsid w:val="00D63A1F"/>
    <w:rsid w:val="00D63BE1"/>
    <w:rsid w:val="00D63FD8"/>
    <w:rsid w:val="00D64BFB"/>
    <w:rsid w:val="00D65280"/>
    <w:rsid w:val="00D6616F"/>
    <w:rsid w:val="00D6699B"/>
    <w:rsid w:val="00D7009E"/>
    <w:rsid w:val="00D70C63"/>
    <w:rsid w:val="00D710C5"/>
    <w:rsid w:val="00D716E9"/>
    <w:rsid w:val="00D71705"/>
    <w:rsid w:val="00D71888"/>
    <w:rsid w:val="00D718E6"/>
    <w:rsid w:val="00D71B45"/>
    <w:rsid w:val="00D722AE"/>
    <w:rsid w:val="00D722C1"/>
    <w:rsid w:val="00D72437"/>
    <w:rsid w:val="00D726A5"/>
    <w:rsid w:val="00D727AC"/>
    <w:rsid w:val="00D72AC2"/>
    <w:rsid w:val="00D72CAE"/>
    <w:rsid w:val="00D736A9"/>
    <w:rsid w:val="00D74660"/>
    <w:rsid w:val="00D74797"/>
    <w:rsid w:val="00D74968"/>
    <w:rsid w:val="00D749D2"/>
    <w:rsid w:val="00D74D9B"/>
    <w:rsid w:val="00D750A2"/>
    <w:rsid w:val="00D7521A"/>
    <w:rsid w:val="00D75650"/>
    <w:rsid w:val="00D756E8"/>
    <w:rsid w:val="00D75A20"/>
    <w:rsid w:val="00D75D55"/>
    <w:rsid w:val="00D801EB"/>
    <w:rsid w:val="00D803E8"/>
    <w:rsid w:val="00D8056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BDC"/>
    <w:rsid w:val="00D905DC"/>
    <w:rsid w:val="00D9096B"/>
    <w:rsid w:val="00D90A0C"/>
    <w:rsid w:val="00D90C91"/>
    <w:rsid w:val="00D90D1C"/>
    <w:rsid w:val="00D90D5C"/>
    <w:rsid w:val="00D90ED4"/>
    <w:rsid w:val="00D90FF0"/>
    <w:rsid w:val="00D91838"/>
    <w:rsid w:val="00D920E8"/>
    <w:rsid w:val="00D92722"/>
    <w:rsid w:val="00D92779"/>
    <w:rsid w:val="00D92ABF"/>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7"/>
    <w:rsid w:val="00DA156A"/>
    <w:rsid w:val="00DA16D8"/>
    <w:rsid w:val="00DA1928"/>
    <w:rsid w:val="00DA1DA8"/>
    <w:rsid w:val="00DA22C1"/>
    <w:rsid w:val="00DA24B0"/>
    <w:rsid w:val="00DA2582"/>
    <w:rsid w:val="00DA2694"/>
    <w:rsid w:val="00DA35DA"/>
    <w:rsid w:val="00DA3B73"/>
    <w:rsid w:val="00DA3CF1"/>
    <w:rsid w:val="00DA4853"/>
    <w:rsid w:val="00DA4B0E"/>
    <w:rsid w:val="00DA50E4"/>
    <w:rsid w:val="00DA5BEB"/>
    <w:rsid w:val="00DA6BFD"/>
    <w:rsid w:val="00DA7645"/>
    <w:rsid w:val="00DA7E15"/>
    <w:rsid w:val="00DA7FC8"/>
    <w:rsid w:val="00DB02FF"/>
    <w:rsid w:val="00DB03D1"/>
    <w:rsid w:val="00DB055C"/>
    <w:rsid w:val="00DB05AF"/>
    <w:rsid w:val="00DB09BA"/>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D6F"/>
    <w:rsid w:val="00DB7F10"/>
    <w:rsid w:val="00DC07DC"/>
    <w:rsid w:val="00DC1524"/>
    <w:rsid w:val="00DC1889"/>
    <w:rsid w:val="00DC1CA3"/>
    <w:rsid w:val="00DC2416"/>
    <w:rsid w:val="00DC2A33"/>
    <w:rsid w:val="00DC30F2"/>
    <w:rsid w:val="00DC3190"/>
    <w:rsid w:val="00DC3214"/>
    <w:rsid w:val="00DC3579"/>
    <w:rsid w:val="00DC3E0F"/>
    <w:rsid w:val="00DC43AE"/>
    <w:rsid w:val="00DC466F"/>
    <w:rsid w:val="00DC4841"/>
    <w:rsid w:val="00DC4B88"/>
    <w:rsid w:val="00DC51EE"/>
    <w:rsid w:val="00DC5533"/>
    <w:rsid w:val="00DC5770"/>
    <w:rsid w:val="00DC59D7"/>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3821"/>
    <w:rsid w:val="00DD391B"/>
    <w:rsid w:val="00DD3C1A"/>
    <w:rsid w:val="00DD3D80"/>
    <w:rsid w:val="00DD45D3"/>
    <w:rsid w:val="00DD47FF"/>
    <w:rsid w:val="00DD48F3"/>
    <w:rsid w:val="00DD4E0C"/>
    <w:rsid w:val="00DD5413"/>
    <w:rsid w:val="00DD567B"/>
    <w:rsid w:val="00DD5A2A"/>
    <w:rsid w:val="00DD65A8"/>
    <w:rsid w:val="00DD662B"/>
    <w:rsid w:val="00DD6C92"/>
    <w:rsid w:val="00DD6DE9"/>
    <w:rsid w:val="00DE01AB"/>
    <w:rsid w:val="00DE01FA"/>
    <w:rsid w:val="00DE0B85"/>
    <w:rsid w:val="00DE0E5F"/>
    <w:rsid w:val="00DE12BD"/>
    <w:rsid w:val="00DE1532"/>
    <w:rsid w:val="00DE179B"/>
    <w:rsid w:val="00DE292D"/>
    <w:rsid w:val="00DE2AA3"/>
    <w:rsid w:val="00DE30D1"/>
    <w:rsid w:val="00DE3B74"/>
    <w:rsid w:val="00DE40F7"/>
    <w:rsid w:val="00DE4129"/>
    <w:rsid w:val="00DE47DF"/>
    <w:rsid w:val="00DE4D21"/>
    <w:rsid w:val="00DE5705"/>
    <w:rsid w:val="00DE5EA6"/>
    <w:rsid w:val="00DE5F41"/>
    <w:rsid w:val="00DE61FB"/>
    <w:rsid w:val="00DE62A3"/>
    <w:rsid w:val="00DE6B6A"/>
    <w:rsid w:val="00DE730F"/>
    <w:rsid w:val="00DE731D"/>
    <w:rsid w:val="00DE7A1D"/>
    <w:rsid w:val="00DF0A8D"/>
    <w:rsid w:val="00DF0E97"/>
    <w:rsid w:val="00DF11F0"/>
    <w:rsid w:val="00DF17A4"/>
    <w:rsid w:val="00DF1956"/>
    <w:rsid w:val="00DF1AD2"/>
    <w:rsid w:val="00DF1D62"/>
    <w:rsid w:val="00DF2170"/>
    <w:rsid w:val="00DF227D"/>
    <w:rsid w:val="00DF2FC2"/>
    <w:rsid w:val="00DF3752"/>
    <w:rsid w:val="00DF3D62"/>
    <w:rsid w:val="00DF572E"/>
    <w:rsid w:val="00DF596A"/>
    <w:rsid w:val="00DF5F9E"/>
    <w:rsid w:val="00DF6DA6"/>
    <w:rsid w:val="00DF6DC6"/>
    <w:rsid w:val="00DF708D"/>
    <w:rsid w:val="00DF70B5"/>
    <w:rsid w:val="00DF7EB8"/>
    <w:rsid w:val="00E0031E"/>
    <w:rsid w:val="00E003E1"/>
    <w:rsid w:val="00E00CD9"/>
    <w:rsid w:val="00E00FD5"/>
    <w:rsid w:val="00E0129F"/>
    <w:rsid w:val="00E01956"/>
    <w:rsid w:val="00E01DC5"/>
    <w:rsid w:val="00E02047"/>
    <w:rsid w:val="00E023E5"/>
    <w:rsid w:val="00E02837"/>
    <w:rsid w:val="00E02A3D"/>
    <w:rsid w:val="00E035E4"/>
    <w:rsid w:val="00E0443C"/>
    <w:rsid w:val="00E04B4F"/>
    <w:rsid w:val="00E0513B"/>
    <w:rsid w:val="00E06FD6"/>
    <w:rsid w:val="00E07452"/>
    <w:rsid w:val="00E074C1"/>
    <w:rsid w:val="00E07B79"/>
    <w:rsid w:val="00E07CDC"/>
    <w:rsid w:val="00E1006A"/>
    <w:rsid w:val="00E105B9"/>
    <w:rsid w:val="00E1079E"/>
    <w:rsid w:val="00E10F6A"/>
    <w:rsid w:val="00E112FA"/>
    <w:rsid w:val="00E12A71"/>
    <w:rsid w:val="00E12CED"/>
    <w:rsid w:val="00E13531"/>
    <w:rsid w:val="00E13788"/>
    <w:rsid w:val="00E1379B"/>
    <w:rsid w:val="00E13D2C"/>
    <w:rsid w:val="00E13EE3"/>
    <w:rsid w:val="00E148CD"/>
    <w:rsid w:val="00E14E22"/>
    <w:rsid w:val="00E14FF5"/>
    <w:rsid w:val="00E15399"/>
    <w:rsid w:val="00E15713"/>
    <w:rsid w:val="00E16682"/>
    <w:rsid w:val="00E1678A"/>
    <w:rsid w:val="00E17068"/>
    <w:rsid w:val="00E170E4"/>
    <w:rsid w:val="00E17549"/>
    <w:rsid w:val="00E17BAE"/>
    <w:rsid w:val="00E17E85"/>
    <w:rsid w:val="00E17E99"/>
    <w:rsid w:val="00E2002A"/>
    <w:rsid w:val="00E20232"/>
    <w:rsid w:val="00E2055A"/>
    <w:rsid w:val="00E207B4"/>
    <w:rsid w:val="00E20B9E"/>
    <w:rsid w:val="00E21A9B"/>
    <w:rsid w:val="00E21D4A"/>
    <w:rsid w:val="00E21F2D"/>
    <w:rsid w:val="00E22A26"/>
    <w:rsid w:val="00E22DD9"/>
    <w:rsid w:val="00E2336D"/>
    <w:rsid w:val="00E2336E"/>
    <w:rsid w:val="00E23398"/>
    <w:rsid w:val="00E23655"/>
    <w:rsid w:val="00E23AB9"/>
    <w:rsid w:val="00E23AC4"/>
    <w:rsid w:val="00E23C71"/>
    <w:rsid w:val="00E23ED2"/>
    <w:rsid w:val="00E240F9"/>
    <w:rsid w:val="00E246A7"/>
    <w:rsid w:val="00E24B8C"/>
    <w:rsid w:val="00E256F7"/>
    <w:rsid w:val="00E25715"/>
    <w:rsid w:val="00E25995"/>
    <w:rsid w:val="00E25D57"/>
    <w:rsid w:val="00E26257"/>
    <w:rsid w:val="00E264AD"/>
    <w:rsid w:val="00E26894"/>
    <w:rsid w:val="00E27074"/>
    <w:rsid w:val="00E278D2"/>
    <w:rsid w:val="00E27E1C"/>
    <w:rsid w:val="00E300F2"/>
    <w:rsid w:val="00E31966"/>
    <w:rsid w:val="00E3203D"/>
    <w:rsid w:val="00E32AE4"/>
    <w:rsid w:val="00E32D6A"/>
    <w:rsid w:val="00E33396"/>
    <w:rsid w:val="00E335C5"/>
    <w:rsid w:val="00E33B7F"/>
    <w:rsid w:val="00E33D24"/>
    <w:rsid w:val="00E33E8E"/>
    <w:rsid w:val="00E34706"/>
    <w:rsid w:val="00E34ED4"/>
    <w:rsid w:val="00E35432"/>
    <w:rsid w:val="00E35519"/>
    <w:rsid w:val="00E35580"/>
    <w:rsid w:val="00E357CE"/>
    <w:rsid w:val="00E35A04"/>
    <w:rsid w:val="00E35FB6"/>
    <w:rsid w:val="00E36DD5"/>
    <w:rsid w:val="00E3751A"/>
    <w:rsid w:val="00E377A6"/>
    <w:rsid w:val="00E37DB5"/>
    <w:rsid w:val="00E4005E"/>
    <w:rsid w:val="00E40A1E"/>
    <w:rsid w:val="00E41CF2"/>
    <w:rsid w:val="00E41D23"/>
    <w:rsid w:val="00E423C0"/>
    <w:rsid w:val="00E4279F"/>
    <w:rsid w:val="00E42806"/>
    <w:rsid w:val="00E4297F"/>
    <w:rsid w:val="00E42F20"/>
    <w:rsid w:val="00E43216"/>
    <w:rsid w:val="00E435A8"/>
    <w:rsid w:val="00E438F7"/>
    <w:rsid w:val="00E43E29"/>
    <w:rsid w:val="00E43EE5"/>
    <w:rsid w:val="00E447BF"/>
    <w:rsid w:val="00E44ACD"/>
    <w:rsid w:val="00E44CB9"/>
    <w:rsid w:val="00E45076"/>
    <w:rsid w:val="00E45343"/>
    <w:rsid w:val="00E4537B"/>
    <w:rsid w:val="00E455FB"/>
    <w:rsid w:val="00E45B97"/>
    <w:rsid w:val="00E45E51"/>
    <w:rsid w:val="00E46852"/>
    <w:rsid w:val="00E46AB1"/>
    <w:rsid w:val="00E472E6"/>
    <w:rsid w:val="00E479FF"/>
    <w:rsid w:val="00E51392"/>
    <w:rsid w:val="00E515B1"/>
    <w:rsid w:val="00E51662"/>
    <w:rsid w:val="00E51B1C"/>
    <w:rsid w:val="00E51F1D"/>
    <w:rsid w:val="00E5269A"/>
    <w:rsid w:val="00E53448"/>
    <w:rsid w:val="00E535D1"/>
    <w:rsid w:val="00E536FC"/>
    <w:rsid w:val="00E53AA6"/>
    <w:rsid w:val="00E53C6C"/>
    <w:rsid w:val="00E53CB2"/>
    <w:rsid w:val="00E53D6A"/>
    <w:rsid w:val="00E54678"/>
    <w:rsid w:val="00E546CB"/>
    <w:rsid w:val="00E54898"/>
    <w:rsid w:val="00E55558"/>
    <w:rsid w:val="00E55BB8"/>
    <w:rsid w:val="00E56344"/>
    <w:rsid w:val="00E57261"/>
    <w:rsid w:val="00E57309"/>
    <w:rsid w:val="00E57E87"/>
    <w:rsid w:val="00E60DE1"/>
    <w:rsid w:val="00E61076"/>
    <w:rsid w:val="00E61812"/>
    <w:rsid w:val="00E61DCF"/>
    <w:rsid w:val="00E62307"/>
    <w:rsid w:val="00E62CF0"/>
    <w:rsid w:val="00E62E5D"/>
    <w:rsid w:val="00E630B9"/>
    <w:rsid w:val="00E65073"/>
    <w:rsid w:val="00E6575E"/>
    <w:rsid w:val="00E65AFC"/>
    <w:rsid w:val="00E65E8C"/>
    <w:rsid w:val="00E66800"/>
    <w:rsid w:val="00E66D78"/>
    <w:rsid w:val="00E673C1"/>
    <w:rsid w:val="00E674D0"/>
    <w:rsid w:val="00E679B8"/>
    <w:rsid w:val="00E67C5C"/>
    <w:rsid w:val="00E67E55"/>
    <w:rsid w:val="00E67F6B"/>
    <w:rsid w:val="00E70504"/>
    <w:rsid w:val="00E71198"/>
    <w:rsid w:val="00E71E4F"/>
    <w:rsid w:val="00E71FC5"/>
    <w:rsid w:val="00E7207A"/>
    <w:rsid w:val="00E72486"/>
    <w:rsid w:val="00E724EF"/>
    <w:rsid w:val="00E7264E"/>
    <w:rsid w:val="00E72651"/>
    <w:rsid w:val="00E728B9"/>
    <w:rsid w:val="00E73957"/>
    <w:rsid w:val="00E73B80"/>
    <w:rsid w:val="00E73C90"/>
    <w:rsid w:val="00E73D3A"/>
    <w:rsid w:val="00E742C8"/>
    <w:rsid w:val="00E743A1"/>
    <w:rsid w:val="00E745D8"/>
    <w:rsid w:val="00E74BC5"/>
    <w:rsid w:val="00E74F05"/>
    <w:rsid w:val="00E7518B"/>
    <w:rsid w:val="00E7593F"/>
    <w:rsid w:val="00E75DB4"/>
    <w:rsid w:val="00E76497"/>
    <w:rsid w:val="00E76C33"/>
    <w:rsid w:val="00E771E6"/>
    <w:rsid w:val="00E77766"/>
    <w:rsid w:val="00E8011B"/>
    <w:rsid w:val="00E801FE"/>
    <w:rsid w:val="00E80768"/>
    <w:rsid w:val="00E809E4"/>
    <w:rsid w:val="00E80A0D"/>
    <w:rsid w:val="00E80E1E"/>
    <w:rsid w:val="00E82135"/>
    <w:rsid w:val="00E82862"/>
    <w:rsid w:val="00E82CA0"/>
    <w:rsid w:val="00E82E17"/>
    <w:rsid w:val="00E84AD4"/>
    <w:rsid w:val="00E84BD1"/>
    <w:rsid w:val="00E8534F"/>
    <w:rsid w:val="00E854EA"/>
    <w:rsid w:val="00E8571A"/>
    <w:rsid w:val="00E85EC9"/>
    <w:rsid w:val="00E864AE"/>
    <w:rsid w:val="00E86BAE"/>
    <w:rsid w:val="00E876A3"/>
    <w:rsid w:val="00E87DC5"/>
    <w:rsid w:val="00E903A5"/>
    <w:rsid w:val="00E903BE"/>
    <w:rsid w:val="00E903F1"/>
    <w:rsid w:val="00E90A19"/>
    <w:rsid w:val="00E91460"/>
    <w:rsid w:val="00E915F1"/>
    <w:rsid w:val="00E91C42"/>
    <w:rsid w:val="00E91EF2"/>
    <w:rsid w:val="00E91FFE"/>
    <w:rsid w:val="00E92341"/>
    <w:rsid w:val="00E93635"/>
    <w:rsid w:val="00E94104"/>
    <w:rsid w:val="00E94706"/>
    <w:rsid w:val="00E94F06"/>
    <w:rsid w:val="00E95243"/>
    <w:rsid w:val="00E956CB"/>
    <w:rsid w:val="00E960B8"/>
    <w:rsid w:val="00E96AEE"/>
    <w:rsid w:val="00E96D1C"/>
    <w:rsid w:val="00E9775C"/>
    <w:rsid w:val="00E977CB"/>
    <w:rsid w:val="00E977CE"/>
    <w:rsid w:val="00E97990"/>
    <w:rsid w:val="00E97D2F"/>
    <w:rsid w:val="00E97EA7"/>
    <w:rsid w:val="00E97FB1"/>
    <w:rsid w:val="00EA08D5"/>
    <w:rsid w:val="00EA0D69"/>
    <w:rsid w:val="00EA119D"/>
    <w:rsid w:val="00EA1514"/>
    <w:rsid w:val="00EA16E1"/>
    <w:rsid w:val="00EA1767"/>
    <w:rsid w:val="00EA1F8E"/>
    <w:rsid w:val="00EA2360"/>
    <w:rsid w:val="00EA2682"/>
    <w:rsid w:val="00EA272B"/>
    <w:rsid w:val="00EA2F5D"/>
    <w:rsid w:val="00EA301E"/>
    <w:rsid w:val="00EA3BA1"/>
    <w:rsid w:val="00EA449C"/>
    <w:rsid w:val="00EA4F1E"/>
    <w:rsid w:val="00EA4F7D"/>
    <w:rsid w:val="00EA5C0F"/>
    <w:rsid w:val="00EA5F9C"/>
    <w:rsid w:val="00EA633B"/>
    <w:rsid w:val="00EA659C"/>
    <w:rsid w:val="00EA6894"/>
    <w:rsid w:val="00EA6919"/>
    <w:rsid w:val="00EA6F5C"/>
    <w:rsid w:val="00EA7206"/>
    <w:rsid w:val="00EA79CB"/>
    <w:rsid w:val="00EB0A68"/>
    <w:rsid w:val="00EB0E6A"/>
    <w:rsid w:val="00EB0FE6"/>
    <w:rsid w:val="00EB16EB"/>
    <w:rsid w:val="00EB182C"/>
    <w:rsid w:val="00EB19D9"/>
    <w:rsid w:val="00EB20C0"/>
    <w:rsid w:val="00EB2287"/>
    <w:rsid w:val="00EB2294"/>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347"/>
    <w:rsid w:val="00EC0771"/>
    <w:rsid w:val="00EC089D"/>
    <w:rsid w:val="00EC0A64"/>
    <w:rsid w:val="00EC0BAD"/>
    <w:rsid w:val="00EC0DD3"/>
    <w:rsid w:val="00EC101A"/>
    <w:rsid w:val="00EC12D2"/>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C8B"/>
    <w:rsid w:val="00ED13EB"/>
    <w:rsid w:val="00ED1462"/>
    <w:rsid w:val="00ED14A1"/>
    <w:rsid w:val="00ED17FA"/>
    <w:rsid w:val="00ED1856"/>
    <w:rsid w:val="00ED1EB3"/>
    <w:rsid w:val="00ED24B6"/>
    <w:rsid w:val="00ED25D2"/>
    <w:rsid w:val="00ED35C0"/>
    <w:rsid w:val="00ED3F38"/>
    <w:rsid w:val="00ED4124"/>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27FC"/>
    <w:rsid w:val="00EE2B55"/>
    <w:rsid w:val="00EE3341"/>
    <w:rsid w:val="00EE3445"/>
    <w:rsid w:val="00EE379C"/>
    <w:rsid w:val="00EE3BB5"/>
    <w:rsid w:val="00EE4436"/>
    <w:rsid w:val="00EE4447"/>
    <w:rsid w:val="00EE4BBE"/>
    <w:rsid w:val="00EE546C"/>
    <w:rsid w:val="00EE563D"/>
    <w:rsid w:val="00EE5AEB"/>
    <w:rsid w:val="00EE5CDB"/>
    <w:rsid w:val="00EE5DFC"/>
    <w:rsid w:val="00EE5E89"/>
    <w:rsid w:val="00EE60E7"/>
    <w:rsid w:val="00EE6428"/>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C6A"/>
    <w:rsid w:val="00EF3F1A"/>
    <w:rsid w:val="00EF463E"/>
    <w:rsid w:val="00EF4EF9"/>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1FB7"/>
    <w:rsid w:val="00F0207E"/>
    <w:rsid w:val="00F020E1"/>
    <w:rsid w:val="00F0221D"/>
    <w:rsid w:val="00F028A7"/>
    <w:rsid w:val="00F02DE5"/>
    <w:rsid w:val="00F0324F"/>
    <w:rsid w:val="00F03AA2"/>
    <w:rsid w:val="00F03AB0"/>
    <w:rsid w:val="00F043F9"/>
    <w:rsid w:val="00F04E02"/>
    <w:rsid w:val="00F054AF"/>
    <w:rsid w:val="00F05558"/>
    <w:rsid w:val="00F0595E"/>
    <w:rsid w:val="00F05A7B"/>
    <w:rsid w:val="00F06454"/>
    <w:rsid w:val="00F06C77"/>
    <w:rsid w:val="00F06CB2"/>
    <w:rsid w:val="00F06E72"/>
    <w:rsid w:val="00F06E7A"/>
    <w:rsid w:val="00F07AF2"/>
    <w:rsid w:val="00F07C8A"/>
    <w:rsid w:val="00F07D04"/>
    <w:rsid w:val="00F07D8B"/>
    <w:rsid w:val="00F104D0"/>
    <w:rsid w:val="00F1078A"/>
    <w:rsid w:val="00F10840"/>
    <w:rsid w:val="00F10D33"/>
    <w:rsid w:val="00F116E1"/>
    <w:rsid w:val="00F11E4F"/>
    <w:rsid w:val="00F1272B"/>
    <w:rsid w:val="00F13033"/>
    <w:rsid w:val="00F13232"/>
    <w:rsid w:val="00F132E7"/>
    <w:rsid w:val="00F13A42"/>
    <w:rsid w:val="00F13A85"/>
    <w:rsid w:val="00F13C6A"/>
    <w:rsid w:val="00F13C93"/>
    <w:rsid w:val="00F140DE"/>
    <w:rsid w:val="00F141D5"/>
    <w:rsid w:val="00F14212"/>
    <w:rsid w:val="00F1425C"/>
    <w:rsid w:val="00F1455F"/>
    <w:rsid w:val="00F14A1F"/>
    <w:rsid w:val="00F14D95"/>
    <w:rsid w:val="00F14FF6"/>
    <w:rsid w:val="00F15D2C"/>
    <w:rsid w:val="00F16236"/>
    <w:rsid w:val="00F16582"/>
    <w:rsid w:val="00F16B4B"/>
    <w:rsid w:val="00F16B9D"/>
    <w:rsid w:val="00F16CE1"/>
    <w:rsid w:val="00F16E17"/>
    <w:rsid w:val="00F17125"/>
    <w:rsid w:val="00F179EF"/>
    <w:rsid w:val="00F17E02"/>
    <w:rsid w:val="00F17E22"/>
    <w:rsid w:val="00F20017"/>
    <w:rsid w:val="00F20776"/>
    <w:rsid w:val="00F20782"/>
    <w:rsid w:val="00F20D5B"/>
    <w:rsid w:val="00F21051"/>
    <w:rsid w:val="00F2106E"/>
    <w:rsid w:val="00F21514"/>
    <w:rsid w:val="00F21AE7"/>
    <w:rsid w:val="00F21B8E"/>
    <w:rsid w:val="00F21BF3"/>
    <w:rsid w:val="00F21CAF"/>
    <w:rsid w:val="00F223BD"/>
    <w:rsid w:val="00F223EA"/>
    <w:rsid w:val="00F224BD"/>
    <w:rsid w:val="00F22EE2"/>
    <w:rsid w:val="00F23017"/>
    <w:rsid w:val="00F232DA"/>
    <w:rsid w:val="00F24874"/>
    <w:rsid w:val="00F24980"/>
    <w:rsid w:val="00F24B20"/>
    <w:rsid w:val="00F24EF6"/>
    <w:rsid w:val="00F25C36"/>
    <w:rsid w:val="00F26145"/>
    <w:rsid w:val="00F26200"/>
    <w:rsid w:val="00F26345"/>
    <w:rsid w:val="00F2634C"/>
    <w:rsid w:val="00F2676A"/>
    <w:rsid w:val="00F26D6D"/>
    <w:rsid w:val="00F27E49"/>
    <w:rsid w:val="00F30616"/>
    <w:rsid w:val="00F319F9"/>
    <w:rsid w:val="00F32AF9"/>
    <w:rsid w:val="00F33051"/>
    <w:rsid w:val="00F33116"/>
    <w:rsid w:val="00F33B96"/>
    <w:rsid w:val="00F3462E"/>
    <w:rsid w:val="00F346B1"/>
    <w:rsid w:val="00F3484E"/>
    <w:rsid w:val="00F34E84"/>
    <w:rsid w:val="00F34FB3"/>
    <w:rsid w:val="00F35387"/>
    <w:rsid w:val="00F355B4"/>
    <w:rsid w:val="00F3583F"/>
    <w:rsid w:val="00F35B8E"/>
    <w:rsid w:val="00F362F7"/>
    <w:rsid w:val="00F36322"/>
    <w:rsid w:val="00F36323"/>
    <w:rsid w:val="00F36F16"/>
    <w:rsid w:val="00F37507"/>
    <w:rsid w:val="00F37F54"/>
    <w:rsid w:val="00F40042"/>
    <w:rsid w:val="00F4061F"/>
    <w:rsid w:val="00F40D83"/>
    <w:rsid w:val="00F414DF"/>
    <w:rsid w:val="00F415F2"/>
    <w:rsid w:val="00F41684"/>
    <w:rsid w:val="00F41885"/>
    <w:rsid w:val="00F419CB"/>
    <w:rsid w:val="00F42037"/>
    <w:rsid w:val="00F423F6"/>
    <w:rsid w:val="00F42415"/>
    <w:rsid w:val="00F424D3"/>
    <w:rsid w:val="00F4284C"/>
    <w:rsid w:val="00F432C6"/>
    <w:rsid w:val="00F443B0"/>
    <w:rsid w:val="00F444E7"/>
    <w:rsid w:val="00F447EA"/>
    <w:rsid w:val="00F44943"/>
    <w:rsid w:val="00F453DF"/>
    <w:rsid w:val="00F4544F"/>
    <w:rsid w:val="00F45D27"/>
    <w:rsid w:val="00F46111"/>
    <w:rsid w:val="00F4737E"/>
    <w:rsid w:val="00F47D5F"/>
    <w:rsid w:val="00F47E5F"/>
    <w:rsid w:val="00F50623"/>
    <w:rsid w:val="00F511EE"/>
    <w:rsid w:val="00F51D28"/>
    <w:rsid w:val="00F51E4D"/>
    <w:rsid w:val="00F533F9"/>
    <w:rsid w:val="00F536A1"/>
    <w:rsid w:val="00F539AC"/>
    <w:rsid w:val="00F53D94"/>
    <w:rsid w:val="00F53E10"/>
    <w:rsid w:val="00F5420D"/>
    <w:rsid w:val="00F5443F"/>
    <w:rsid w:val="00F54768"/>
    <w:rsid w:val="00F54ADC"/>
    <w:rsid w:val="00F553E8"/>
    <w:rsid w:val="00F55685"/>
    <w:rsid w:val="00F55AA3"/>
    <w:rsid w:val="00F55DFC"/>
    <w:rsid w:val="00F563E3"/>
    <w:rsid w:val="00F56AE7"/>
    <w:rsid w:val="00F56C88"/>
    <w:rsid w:val="00F577A2"/>
    <w:rsid w:val="00F57BDA"/>
    <w:rsid w:val="00F57F43"/>
    <w:rsid w:val="00F60058"/>
    <w:rsid w:val="00F60480"/>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EF9"/>
    <w:rsid w:val="00F67F26"/>
    <w:rsid w:val="00F7007C"/>
    <w:rsid w:val="00F703B2"/>
    <w:rsid w:val="00F70803"/>
    <w:rsid w:val="00F70FE3"/>
    <w:rsid w:val="00F713E2"/>
    <w:rsid w:val="00F7187B"/>
    <w:rsid w:val="00F718A4"/>
    <w:rsid w:val="00F71BDC"/>
    <w:rsid w:val="00F72698"/>
    <w:rsid w:val="00F728AA"/>
    <w:rsid w:val="00F72AD3"/>
    <w:rsid w:val="00F72C8A"/>
    <w:rsid w:val="00F72CA8"/>
    <w:rsid w:val="00F72D90"/>
    <w:rsid w:val="00F7381E"/>
    <w:rsid w:val="00F73CB2"/>
    <w:rsid w:val="00F73FCE"/>
    <w:rsid w:val="00F741FA"/>
    <w:rsid w:val="00F7430B"/>
    <w:rsid w:val="00F745D9"/>
    <w:rsid w:val="00F7523E"/>
    <w:rsid w:val="00F759D7"/>
    <w:rsid w:val="00F7609A"/>
    <w:rsid w:val="00F76924"/>
    <w:rsid w:val="00F76FD6"/>
    <w:rsid w:val="00F77293"/>
    <w:rsid w:val="00F77C33"/>
    <w:rsid w:val="00F77D71"/>
    <w:rsid w:val="00F808F0"/>
    <w:rsid w:val="00F80927"/>
    <w:rsid w:val="00F819E1"/>
    <w:rsid w:val="00F81D5A"/>
    <w:rsid w:val="00F822A0"/>
    <w:rsid w:val="00F83A8B"/>
    <w:rsid w:val="00F83B2E"/>
    <w:rsid w:val="00F84099"/>
    <w:rsid w:val="00F8412E"/>
    <w:rsid w:val="00F843F7"/>
    <w:rsid w:val="00F8457A"/>
    <w:rsid w:val="00F8476D"/>
    <w:rsid w:val="00F84E24"/>
    <w:rsid w:val="00F84EF3"/>
    <w:rsid w:val="00F85501"/>
    <w:rsid w:val="00F856DE"/>
    <w:rsid w:val="00F85851"/>
    <w:rsid w:val="00F864BF"/>
    <w:rsid w:val="00F86769"/>
    <w:rsid w:val="00F8676D"/>
    <w:rsid w:val="00F86C16"/>
    <w:rsid w:val="00F8798B"/>
    <w:rsid w:val="00F87CBB"/>
    <w:rsid w:val="00F9034D"/>
    <w:rsid w:val="00F90624"/>
    <w:rsid w:val="00F907AF"/>
    <w:rsid w:val="00F90E09"/>
    <w:rsid w:val="00F9135A"/>
    <w:rsid w:val="00F91CBC"/>
    <w:rsid w:val="00F91D20"/>
    <w:rsid w:val="00F91E36"/>
    <w:rsid w:val="00F921E3"/>
    <w:rsid w:val="00F922ED"/>
    <w:rsid w:val="00F93305"/>
    <w:rsid w:val="00F93A0A"/>
    <w:rsid w:val="00F94A71"/>
    <w:rsid w:val="00F94CCA"/>
    <w:rsid w:val="00F9535C"/>
    <w:rsid w:val="00F95780"/>
    <w:rsid w:val="00F95D81"/>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3AB"/>
    <w:rsid w:val="00FA469D"/>
    <w:rsid w:val="00FA4A3B"/>
    <w:rsid w:val="00FA4ADA"/>
    <w:rsid w:val="00FA4E3C"/>
    <w:rsid w:val="00FA60C8"/>
    <w:rsid w:val="00FA62C1"/>
    <w:rsid w:val="00FA6388"/>
    <w:rsid w:val="00FA6B17"/>
    <w:rsid w:val="00FA7860"/>
    <w:rsid w:val="00FB0060"/>
    <w:rsid w:val="00FB012F"/>
    <w:rsid w:val="00FB0A08"/>
    <w:rsid w:val="00FB0A56"/>
    <w:rsid w:val="00FB0AD3"/>
    <w:rsid w:val="00FB0D58"/>
    <w:rsid w:val="00FB12A0"/>
    <w:rsid w:val="00FB185F"/>
    <w:rsid w:val="00FB21EE"/>
    <w:rsid w:val="00FB2506"/>
    <w:rsid w:val="00FB2723"/>
    <w:rsid w:val="00FB28A2"/>
    <w:rsid w:val="00FB2F2C"/>
    <w:rsid w:val="00FB306B"/>
    <w:rsid w:val="00FB30D0"/>
    <w:rsid w:val="00FB3664"/>
    <w:rsid w:val="00FB3784"/>
    <w:rsid w:val="00FB3DE4"/>
    <w:rsid w:val="00FB45A7"/>
    <w:rsid w:val="00FB50C2"/>
    <w:rsid w:val="00FB529D"/>
    <w:rsid w:val="00FB56C5"/>
    <w:rsid w:val="00FB57EF"/>
    <w:rsid w:val="00FB59E5"/>
    <w:rsid w:val="00FB5DCE"/>
    <w:rsid w:val="00FB5FB0"/>
    <w:rsid w:val="00FB646A"/>
    <w:rsid w:val="00FB6F0E"/>
    <w:rsid w:val="00FB7A98"/>
    <w:rsid w:val="00FC04C3"/>
    <w:rsid w:val="00FC06BF"/>
    <w:rsid w:val="00FC0AE4"/>
    <w:rsid w:val="00FC0DE4"/>
    <w:rsid w:val="00FC0E21"/>
    <w:rsid w:val="00FC1694"/>
    <w:rsid w:val="00FC1CF2"/>
    <w:rsid w:val="00FC2124"/>
    <w:rsid w:val="00FC2576"/>
    <w:rsid w:val="00FC2A8A"/>
    <w:rsid w:val="00FC2B96"/>
    <w:rsid w:val="00FC2E45"/>
    <w:rsid w:val="00FC33F6"/>
    <w:rsid w:val="00FC3491"/>
    <w:rsid w:val="00FC351E"/>
    <w:rsid w:val="00FC35DE"/>
    <w:rsid w:val="00FC4398"/>
    <w:rsid w:val="00FC4B62"/>
    <w:rsid w:val="00FC4BA2"/>
    <w:rsid w:val="00FC503B"/>
    <w:rsid w:val="00FC5301"/>
    <w:rsid w:val="00FC5688"/>
    <w:rsid w:val="00FC588B"/>
    <w:rsid w:val="00FC5AB0"/>
    <w:rsid w:val="00FC5B26"/>
    <w:rsid w:val="00FC5F5C"/>
    <w:rsid w:val="00FC6028"/>
    <w:rsid w:val="00FC60DB"/>
    <w:rsid w:val="00FC635D"/>
    <w:rsid w:val="00FC66B8"/>
    <w:rsid w:val="00FC6947"/>
    <w:rsid w:val="00FC6E6C"/>
    <w:rsid w:val="00FC6E74"/>
    <w:rsid w:val="00FC7186"/>
    <w:rsid w:val="00FC742F"/>
    <w:rsid w:val="00FC7C89"/>
    <w:rsid w:val="00FC7ECA"/>
    <w:rsid w:val="00FD0F61"/>
    <w:rsid w:val="00FD1280"/>
    <w:rsid w:val="00FD143C"/>
    <w:rsid w:val="00FD1946"/>
    <w:rsid w:val="00FD2965"/>
    <w:rsid w:val="00FD2A64"/>
    <w:rsid w:val="00FD2CC3"/>
    <w:rsid w:val="00FD36D5"/>
    <w:rsid w:val="00FD3D0C"/>
    <w:rsid w:val="00FD3D61"/>
    <w:rsid w:val="00FD436D"/>
    <w:rsid w:val="00FD491D"/>
    <w:rsid w:val="00FD49DB"/>
    <w:rsid w:val="00FD5062"/>
    <w:rsid w:val="00FD5BB3"/>
    <w:rsid w:val="00FD764D"/>
    <w:rsid w:val="00FD7B35"/>
    <w:rsid w:val="00FD7C6C"/>
    <w:rsid w:val="00FD7CDC"/>
    <w:rsid w:val="00FD7F20"/>
    <w:rsid w:val="00FE01A6"/>
    <w:rsid w:val="00FE02F8"/>
    <w:rsid w:val="00FE0BA6"/>
    <w:rsid w:val="00FE10AD"/>
    <w:rsid w:val="00FE1445"/>
    <w:rsid w:val="00FE153E"/>
    <w:rsid w:val="00FE18EF"/>
    <w:rsid w:val="00FE1A08"/>
    <w:rsid w:val="00FE1CE2"/>
    <w:rsid w:val="00FE1DFC"/>
    <w:rsid w:val="00FE235B"/>
    <w:rsid w:val="00FE2363"/>
    <w:rsid w:val="00FE27FE"/>
    <w:rsid w:val="00FE2852"/>
    <w:rsid w:val="00FE2F5F"/>
    <w:rsid w:val="00FE34DC"/>
    <w:rsid w:val="00FE393B"/>
    <w:rsid w:val="00FE4608"/>
    <w:rsid w:val="00FE4826"/>
    <w:rsid w:val="00FE5AA3"/>
    <w:rsid w:val="00FE5DD2"/>
    <w:rsid w:val="00FE66DF"/>
    <w:rsid w:val="00FE6845"/>
    <w:rsid w:val="00FE6A70"/>
    <w:rsid w:val="00FE6AD1"/>
    <w:rsid w:val="00FE78FD"/>
    <w:rsid w:val="00FE7BA2"/>
    <w:rsid w:val="00FF0399"/>
    <w:rsid w:val="00FF0586"/>
    <w:rsid w:val="00FF0896"/>
    <w:rsid w:val="00FF09BD"/>
    <w:rsid w:val="00FF0B7D"/>
    <w:rsid w:val="00FF1744"/>
    <w:rsid w:val="00FF1D4C"/>
    <w:rsid w:val="00FF2265"/>
    <w:rsid w:val="00FF3496"/>
    <w:rsid w:val="00FF3B55"/>
    <w:rsid w:val="00FF3CA1"/>
    <w:rsid w:val="00FF3F02"/>
    <w:rsid w:val="00FF4177"/>
    <w:rsid w:val="00FF4675"/>
    <w:rsid w:val="00FF48C8"/>
    <w:rsid w:val="00FF5717"/>
    <w:rsid w:val="00FF5CF2"/>
    <w:rsid w:val="00FF63F0"/>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A8F54"/>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character" w:customStyle="1" w:styleId="Ttulo2Car">
    <w:name w:val="Título 2 Car"/>
    <w:basedOn w:val="Fuentedeprrafopredeter"/>
    <w:link w:val="Ttulo2"/>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character" w:styleId="Refdecomentario">
    <w:name w:val="annotation reference"/>
    <w:basedOn w:val="Fuentedeprrafopredeter"/>
    <w:semiHidden/>
    <w:unhideWhenUsed/>
    <w:rsid w:val="00932EEC"/>
    <w:rPr>
      <w:sz w:val="16"/>
      <w:szCs w:val="16"/>
    </w:rPr>
  </w:style>
  <w:style w:type="paragraph" w:styleId="Textocomentario">
    <w:name w:val="annotation text"/>
    <w:basedOn w:val="Normal"/>
    <w:link w:val="TextocomentarioCar"/>
    <w:unhideWhenUsed/>
    <w:rsid w:val="00932EEC"/>
    <w:rPr>
      <w:sz w:val="20"/>
      <w:szCs w:val="20"/>
    </w:rPr>
  </w:style>
  <w:style w:type="character" w:customStyle="1" w:styleId="TextocomentarioCar">
    <w:name w:val="Texto comentario Car"/>
    <w:basedOn w:val="Fuentedeprrafopredeter"/>
    <w:link w:val="Textocomentario"/>
    <w:rsid w:val="00932EEC"/>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932EEC"/>
    <w:rPr>
      <w:b/>
      <w:bCs/>
    </w:rPr>
  </w:style>
  <w:style w:type="character" w:customStyle="1" w:styleId="AsuntodelcomentarioCar">
    <w:name w:val="Asunto del comentario Car"/>
    <w:basedOn w:val="TextocomentarioCar"/>
    <w:link w:val="Asuntodelcomentario"/>
    <w:semiHidden/>
    <w:rsid w:val="00932EEC"/>
    <w:rPr>
      <w:rFonts w:ascii="Arial" w:hAnsi="Arial" w:cs="Arial"/>
      <w:b/>
      <w:bCs/>
      <w:lang w:val="es-ES_tradnl" w:eastAsia="es-ES"/>
    </w:rPr>
  </w:style>
  <w:style w:type="paragraph" w:styleId="Revisin">
    <w:name w:val="Revision"/>
    <w:hidden/>
    <w:uiPriority w:val="99"/>
    <w:semiHidden/>
    <w:rsid w:val="001E16F4"/>
    <w:rPr>
      <w:rFonts w:ascii="Arial" w:hAnsi="Arial" w:cs="Arial"/>
      <w:sz w:val="24"/>
      <w:szCs w:val="24"/>
      <w:lang w:val="es-ES_tradnl" w:eastAsia="es-ES"/>
    </w:rPr>
  </w:style>
  <w:style w:type="paragraph" w:styleId="NormalWeb">
    <w:name w:val="Normal (Web)"/>
    <w:basedOn w:val="Normal"/>
    <w:uiPriority w:val="99"/>
    <w:rsid w:val="00F577A2"/>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F577A2"/>
    <w:pPr>
      <w:jc w:val="center"/>
    </w:pPr>
    <w:rPr>
      <w:rFonts w:cs="Times New Roman"/>
      <w:b/>
      <w:szCs w:val="20"/>
      <w:lang w:val="es-ES"/>
    </w:rPr>
  </w:style>
  <w:style w:type="character" w:customStyle="1" w:styleId="TtuloCar">
    <w:name w:val="Título Car"/>
    <w:basedOn w:val="Fuentedeprrafopredeter"/>
    <w:link w:val="Ttulo"/>
    <w:rsid w:val="00F577A2"/>
    <w:rPr>
      <w:rFonts w:ascii="Arial" w:hAnsi="Arial"/>
      <w:b/>
      <w:sz w:val="24"/>
      <w:lang w:val="es-ES" w:eastAsia="es-ES"/>
    </w:rPr>
  </w:style>
  <w:style w:type="character" w:customStyle="1" w:styleId="PiedepginaCar">
    <w:name w:val="Pie de página Car"/>
    <w:basedOn w:val="Fuentedeprrafopredeter"/>
    <w:link w:val="Piedepgina"/>
    <w:uiPriority w:val="99"/>
    <w:rsid w:val="00F577A2"/>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194732751">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38413709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2773167">
      <w:bodyDiv w:val="1"/>
      <w:marLeft w:val="0"/>
      <w:marRight w:val="0"/>
      <w:marTop w:val="0"/>
      <w:marBottom w:val="0"/>
      <w:divBdr>
        <w:top w:val="none" w:sz="0" w:space="0" w:color="auto"/>
        <w:left w:val="none" w:sz="0" w:space="0" w:color="auto"/>
        <w:bottom w:val="none" w:sz="0" w:space="0" w:color="auto"/>
        <w:right w:val="none" w:sz="0" w:space="0" w:color="auto"/>
      </w:divBdr>
    </w:div>
    <w:div w:id="550502931">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030864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2631189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app/biblioteca/ficha.html?upc=702825099060"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contenidos/programas/imai/2013/doc/met_imai.pdf" TargetMode="External"/><Relationship Id="rId30" Type="http://schemas.openxmlformats.org/officeDocument/2006/relationships/hyperlink" Target="http://www.inegi.org.mx"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ACTIIVIDAD%20INDUSTRIAL\2022\03-22\gr&#225;ficas%20Act.%20Industrial%20(cifras%20desestacinalizadas)%20201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ACTIIVIDAD%20INDUSTRIAL\2022\03-22\gr&#225;ficas%20Act.%20Industrial%20(cifras%20desestacinalizadas)%20201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ACTIIVIDAD%20INDUSTRIAL\2022\03-22\gr&#225;ficas%20Act.%20Industrial%20(cifras%20desestacinalizadas)%20201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ACTIIVIDAD%20INDUSTRIAL\2022\03-22\gr&#225;ficas%20Act.%20Industrial%20(cifras%20desestacinalizadas)%20201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ACTIIVIDAD%20INDUSTRIAL\2022\03-22\gr&#225;ficas%20Act.%20Industrial%20(cifras%20desestacinalizadas)%20201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ACTIIVIDAD%20INDUSTRIAL\2022\03-22\gr&#225;ficas%20Act.%20Industrial%20(cifras%20desestacinalizadas)%2020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datos!$B$77:$C$163</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datos!$D$77:$D$163</c:f>
              <c:numCache>
                <c:formatCode>0.0</c:formatCode>
                <c:ptCount val="87"/>
                <c:pt idx="0">
                  <c:v>102.609888695225</c:v>
                </c:pt>
                <c:pt idx="1">
                  <c:v>103.21626225835701</c:v>
                </c:pt>
                <c:pt idx="2">
                  <c:v>102.712382329451</c:v>
                </c:pt>
                <c:pt idx="3">
                  <c:v>103.88107154538</c:v>
                </c:pt>
                <c:pt idx="4">
                  <c:v>102.732671543097</c:v>
                </c:pt>
                <c:pt idx="5">
                  <c:v>103.283536160932</c:v>
                </c:pt>
                <c:pt idx="6">
                  <c:v>104.453659560186</c:v>
                </c:pt>
                <c:pt idx="7">
                  <c:v>104.605131157515</c:v>
                </c:pt>
                <c:pt idx="8">
                  <c:v>106.12378779267701</c:v>
                </c:pt>
                <c:pt idx="9">
                  <c:v>103.9849175791</c:v>
                </c:pt>
                <c:pt idx="10">
                  <c:v>103.53507051295</c:v>
                </c:pt>
                <c:pt idx="11">
                  <c:v>103.885031685077</c:v>
                </c:pt>
                <c:pt idx="12">
                  <c:v>104.21139082565099</c:v>
                </c:pt>
                <c:pt idx="13">
                  <c:v>104.526431938684</c:v>
                </c:pt>
                <c:pt idx="14">
                  <c:v>103.865330614892</c:v>
                </c:pt>
                <c:pt idx="15">
                  <c:v>103.387574007696</c:v>
                </c:pt>
                <c:pt idx="16">
                  <c:v>103.98214291091401</c:v>
                </c:pt>
                <c:pt idx="17">
                  <c:v>103.471643751307</c:v>
                </c:pt>
                <c:pt idx="18">
                  <c:v>103.68369588031899</c:v>
                </c:pt>
                <c:pt idx="19">
                  <c:v>103.62054339727599</c:v>
                </c:pt>
                <c:pt idx="20">
                  <c:v>103.642877817873</c:v>
                </c:pt>
                <c:pt idx="21">
                  <c:v>103.944753346219</c:v>
                </c:pt>
                <c:pt idx="22">
                  <c:v>105.058696358323</c:v>
                </c:pt>
                <c:pt idx="23">
                  <c:v>104.361448558706</c:v>
                </c:pt>
                <c:pt idx="24">
                  <c:v>104.41632717914401</c:v>
                </c:pt>
                <c:pt idx="25">
                  <c:v>103.99818402193</c:v>
                </c:pt>
                <c:pt idx="26">
                  <c:v>104.818879218135</c:v>
                </c:pt>
                <c:pt idx="27">
                  <c:v>103.838914922035</c:v>
                </c:pt>
                <c:pt idx="28">
                  <c:v>103.70521398544101</c:v>
                </c:pt>
                <c:pt idx="29">
                  <c:v>104.012756136448</c:v>
                </c:pt>
                <c:pt idx="30">
                  <c:v>103.31271858693199</c:v>
                </c:pt>
                <c:pt idx="31">
                  <c:v>103.741312928317</c:v>
                </c:pt>
                <c:pt idx="32">
                  <c:v>101.966020266581</c:v>
                </c:pt>
                <c:pt idx="33">
                  <c:v>103.90665324443999</c:v>
                </c:pt>
                <c:pt idx="34">
                  <c:v>104.130665546898</c:v>
                </c:pt>
                <c:pt idx="35">
                  <c:v>105.14458584162399</c:v>
                </c:pt>
                <c:pt idx="36">
                  <c:v>104.394452325497</c:v>
                </c:pt>
                <c:pt idx="37">
                  <c:v>104.649563275874</c:v>
                </c:pt>
                <c:pt idx="38">
                  <c:v>104.90408120403001</c:v>
                </c:pt>
                <c:pt idx="39">
                  <c:v>104.26529042784</c:v>
                </c:pt>
                <c:pt idx="40">
                  <c:v>105.54839678409699</c:v>
                </c:pt>
                <c:pt idx="41">
                  <c:v>105.10295733649799</c:v>
                </c:pt>
                <c:pt idx="42">
                  <c:v>105.004341330226</c:v>
                </c:pt>
                <c:pt idx="43">
                  <c:v>104.024656290997</c:v>
                </c:pt>
                <c:pt idx="44">
                  <c:v>104.599774056832</c:v>
                </c:pt>
                <c:pt idx="45">
                  <c:v>103.754304574279</c:v>
                </c:pt>
                <c:pt idx="46">
                  <c:v>102.969495900664</c:v>
                </c:pt>
                <c:pt idx="47">
                  <c:v>102.414983133306</c:v>
                </c:pt>
                <c:pt idx="48">
                  <c:v>103.33821187527801</c:v>
                </c:pt>
                <c:pt idx="49">
                  <c:v>104.41336891597101</c:v>
                </c:pt>
                <c:pt idx="50">
                  <c:v>102.202563654437</c:v>
                </c:pt>
                <c:pt idx="51">
                  <c:v>103.02604093828199</c:v>
                </c:pt>
                <c:pt idx="52">
                  <c:v>101.78747932363601</c:v>
                </c:pt>
                <c:pt idx="53">
                  <c:v>102.891303338322</c:v>
                </c:pt>
                <c:pt idx="54">
                  <c:v>102.486705324849</c:v>
                </c:pt>
                <c:pt idx="55">
                  <c:v>102.712267768494</c:v>
                </c:pt>
                <c:pt idx="56">
                  <c:v>102.57982452354899</c:v>
                </c:pt>
                <c:pt idx="57">
                  <c:v>100.224003557499</c:v>
                </c:pt>
                <c:pt idx="58">
                  <c:v>101.510472062951</c:v>
                </c:pt>
                <c:pt idx="59">
                  <c:v>101.23982322802399</c:v>
                </c:pt>
                <c:pt idx="60">
                  <c:v>102.34668970472499</c:v>
                </c:pt>
                <c:pt idx="61">
                  <c:v>101.997212721853</c:v>
                </c:pt>
                <c:pt idx="62">
                  <c:v>97.944775901992699</c:v>
                </c:pt>
                <c:pt idx="63">
                  <c:v>73.589196079982401</c:v>
                </c:pt>
                <c:pt idx="64">
                  <c:v>72.492031597230394</c:v>
                </c:pt>
                <c:pt idx="65">
                  <c:v>86.104180023838893</c:v>
                </c:pt>
                <c:pt idx="66">
                  <c:v>91.125650410833899</c:v>
                </c:pt>
                <c:pt idx="67">
                  <c:v>94.277241278714996</c:v>
                </c:pt>
                <c:pt idx="68">
                  <c:v>96.465102841668099</c:v>
                </c:pt>
                <c:pt idx="69">
                  <c:v>97.148235919360104</c:v>
                </c:pt>
                <c:pt idx="70">
                  <c:v>97.953973652240805</c:v>
                </c:pt>
                <c:pt idx="71">
                  <c:v>97.632078098833404</c:v>
                </c:pt>
                <c:pt idx="72">
                  <c:v>97.232293345770898</c:v>
                </c:pt>
                <c:pt idx="73">
                  <c:v>97.876919735194804</c:v>
                </c:pt>
                <c:pt idx="74">
                  <c:v>98.245026412149301</c:v>
                </c:pt>
                <c:pt idx="75">
                  <c:v>98.652691025133905</c:v>
                </c:pt>
                <c:pt idx="76">
                  <c:v>98.484568742915201</c:v>
                </c:pt>
                <c:pt idx="77">
                  <c:v>97.777700045537998</c:v>
                </c:pt>
                <c:pt idx="78">
                  <c:v>98.636275852990593</c:v>
                </c:pt>
                <c:pt idx="79">
                  <c:v>99.018748536020198</c:v>
                </c:pt>
                <c:pt idx="80">
                  <c:v>98.0156793208576</c:v>
                </c:pt>
                <c:pt idx="81">
                  <c:v>98.752553593617094</c:v>
                </c:pt>
                <c:pt idx="82">
                  <c:v>98.851299836998507</c:v>
                </c:pt>
                <c:pt idx="83">
                  <c:v>100.05011878761999</c:v>
                </c:pt>
                <c:pt idx="84">
                  <c:v>101.457867644892</c:v>
                </c:pt>
                <c:pt idx="85">
                  <c:v>100.213850951311</c:v>
                </c:pt>
                <c:pt idx="86">
                  <c:v>100.57465418535899</c:v>
                </c:pt>
              </c:numCache>
            </c:numRef>
          </c:val>
          <c:extLst>
            <c:ext xmlns:c16="http://schemas.microsoft.com/office/drawing/2014/chart" uri="{C3380CC4-5D6E-409C-BE32-E72D297353CC}">
              <c16:uniqueId val="{00000000-37C0-4C86-95E2-404D1977AD3D}"/>
            </c:ext>
          </c:extLst>
        </c:ser>
        <c:dLbls>
          <c:showLegendKey val="0"/>
          <c:showVal val="1"/>
          <c:showCatName val="0"/>
          <c:showSerName val="0"/>
          <c:showPercent val="0"/>
          <c:showBubbleSize val="0"/>
        </c:dLbls>
        <c:gapWidth val="80"/>
        <c:axId val="121037568"/>
        <c:axId val="121038744"/>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datos!$B$77:$C$163</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datos!$E$77:$E$163</c:f>
              <c:numCache>
                <c:formatCode>0.0</c:formatCode>
                <c:ptCount val="87"/>
                <c:pt idx="0">
                  <c:v>103.15963532743601</c:v>
                </c:pt>
                <c:pt idx="1">
                  <c:v>103.061821353757</c:v>
                </c:pt>
                <c:pt idx="2">
                  <c:v>103.038369633942</c:v>
                </c:pt>
                <c:pt idx="3">
                  <c:v>103.160026708812</c:v>
                </c:pt>
                <c:pt idx="4">
                  <c:v>103.418701908746</c:v>
                </c:pt>
                <c:pt idx="5">
                  <c:v>103.725011458829</c:v>
                </c:pt>
                <c:pt idx="6">
                  <c:v>103.981931702721</c:v>
                </c:pt>
                <c:pt idx="7">
                  <c:v>104.12104574415901</c:v>
                </c:pt>
                <c:pt idx="8">
                  <c:v>104.159125739724</c:v>
                </c:pt>
                <c:pt idx="9">
                  <c:v>104.13055241892199</c:v>
                </c:pt>
                <c:pt idx="10">
                  <c:v>104.072236103336</c:v>
                </c:pt>
                <c:pt idx="11">
                  <c:v>104.016340619866</c:v>
                </c:pt>
                <c:pt idx="12">
                  <c:v>104.00468916503699</c:v>
                </c:pt>
                <c:pt idx="13">
                  <c:v>104.000032679973</c:v>
                </c:pt>
                <c:pt idx="14">
                  <c:v>103.947677391255</c:v>
                </c:pt>
                <c:pt idx="15">
                  <c:v>103.83740253225</c:v>
                </c:pt>
                <c:pt idx="16">
                  <c:v>103.687627052072</c:v>
                </c:pt>
                <c:pt idx="17">
                  <c:v>103.583013826252</c:v>
                </c:pt>
                <c:pt idx="18">
                  <c:v>103.593622618067</c:v>
                </c:pt>
                <c:pt idx="19">
                  <c:v>103.72873816795899</c:v>
                </c:pt>
                <c:pt idx="20">
                  <c:v>103.923438379156</c:v>
                </c:pt>
                <c:pt idx="21">
                  <c:v>104.133655675409</c:v>
                </c:pt>
                <c:pt idx="22">
                  <c:v>104.32879201314501</c:v>
                </c:pt>
                <c:pt idx="23">
                  <c:v>104.451756862864</c:v>
                </c:pt>
                <c:pt idx="24">
                  <c:v>104.46916672063401</c:v>
                </c:pt>
                <c:pt idx="25">
                  <c:v>104.38531790761699</c:v>
                </c:pt>
                <c:pt idx="26">
                  <c:v>104.225152629807</c:v>
                </c:pt>
                <c:pt idx="27">
                  <c:v>104.03870413879</c:v>
                </c:pt>
                <c:pt idx="28">
                  <c:v>103.869288851487</c:v>
                </c:pt>
                <c:pt idx="29">
                  <c:v>103.72163008301099</c:v>
                </c:pt>
                <c:pt idx="30">
                  <c:v>103.633426767554</c:v>
                </c:pt>
                <c:pt idx="31">
                  <c:v>103.661636099519</c:v>
                </c:pt>
                <c:pt idx="32">
                  <c:v>103.80418447773</c:v>
                </c:pt>
                <c:pt idx="33">
                  <c:v>104.037980652586</c:v>
                </c:pt>
                <c:pt idx="34">
                  <c:v>104.267163865396</c:v>
                </c:pt>
                <c:pt idx="35">
                  <c:v>104.46457742151701</c:v>
                </c:pt>
                <c:pt idx="36">
                  <c:v>104.61332114136999</c:v>
                </c:pt>
                <c:pt idx="37">
                  <c:v>104.736317244964</c:v>
                </c:pt>
                <c:pt idx="38">
                  <c:v>104.84232909525301</c:v>
                </c:pt>
                <c:pt idx="39">
                  <c:v>104.92540344567701</c:v>
                </c:pt>
                <c:pt idx="40">
                  <c:v>104.98270909120301</c:v>
                </c:pt>
                <c:pt idx="41">
                  <c:v>104.97937916299701</c:v>
                </c:pt>
                <c:pt idx="42">
                  <c:v>104.831856814202</c:v>
                </c:pt>
                <c:pt idx="43">
                  <c:v>104.51502074807</c:v>
                </c:pt>
                <c:pt idx="44">
                  <c:v>104.106150120973</c:v>
                </c:pt>
                <c:pt idx="45">
                  <c:v>103.66185471615</c:v>
                </c:pt>
                <c:pt idx="46">
                  <c:v>103.279514002718</c:v>
                </c:pt>
                <c:pt idx="47">
                  <c:v>102.99040581371899</c:v>
                </c:pt>
                <c:pt idx="48">
                  <c:v>102.77502974717</c:v>
                </c:pt>
                <c:pt idx="49">
                  <c:v>102.63110187339799</c:v>
                </c:pt>
                <c:pt idx="50">
                  <c:v>102.548558070537</c:v>
                </c:pt>
                <c:pt idx="51">
                  <c:v>102.52813128394099</c:v>
                </c:pt>
                <c:pt idx="52">
                  <c:v>102.537301963153</c:v>
                </c:pt>
                <c:pt idx="53">
                  <c:v>102.56315460164301</c:v>
                </c:pt>
                <c:pt idx="54">
                  <c:v>102.546355400303</c:v>
                </c:pt>
                <c:pt idx="55">
                  <c:v>102.447617606897</c:v>
                </c:pt>
                <c:pt idx="56">
                  <c:v>102.26016870655501</c:v>
                </c:pt>
                <c:pt idx="57">
                  <c:v>102.050589013756</c:v>
                </c:pt>
                <c:pt idx="58">
                  <c:v>101.878128888899</c:v>
                </c:pt>
                <c:pt idx="59">
                  <c:v>101.773095499014</c:v>
                </c:pt>
                <c:pt idx="60">
                  <c:v>101.76459025423</c:v>
                </c:pt>
                <c:pt idx="61">
                  <c:v>101.79495028877101</c:v>
                </c:pt>
                <c:pt idx="62">
                  <c:v>101.830780561852</c:v>
                </c:pt>
                <c:pt idx="63">
                  <c:v>94.820308510951605</c:v>
                </c:pt>
                <c:pt idx="64">
                  <c:v>94.872504838089895</c:v>
                </c:pt>
                <c:pt idx="65">
                  <c:v>95.048304700969098</c:v>
                </c:pt>
                <c:pt idx="66">
                  <c:v>95.417226953155804</c:v>
                </c:pt>
                <c:pt idx="67">
                  <c:v>95.937455536159504</c:v>
                </c:pt>
                <c:pt idx="68">
                  <c:v>96.487823524669196</c:v>
                </c:pt>
                <c:pt idx="69">
                  <c:v>96.975354996029296</c:v>
                </c:pt>
                <c:pt idx="70">
                  <c:v>97.354109094141293</c:v>
                </c:pt>
                <c:pt idx="71">
                  <c:v>97.637857784027503</c:v>
                </c:pt>
                <c:pt idx="72">
                  <c:v>97.8363875473772</c:v>
                </c:pt>
                <c:pt idx="73">
                  <c:v>97.976312766237797</c:v>
                </c:pt>
                <c:pt idx="74">
                  <c:v>98.116702305985797</c:v>
                </c:pt>
                <c:pt idx="75">
                  <c:v>98.256325831411999</c:v>
                </c:pt>
                <c:pt idx="76">
                  <c:v>98.370798149222495</c:v>
                </c:pt>
                <c:pt idx="77">
                  <c:v>98.415365607966194</c:v>
                </c:pt>
                <c:pt idx="78">
                  <c:v>98.412070779571806</c:v>
                </c:pt>
                <c:pt idx="79">
                  <c:v>98.447503537509505</c:v>
                </c:pt>
                <c:pt idx="80">
                  <c:v>98.587897082544799</c:v>
                </c:pt>
                <c:pt idx="81">
                  <c:v>98.845339735262399</c:v>
                </c:pt>
                <c:pt idx="82">
                  <c:v>99.185439913524704</c:v>
                </c:pt>
                <c:pt idx="83">
                  <c:v>99.552550315482407</c:v>
                </c:pt>
                <c:pt idx="84">
                  <c:v>99.915263765496704</c:v>
                </c:pt>
                <c:pt idx="85">
                  <c:v>100.25129430906</c:v>
                </c:pt>
                <c:pt idx="86">
                  <c:v>100.496108564542</c:v>
                </c:pt>
              </c:numCache>
            </c:numRef>
          </c:val>
          <c:smooth val="0"/>
          <c:extLst>
            <c:ext xmlns:c16="http://schemas.microsoft.com/office/drawing/2014/chart" uri="{C3380CC4-5D6E-409C-BE32-E72D297353CC}">
              <c16:uniqueId val="{00000001-37C0-4C86-95E2-404D1977AD3D}"/>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datos!$B$77:$C$163</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datos!$D$77:$D$163</c:f>
              <c:numCache>
                <c:formatCode>0.0</c:formatCode>
                <c:ptCount val="87"/>
                <c:pt idx="0">
                  <c:v>102.609888695225</c:v>
                </c:pt>
                <c:pt idx="1">
                  <c:v>103.21626225835701</c:v>
                </c:pt>
                <c:pt idx="2">
                  <c:v>102.712382329451</c:v>
                </c:pt>
                <c:pt idx="3">
                  <c:v>103.88107154538</c:v>
                </c:pt>
                <c:pt idx="4">
                  <c:v>102.732671543097</c:v>
                </c:pt>
                <c:pt idx="5">
                  <c:v>103.283536160932</c:v>
                </c:pt>
                <c:pt idx="6">
                  <c:v>104.453659560186</c:v>
                </c:pt>
                <c:pt idx="7">
                  <c:v>104.605131157515</c:v>
                </c:pt>
                <c:pt idx="8">
                  <c:v>106.12378779267701</c:v>
                </c:pt>
                <c:pt idx="9">
                  <c:v>103.9849175791</c:v>
                </c:pt>
                <c:pt idx="10">
                  <c:v>103.53507051295</c:v>
                </c:pt>
                <c:pt idx="11">
                  <c:v>103.885031685077</c:v>
                </c:pt>
                <c:pt idx="12">
                  <c:v>104.21139082565099</c:v>
                </c:pt>
                <c:pt idx="13">
                  <c:v>104.526431938684</c:v>
                </c:pt>
                <c:pt idx="14">
                  <c:v>103.865330614892</c:v>
                </c:pt>
                <c:pt idx="15">
                  <c:v>103.387574007696</c:v>
                </c:pt>
                <c:pt idx="16">
                  <c:v>103.98214291091401</c:v>
                </c:pt>
                <c:pt idx="17">
                  <c:v>103.471643751307</c:v>
                </c:pt>
                <c:pt idx="18">
                  <c:v>103.68369588031899</c:v>
                </c:pt>
                <c:pt idx="19">
                  <c:v>103.62054339727599</c:v>
                </c:pt>
                <c:pt idx="20">
                  <c:v>103.642877817873</c:v>
                </c:pt>
                <c:pt idx="21">
                  <c:v>103.944753346219</c:v>
                </c:pt>
                <c:pt idx="22">
                  <c:v>105.058696358323</c:v>
                </c:pt>
                <c:pt idx="23">
                  <c:v>104.361448558706</c:v>
                </c:pt>
                <c:pt idx="24">
                  <c:v>104.41632717914401</c:v>
                </c:pt>
                <c:pt idx="25">
                  <c:v>103.99818402193</c:v>
                </c:pt>
                <c:pt idx="26">
                  <c:v>104.818879218135</c:v>
                </c:pt>
                <c:pt idx="27">
                  <c:v>103.838914922035</c:v>
                </c:pt>
                <c:pt idx="28">
                  <c:v>103.70521398544101</c:v>
                </c:pt>
                <c:pt idx="29">
                  <c:v>104.012756136448</c:v>
                </c:pt>
                <c:pt idx="30">
                  <c:v>103.31271858693199</c:v>
                </c:pt>
                <c:pt idx="31">
                  <c:v>103.741312928317</c:v>
                </c:pt>
                <c:pt idx="32">
                  <c:v>101.966020266581</c:v>
                </c:pt>
                <c:pt idx="33">
                  <c:v>103.90665324443999</c:v>
                </c:pt>
                <c:pt idx="34">
                  <c:v>104.130665546898</c:v>
                </c:pt>
                <c:pt idx="35">
                  <c:v>105.14458584162399</c:v>
                </c:pt>
                <c:pt idx="36">
                  <c:v>104.394452325497</c:v>
                </c:pt>
                <c:pt idx="37">
                  <c:v>104.649563275874</c:v>
                </c:pt>
                <c:pt idx="38">
                  <c:v>104.90408120403001</c:v>
                </c:pt>
                <c:pt idx="39">
                  <c:v>104.26529042784</c:v>
                </c:pt>
                <c:pt idx="40">
                  <c:v>105.54839678409699</c:v>
                </c:pt>
                <c:pt idx="41">
                  <c:v>105.10295733649799</c:v>
                </c:pt>
                <c:pt idx="42">
                  <c:v>105.004341330226</c:v>
                </c:pt>
                <c:pt idx="43">
                  <c:v>104.024656290997</c:v>
                </c:pt>
                <c:pt idx="44">
                  <c:v>104.599774056832</c:v>
                </c:pt>
                <c:pt idx="45">
                  <c:v>103.754304574279</c:v>
                </c:pt>
                <c:pt idx="46">
                  <c:v>102.969495900664</c:v>
                </c:pt>
                <c:pt idx="47">
                  <c:v>102.414983133306</c:v>
                </c:pt>
                <c:pt idx="48">
                  <c:v>103.33821187527801</c:v>
                </c:pt>
                <c:pt idx="49">
                  <c:v>104.41336891597101</c:v>
                </c:pt>
                <c:pt idx="50">
                  <c:v>102.202563654437</c:v>
                </c:pt>
                <c:pt idx="51">
                  <c:v>103.02604093828199</c:v>
                </c:pt>
                <c:pt idx="52">
                  <c:v>101.78747932363601</c:v>
                </c:pt>
                <c:pt idx="53">
                  <c:v>102.891303338322</c:v>
                </c:pt>
                <c:pt idx="54">
                  <c:v>102.486705324849</c:v>
                </c:pt>
                <c:pt idx="55">
                  <c:v>102.712267768494</c:v>
                </c:pt>
                <c:pt idx="56">
                  <c:v>102.57982452354899</c:v>
                </c:pt>
                <c:pt idx="57">
                  <c:v>100.224003557499</c:v>
                </c:pt>
                <c:pt idx="58">
                  <c:v>101.510472062951</c:v>
                </c:pt>
                <c:pt idx="59">
                  <c:v>101.23982322802399</c:v>
                </c:pt>
                <c:pt idx="60">
                  <c:v>102.34668970472499</c:v>
                </c:pt>
                <c:pt idx="61">
                  <c:v>101.997212721853</c:v>
                </c:pt>
                <c:pt idx="62">
                  <c:v>97.944775901992699</c:v>
                </c:pt>
                <c:pt idx="63">
                  <c:v>73.589196079982401</c:v>
                </c:pt>
                <c:pt idx="64">
                  <c:v>72.492031597230394</c:v>
                </c:pt>
                <c:pt idx="65">
                  <c:v>86.104180023838893</c:v>
                </c:pt>
                <c:pt idx="66">
                  <c:v>91.125650410833899</c:v>
                </c:pt>
                <c:pt idx="67">
                  <c:v>94.277241278714996</c:v>
                </c:pt>
                <c:pt idx="68">
                  <c:v>96.465102841668099</c:v>
                </c:pt>
                <c:pt idx="69">
                  <c:v>97.148235919360104</c:v>
                </c:pt>
                <c:pt idx="70">
                  <c:v>97.953973652240805</c:v>
                </c:pt>
                <c:pt idx="71">
                  <c:v>97.632078098833404</c:v>
                </c:pt>
                <c:pt idx="72">
                  <c:v>97.232293345770898</c:v>
                </c:pt>
                <c:pt idx="73">
                  <c:v>97.876919735194804</c:v>
                </c:pt>
                <c:pt idx="74">
                  <c:v>98.245026412149301</c:v>
                </c:pt>
                <c:pt idx="75">
                  <c:v>98.652691025133905</c:v>
                </c:pt>
                <c:pt idx="76">
                  <c:v>98.484568742915201</c:v>
                </c:pt>
                <c:pt idx="77">
                  <c:v>97.777700045537998</c:v>
                </c:pt>
                <c:pt idx="78">
                  <c:v>98.636275852990593</c:v>
                </c:pt>
                <c:pt idx="79">
                  <c:v>99.018748536020198</c:v>
                </c:pt>
                <c:pt idx="80">
                  <c:v>98.0156793208576</c:v>
                </c:pt>
                <c:pt idx="81">
                  <c:v>98.752553593617094</c:v>
                </c:pt>
                <c:pt idx="82">
                  <c:v>98.851299836998507</c:v>
                </c:pt>
                <c:pt idx="83">
                  <c:v>100.05011878761999</c:v>
                </c:pt>
                <c:pt idx="84">
                  <c:v>101.457867644892</c:v>
                </c:pt>
                <c:pt idx="85">
                  <c:v>100.213850951311</c:v>
                </c:pt>
                <c:pt idx="86">
                  <c:v>100.57465418535899</c:v>
                </c:pt>
              </c:numCache>
            </c:numRef>
          </c:val>
          <c:extLst>
            <c:ext xmlns:c16="http://schemas.microsoft.com/office/drawing/2014/chart" uri="{C3380CC4-5D6E-409C-BE32-E72D297353CC}">
              <c16:uniqueId val="{00000000-DCD7-47E9-A510-0EC0F7837A87}"/>
            </c:ext>
          </c:extLst>
        </c:ser>
        <c:dLbls>
          <c:showLegendKey val="0"/>
          <c:showVal val="1"/>
          <c:showCatName val="0"/>
          <c:showSerName val="0"/>
          <c:showPercent val="0"/>
          <c:showBubbleSize val="0"/>
        </c:dLbls>
        <c:gapWidth val="80"/>
        <c:axId val="121037568"/>
        <c:axId val="121038744"/>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datos!$B$77:$C$163</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datos!$E$77:$E$163</c:f>
              <c:numCache>
                <c:formatCode>0.0</c:formatCode>
                <c:ptCount val="87"/>
                <c:pt idx="0">
                  <c:v>103.15963532743601</c:v>
                </c:pt>
                <c:pt idx="1">
                  <c:v>103.061821353757</c:v>
                </c:pt>
                <c:pt idx="2">
                  <c:v>103.038369633942</c:v>
                </c:pt>
                <c:pt idx="3">
                  <c:v>103.160026708812</c:v>
                </c:pt>
                <c:pt idx="4">
                  <c:v>103.418701908746</c:v>
                </c:pt>
                <c:pt idx="5">
                  <c:v>103.725011458829</c:v>
                </c:pt>
                <c:pt idx="6">
                  <c:v>103.981931702721</c:v>
                </c:pt>
                <c:pt idx="7">
                  <c:v>104.12104574415901</c:v>
                </c:pt>
                <c:pt idx="8">
                  <c:v>104.159125739724</c:v>
                </c:pt>
                <c:pt idx="9">
                  <c:v>104.13055241892199</c:v>
                </c:pt>
                <c:pt idx="10">
                  <c:v>104.072236103336</c:v>
                </c:pt>
                <c:pt idx="11">
                  <c:v>104.016340619866</c:v>
                </c:pt>
                <c:pt idx="12">
                  <c:v>104.00468916503699</c:v>
                </c:pt>
                <c:pt idx="13">
                  <c:v>104.000032679973</c:v>
                </c:pt>
                <c:pt idx="14">
                  <c:v>103.947677391255</c:v>
                </c:pt>
                <c:pt idx="15">
                  <c:v>103.83740253225</c:v>
                </c:pt>
                <c:pt idx="16">
                  <c:v>103.687627052072</c:v>
                </c:pt>
                <c:pt idx="17">
                  <c:v>103.583013826252</c:v>
                </c:pt>
                <c:pt idx="18">
                  <c:v>103.593622618067</c:v>
                </c:pt>
                <c:pt idx="19">
                  <c:v>103.72873816795899</c:v>
                </c:pt>
                <c:pt idx="20">
                  <c:v>103.923438379156</c:v>
                </c:pt>
                <c:pt idx="21">
                  <c:v>104.133655675409</c:v>
                </c:pt>
                <c:pt idx="22">
                  <c:v>104.32879201314501</c:v>
                </c:pt>
                <c:pt idx="23">
                  <c:v>104.451756862864</c:v>
                </c:pt>
                <c:pt idx="24">
                  <c:v>104.46916672063401</c:v>
                </c:pt>
                <c:pt idx="25">
                  <c:v>104.38531790761699</c:v>
                </c:pt>
                <c:pt idx="26">
                  <c:v>104.225152629807</c:v>
                </c:pt>
                <c:pt idx="27">
                  <c:v>104.03870413879</c:v>
                </c:pt>
                <c:pt idx="28">
                  <c:v>103.869288851487</c:v>
                </c:pt>
                <c:pt idx="29">
                  <c:v>103.72163008301099</c:v>
                </c:pt>
                <c:pt idx="30">
                  <c:v>103.633426767554</c:v>
                </c:pt>
                <c:pt idx="31">
                  <c:v>103.661636099519</c:v>
                </c:pt>
                <c:pt idx="32">
                  <c:v>103.80418447773</c:v>
                </c:pt>
                <c:pt idx="33">
                  <c:v>104.037980652586</c:v>
                </c:pt>
                <c:pt idx="34">
                  <c:v>104.267163865396</c:v>
                </c:pt>
                <c:pt idx="35">
                  <c:v>104.46457742151701</c:v>
                </c:pt>
                <c:pt idx="36">
                  <c:v>104.61332114136999</c:v>
                </c:pt>
                <c:pt idx="37">
                  <c:v>104.736317244964</c:v>
                </c:pt>
                <c:pt idx="38">
                  <c:v>104.84232909525301</c:v>
                </c:pt>
                <c:pt idx="39">
                  <c:v>104.92540344567701</c:v>
                </c:pt>
                <c:pt idx="40">
                  <c:v>104.98270909120301</c:v>
                </c:pt>
                <c:pt idx="41">
                  <c:v>104.97937916299701</c:v>
                </c:pt>
                <c:pt idx="42">
                  <c:v>104.831856814202</c:v>
                </c:pt>
                <c:pt idx="43">
                  <c:v>104.51502074807</c:v>
                </c:pt>
                <c:pt idx="44">
                  <c:v>104.106150120973</c:v>
                </c:pt>
                <c:pt idx="45">
                  <c:v>103.66185471615</c:v>
                </c:pt>
                <c:pt idx="46">
                  <c:v>103.279514002718</c:v>
                </c:pt>
                <c:pt idx="47">
                  <c:v>102.99040581371899</c:v>
                </c:pt>
                <c:pt idx="48">
                  <c:v>102.77502974717</c:v>
                </c:pt>
                <c:pt idx="49">
                  <c:v>102.63110187339799</c:v>
                </c:pt>
                <c:pt idx="50">
                  <c:v>102.548558070537</c:v>
                </c:pt>
                <c:pt idx="51">
                  <c:v>102.52813128394099</c:v>
                </c:pt>
                <c:pt idx="52">
                  <c:v>102.537301963153</c:v>
                </c:pt>
                <c:pt idx="53">
                  <c:v>102.56315460164301</c:v>
                </c:pt>
                <c:pt idx="54">
                  <c:v>102.546355400303</c:v>
                </c:pt>
                <c:pt idx="55">
                  <c:v>102.447617606897</c:v>
                </c:pt>
                <c:pt idx="56">
                  <c:v>102.26016870655501</c:v>
                </c:pt>
                <c:pt idx="57">
                  <c:v>102.050589013756</c:v>
                </c:pt>
                <c:pt idx="58">
                  <c:v>101.878128888899</c:v>
                </c:pt>
                <c:pt idx="59">
                  <c:v>101.773095499014</c:v>
                </c:pt>
                <c:pt idx="60">
                  <c:v>101.76459025423</c:v>
                </c:pt>
                <c:pt idx="61">
                  <c:v>101.79495028877101</c:v>
                </c:pt>
                <c:pt idx="62">
                  <c:v>101.830780561852</c:v>
                </c:pt>
                <c:pt idx="63">
                  <c:v>94.820308510951605</c:v>
                </c:pt>
                <c:pt idx="64">
                  <c:v>94.872504838089895</c:v>
                </c:pt>
                <c:pt idx="65">
                  <c:v>95.048304700969098</c:v>
                </c:pt>
                <c:pt idx="66">
                  <c:v>95.417226953155804</c:v>
                </c:pt>
                <c:pt idx="67">
                  <c:v>95.937455536159504</c:v>
                </c:pt>
                <c:pt idx="68">
                  <c:v>96.487823524669196</c:v>
                </c:pt>
                <c:pt idx="69">
                  <c:v>96.975354996029296</c:v>
                </c:pt>
                <c:pt idx="70">
                  <c:v>97.354109094141293</c:v>
                </c:pt>
                <c:pt idx="71">
                  <c:v>97.637857784027503</c:v>
                </c:pt>
                <c:pt idx="72">
                  <c:v>97.8363875473772</c:v>
                </c:pt>
                <c:pt idx="73">
                  <c:v>97.976312766237797</c:v>
                </c:pt>
                <c:pt idx="74">
                  <c:v>98.116702305985797</c:v>
                </c:pt>
                <c:pt idx="75">
                  <c:v>98.256325831411999</c:v>
                </c:pt>
                <c:pt idx="76">
                  <c:v>98.370798149222495</c:v>
                </c:pt>
                <c:pt idx="77">
                  <c:v>98.415365607966194</c:v>
                </c:pt>
                <c:pt idx="78">
                  <c:v>98.412070779571806</c:v>
                </c:pt>
                <c:pt idx="79">
                  <c:v>98.447503537509505</c:v>
                </c:pt>
                <c:pt idx="80">
                  <c:v>98.587897082544799</c:v>
                </c:pt>
                <c:pt idx="81">
                  <c:v>98.845339735262399</c:v>
                </c:pt>
                <c:pt idx="82">
                  <c:v>99.185439913524704</c:v>
                </c:pt>
                <c:pt idx="83">
                  <c:v>99.552550315482407</c:v>
                </c:pt>
                <c:pt idx="84">
                  <c:v>99.915263765496704</c:v>
                </c:pt>
                <c:pt idx="85">
                  <c:v>100.25129430906</c:v>
                </c:pt>
                <c:pt idx="86">
                  <c:v>100.496108564542</c:v>
                </c:pt>
              </c:numCache>
            </c:numRef>
          </c:val>
          <c:smooth val="0"/>
          <c:extLst>
            <c:ext xmlns:c16="http://schemas.microsoft.com/office/drawing/2014/chart" uri="{C3380CC4-5D6E-409C-BE32-E72D297353CC}">
              <c16:uniqueId val="{00000001-DCD7-47E9-A510-0EC0F7837A87}"/>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datos!$B$77:$C$163</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datos!$F$77:$F$163</c:f>
              <c:numCache>
                <c:formatCode>0.0</c:formatCode>
                <c:ptCount val="87"/>
                <c:pt idx="0">
                  <c:v>95.080156445446093</c:v>
                </c:pt>
                <c:pt idx="1">
                  <c:v>97.188579836022001</c:v>
                </c:pt>
                <c:pt idx="2">
                  <c:v>95.613299527100494</c:v>
                </c:pt>
                <c:pt idx="3">
                  <c:v>92.6341122898707</c:v>
                </c:pt>
                <c:pt idx="4">
                  <c:v>92.683032399488695</c:v>
                </c:pt>
                <c:pt idx="5">
                  <c:v>93.481213889242895</c:v>
                </c:pt>
                <c:pt idx="6">
                  <c:v>93.515446007598797</c:v>
                </c:pt>
                <c:pt idx="7">
                  <c:v>93.979254617922507</c:v>
                </c:pt>
                <c:pt idx="8">
                  <c:v>93.431178300592705</c:v>
                </c:pt>
                <c:pt idx="9">
                  <c:v>93.3051406808178</c:v>
                </c:pt>
                <c:pt idx="10">
                  <c:v>92.725237622979705</c:v>
                </c:pt>
                <c:pt idx="11">
                  <c:v>92.745739772006601</c:v>
                </c:pt>
                <c:pt idx="12">
                  <c:v>91.881046930156899</c:v>
                </c:pt>
                <c:pt idx="13">
                  <c:v>93.200012309154602</c:v>
                </c:pt>
                <c:pt idx="14">
                  <c:v>92.3975630928947</c:v>
                </c:pt>
                <c:pt idx="15">
                  <c:v>90.440961581332004</c:v>
                </c:pt>
                <c:pt idx="16">
                  <c:v>89.838326692472904</c:v>
                </c:pt>
                <c:pt idx="17">
                  <c:v>89.428025418769707</c:v>
                </c:pt>
                <c:pt idx="18">
                  <c:v>89.9026762623092</c:v>
                </c:pt>
                <c:pt idx="19">
                  <c:v>88.253618126220502</c:v>
                </c:pt>
                <c:pt idx="20">
                  <c:v>88.008940747934204</c:v>
                </c:pt>
                <c:pt idx="21">
                  <c:v>88.4783045101575</c:v>
                </c:pt>
                <c:pt idx="22">
                  <c:v>86.862847922248505</c:v>
                </c:pt>
                <c:pt idx="23">
                  <c:v>85.989960597433594</c:v>
                </c:pt>
                <c:pt idx="24">
                  <c:v>85.386526586868598</c:v>
                </c:pt>
                <c:pt idx="25">
                  <c:v>84.284330324586705</c:v>
                </c:pt>
                <c:pt idx="26">
                  <c:v>84.696657494964796</c:v>
                </c:pt>
                <c:pt idx="27">
                  <c:v>84.630675102428995</c:v>
                </c:pt>
                <c:pt idx="28">
                  <c:v>84.583290839126207</c:v>
                </c:pt>
                <c:pt idx="29">
                  <c:v>84.271716622038596</c:v>
                </c:pt>
                <c:pt idx="30">
                  <c:v>83.522919317718404</c:v>
                </c:pt>
                <c:pt idx="31">
                  <c:v>81.204072244780093</c:v>
                </c:pt>
                <c:pt idx="32">
                  <c:v>75.134110191778504</c:v>
                </c:pt>
                <c:pt idx="33">
                  <c:v>80.036485464038606</c:v>
                </c:pt>
                <c:pt idx="34">
                  <c:v>80.153763176529495</c:v>
                </c:pt>
                <c:pt idx="35">
                  <c:v>80.227133805177601</c:v>
                </c:pt>
                <c:pt idx="36">
                  <c:v>80.202766828837795</c:v>
                </c:pt>
                <c:pt idx="37">
                  <c:v>78.758510398372906</c:v>
                </c:pt>
                <c:pt idx="38">
                  <c:v>78.848975611209198</c:v>
                </c:pt>
                <c:pt idx="39">
                  <c:v>79.676911864720594</c:v>
                </c:pt>
                <c:pt idx="40">
                  <c:v>79.220553816683207</c:v>
                </c:pt>
                <c:pt idx="41">
                  <c:v>78.319928593217199</c:v>
                </c:pt>
                <c:pt idx="42">
                  <c:v>77.724378474652397</c:v>
                </c:pt>
                <c:pt idx="43">
                  <c:v>77.865303339899995</c:v>
                </c:pt>
                <c:pt idx="44">
                  <c:v>77.367323797382298</c:v>
                </c:pt>
                <c:pt idx="45">
                  <c:v>76.304398321823797</c:v>
                </c:pt>
                <c:pt idx="46">
                  <c:v>74.891724504198805</c:v>
                </c:pt>
                <c:pt idx="47">
                  <c:v>74.766225361085304</c:v>
                </c:pt>
                <c:pt idx="48">
                  <c:v>71.847487226590403</c:v>
                </c:pt>
                <c:pt idx="49">
                  <c:v>73.965987796295096</c:v>
                </c:pt>
                <c:pt idx="50">
                  <c:v>74.168552150912504</c:v>
                </c:pt>
                <c:pt idx="51">
                  <c:v>73.452150867667598</c:v>
                </c:pt>
                <c:pt idx="52">
                  <c:v>72.070169619747503</c:v>
                </c:pt>
                <c:pt idx="53">
                  <c:v>74.515723626176893</c:v>
                </c:pt>
                <c:pt idx="54">
                  <c:v>73.8723413982392</c:v>
                </c:pt>
                <c:pt idx="55">
                  <c:v>76.218693038348306</c:v>
                </c:pt>
                <c:pt idx="56">
                  <c:v>75.293136154874404</c:v>
                </c:pt>
                <c:pt idx="57">
                  <c:v>74.817086290349806</c:v>
                </c:pt>
                <c:pt idx="58">
                  <c:v>75.985525246283203</c:v>
                </c:pt>
                <c:pt idx="59">
                  <c:v>75.571201817533506</c:v>
                </c:pt>
                <c:pt idx="60">
                  <c:v>76.312753215115094</c:v>
                </c:pt>
                <c:pt idx="61">
                  <c:v>76.685075065640703</c:v>
                </c:pt>
                <c:pt idx="62">
                  <c:v>76.528096375128698</c:v>
                </c:pt>
                <c:pt idx="63">
                  <c:v>71.793607782797494</c:v>
                </c:pt>
                <c:pt idx="64">
                  <c:v>69.386882099551997</c:v>
                </c:pt>
                <c:pt idx="65">
                  <c:v>71.792707448180906</c:v>
                </c:pt>
                <c:pt idx="66">
                  <c:v>72.829791807171404</c:v>
                </c:pt>
                <c:pt idx="67">
                  <c:v>73.818866034911593</c:v>
                </c:pt>
                <c:pt idx="68">
                  <c:v>73.825743516330405</c:v>
                </c:pt>
                <c:pt idx="69">
                  <c:v>74.662665629492906</c:v>
                </c:pt>
                <c:pt idx="70">
                  <c:v>74.454119349573901</c:v>
                </c:pt>
                <c:pt idx="71">
                  <c:v>74.5098251905128</c:v>
                </c:pt>
                <c:pt idx="72">
                  <c:v>72.938918454369102</c:v>
                </c:pt>
                <c:pt idx="73">
                  <c:v>77.376501728659207</c:v>
                </c:pt>
                <c:pt idx="74">
                  <c:v>75.204303529126904</c:v>
                </c:pt>
                <c:pt idx="75">
                  <c:v>75.448157532450395</c:v>
                </c:pt>
                <c:pt idx="76">
                  <c:v>75.832647292569405</c:v>
                </c:pt>
                <c:pt idx="77">
                  <c:v>75.493088603234597</c:v>
                </c:pt>
                <c:pt idx="78">
                  <c:v>75.236052973028507</c:v>
                </c:pt>
                <c:pt idx="79">
                  <c:v>75.074008127743596</c:v>
                </c:pt>
                <c:pt idx="80">
                  <c:v>75.125301638854097</c:v>
                </c:pt>
                <c:pt idx="81">
                  <c:v>75.300232313031401</c:v>
                </c:pt>
                <c:pt idx="82">
                  <c:v>75.545890014205597</c:v>
                </c:pt>
                <c:pt idx="83">
                  <c:v>75.373507539631802</c:v>
                </c:pt>
                <c:pt idx="84">
                  <c:v>80.070554603329498</c:v>
                </c:pt>
                <c:pt idx="85">
                  <c:v>74.9207047636488</c:v>
                </c:pt>
                <c:pt idx="86">
                  <c:v>74.451887748275098</c:v>
                </c:pt>
              </c:numCache>
            </c:numRef>
          </c:val>
          <c:extLst>
            <c:ext xmlns:c16="http://schemas.microsoft.com/office/drawing/2014/chart" uri="{C3380CC4-5D6E-409C-BE32-E72D297353CC}">
              <c16:uniqueId val="{00000000-1722-4A04-8F12-0E38CCAC5346}"/>
            </c:ext>
          </c:extLst>
        </c:ser>
        <c:dLbls>
          <c:showLegendKey val="0"/>
          <c:showVal val="1"/>
          <c:showCatName val="0"/>
          <c:showSerName val="0"/>
          <c:showPercent val="0"/>
          <c:showBubbleSize val="0"/>
        </c:dLbls>
        <c:gapWidth val="80"/>
        <c:axId val="121035216"/>
        <c:axId val="121032080"/>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datos!$B$77:$C$163</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datos!$G$77:$G$163</c:f>
              <c:numCache>
                <c:formatCode>0.0</c:formatCode>
                <c:ptCount val="87"/>
                <c:pt idx="0">
                  <c:v>95.311853160197202</c:v>
                </c:pt>
                <c:pt idx="1">
                  <c:v>94.914631387103</c:v>
                </c:pt>
                <c:pt idx="2">
                  <c:v>94.551290172203906</c:v>
                </c:pt>
                <c:pt idx="3">
                  <c:v>94.214229265902105</c:v>
                </c:pt>
                <c:pt idx="4">
                  <c:v>93.940489719935698</c:v>
                </c:pt>
                <c:pt idx="5">
                  <c:v>93.745082678259195</c:v>
                </c:pt>
                <c:pt idx="6">
                  <c:v>93.622598208871196</c:v>
                </c:pt>
                <c:pt idx="7">
                  <c:v>93.513838211392297</c:v>
                </c:pt>
                <c:pt idx="8">
                  <c:v>93.370020077186098</c:v>
                </c:pt>
                <c:pt idx="9">
                  <c:v>93.199707634522298</c:v>
                </c:pt>
                <c:pt idx="10">
                  <c:v>93.012646107650099</c:v>
                </c:pt>
                <c:pt idx="11">
                  <c:v>92.803278708864497</c:v>
                </c:pt>
                <c:pt idx="12">
                  <c:v>92.517464921357103</c:v>
                </c:pt>
                <c:pt idx="13">
                  <c:v>92.1337401151047</c:v>
                </c:pt>
                <c:pt idx="14">
                  <c:v>91.631323552313802</c:v>
                </c:pt>
                <c:pt idx="15">
                  <c:v>91.004488596898597</c:v>
                </c:pt>
                <c:pt idx="16">
                  <c:v>90.328008471177895</c:v>
                </c:pt>
                <c:pt idx="17">
                  <c:v>89.685124504202903</c:v>
                </c:pt>
                <c:pt idx="18">
                  <c:v>89.1259848126995</c:v>
                </c:pt>
                <c:pt idx="19">
                  <c:v>88.636705037264306</c:v>
                </c:pt>
                <c:pt idx="20">
                  <c:v>88.134057547947094</c:v>
                </c:pt>
                <c:pt idx="21">
                  <c:v>87.512037466141194</c:v>
                </c:pt>
                <c:pt idx="22">
                  <c:v>86.787527115932093</c:v>
                </c:pt>
                <c:pt idx="23">
                  <c:v>86.070469736975298</c:v>
                </c:pt>
                <c:pt idx="24">
                  <c:v>85.460893767761505</c:v>
                </c:pt>
                <c:pt idx="25">
                  <c:v>85.0451544418314</c:v>
                </c:pt>
                <c:pt idx="26">
                  <c:v>84.789790232070004</c:v>
                </c:pt>
                <c:pt idx="27">
                  <c:v>84.600781376547005</c:v>
                </c:pt>
                <c:pt idx="28">
                  <c:v>84.290508222354404</c:v>
                </c:pt>
                <c:pt idx="29">
                  <c:v>83.720834436469104</c:v>
                </c:pt>
                <c:pt idx="30">
                  <c:v>82.903195377487506</c:v>
                </c:pt>
                <c:pt idx="31">
                  <c:v>81.982885533072206</c:v>
                </c:pt>
                <c:pt idx="32">
                  <c:v>81.149493333677796</c:v>
                </c:pt>
                <c:pt idx="33">
                  <c:v>80.517491928090394</c:v>
                </c:pt>
                <c:pt idx="34">
                  <c:v>80.109898129599699</c:v>
                </c:pt>
                <c:pt idx="35">
                  <c:v>79.893282206625003</c:v>
                </c:pt>
                <c:pt idx="36">
                  <c:v>79.773731250892098</c:v>
                </c:pt>
                <c:pt idx="37">
                  <c:v>79.633648608456795</c:v>
                </c:pt>
                <c:pt idx="38">
                  <c:v>79.420302495213505</c:v>
                </c:pt>
                <c:pt idx="39">
                  <c:v>79.164911034865796</c:v>
                </c:pt>
                <c:pt idx="40">
                  <c:v>78.886725703597705</c:v>
                </c:pt>
                <c:pt idx="41">
                  <c:v>78.565465387273804</c:v>
                </c:pt>
                <c:pt idx="42">
                  <c:v>78.141024173086194</c:v>
                </c:pt>
                <c:pt idx="43">
                  <c:v>77.578273529217</c:v>
                </c:pt>
                <c:pt idx="44">
                  <c:v>76.889737210740407</c:v>
                </c:pt>
                <c:pt idx="45">
                  <c:v>76.163488450379006</c:v>
                </c:pt>
                <c:pt idx="46">
                  <c:v>75.464370850766798</c:v>
                </c:pt>
                <c:pt idx="47">
                  <c:v>74.818195699866394</c:v>
                </c:pt>
                <c:pt idx="48">
                  <c:v>74.311457293221594</c:v>
                </c:pt>
                <c:pt idx="49">
                  <c:v>73.987011698555506</c:v>
                </c:pt>
                <c:pt idx="50">
                  <c:v>73.829063168131796</c:v>
                </c:pt>
                <c:pt idx="51">
                  <c:v>73.808970479589803</c:v>
                </c:pt>
                <c:pt idx="52">
                  <c:v>73.8862984197402</c:v>
                </c:pt>
                <c:pt idx="53">
                  <c:v>74.065121703082696</c:v>
                </c:pt>
                <c:pt idx="54">
                  <c:v>74.330034140338199</c:v>
                </c:pt>
                <c:pt idx="55">
                  <c:v>74.634317859753196</c:v>
                </c:pt>
                <c:pt idx="56">
                  <c:v>74.959326931165805</c:v>
                </c:pt>
                <c:pt idx="57">
                  <c:v>75.291474173000907</c:v>
                </c:pt>
                <c:pt idx="58">
                  <c:v>75.617819483316197</c:v>
                </c:pt>
                <c:pt idx="59">
                  <c:v>75.936077021073103</c:v>
                </c:pt>
                <c:pt idx="60">
                  <c:v>76.191691711681898</c:v>
                </c:pt>
                <c:pt idx="61">
                  <c:v>76.348025560784095</c:v>
                </c:pt>
                <c:pt idx="62">
                  <c:v>76.459659524950098</c:v>
                </c:pt>
                <c:pt idx="63">
                  <c:v>71.784540653327099</c:v>
                </c:pt>
                <c:pt idx="64">
                  <c:v>71.985093501164599</c:v>
                </c:pt>
                <c:pt idx="65">
                  <c:v>72.344214911973907</c:v>
                </c:pt>
                <c:pt idx="66">
                  <c:v>72.833821069976196</c:v>
                </c:pt>
                <c:pt idx="67">
                  <c:v>73.385222769635803</c:v>
                </c:pt>
                <c:pt idx="68">
                  <c:v>73.892669347863702</c:v>
                </c:pt>
                <c:pt idx="69">
                  <c:v>74.284014219390301</c:v>
                </c:pt>
                <c:pt idx="70">
                  <c:v>74.545032032687601</c:v>
                </c:pt>
                <c:pt idx="71">
                  <c:v>74.725838644177898</c:v>
                </c:pt>
                <c:pt idx="72">
                  <c:v>74.901197162406206</c:v>
                </c:pt>
                <c:pt idx="73">
                  <c:v>75.108036061747995</c:v>
                </c:pt>
                <c:pt idx="74">
                  <c:v>75.309145096936007</c:v>
                </c:pt>
                <c:pt idx="75">
                  <c:v>75.447723509084994</c:v>
                </c:pt>
                <c:pt idx="76">
                  <c:v>75.490882481307693</c:v>
                </c:pt>
                <c:pt idx="77">
                  <c:v>75.4392564696888</c:v>
                </c:pt>
                <c:pt idx="78">
                  <c:v>75.349455797976603</c:v>
                </c:pt>
                <c:pt idx="79">
                  <c:v>75.284231133984207</c:v>
                </c:pt>
                <c:pt idx="80">
                  <c:v>75.278647102017004</c:v>
                </c:pt>
                <c:pt idx="81">
                  <c:v>75.309489112934401</c:v>
                </c:pt>
                <c:pt idx="82">
                  <c:v>75.340142112650497</c:v>
                </c:pt>
                <c:pt idx="83">
                  <c:v>75.298864938585595</c:v>
                </c:pt>
                <c:pt idx="84">
                  <c:v>75.149905916075099</c:v>
                </c:pt>
                <c:pt idx="85">
                  <c:v>74.931738903425497</c:v>
                </c:pt>
                <c:pt idx="86">
                  <c:v>74.719223567054499</c:v>
                </c:pt>
              </c:numCache>
            </c:numRef>
          </c:val>
          <c:smooth val="0"/>
          <c:extLst>
            <c:ext xmlns:c16="http://schemas.microsoft.com/office/drawing/2014/chart" uri="{C3380CC4-5D6E-409C-BE32-E72D297353CC}">
              <c16:uniqueId val="{00000001-1722-4A04-8F12-0E38CCAC5346}"/>
            </c:ext>
          </c:extLst>
        </c:ser>
        <c:dLbls>
          <c:showLegendKey val="0"/>
          <c:showVal val="1"/>
          <c:showCatName val="0"/>
          <c:showSerName val="0"/>
          <c:showPercent val="0"/>
          <c:showBubbleSize val="0"/>
        </c:dLbls>
        <c:marker val="1"/>
        <c:smooth val="0"/>
        <c:axId val="121035216"/>
        <c:axId val="121032080"/>
      </c:lineChart>
      <c:catAx>
        <c:axId val="121035216"/>
        <c:scaling>
          <c:orientation val="minMax"/>
        </c:scaling>
        <c:delete val="0"/>
        <c:axPos val="b"/>
        <c:numFmt formatCode="General" sourceLinked="1"/>
        <c:majorTickMark val="out"/>
        <c:minorTickMark val="out"/>
        <c:tickLblPos val="nextTo"/>
        <c:spPr>
          <a:ln w="3175">
            <a:solidFill>
              <a:srgbClr val="000000"/>
            </a:solidFill>
            <a:prstDash val="solid"/>
          </a:ln>
        </c:spPr>
        <c:txPr>
          <a:bodyPr rot="0" vert="horz"/>
          <a:lstStyle/>
          <a:p>
            <a:pPr>
              <a:defRPr sz="600"/>
            </a:pPr>
            <a:endParaRPr lang="es-MX"/>
          </a:p>
        </c:txPr>
        <c:crossAx val="121032080"/>
        <c:crosses val="autoZero"/>
        <c:auto val="1"/>
        <c:lblAlgn val="ctr"/>
        <c:lblOffset val="0"/>
        <c:tickLblSkip val="1"/>
        <c:tickMarkSkip val="12"/>
        <c:noMultiLvlLbl val="1"/>
      </c:catAx>
      <c:valAx>
        <c:axId val="121032080"/>
        <c:scaling>
          <c:orientation val="minMax"/>
          <c:max val="10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a:pPr>
            <a:endParaRPr lang="es-MX"/>
          </a:p>
        </c:txPr>
        <c:crossAx val="121035216"/>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761859817467325E-2"/>
          <c:y val="3.0836814819635256E-2"/>
          <c:w val="0.91382854808590108"/>
          <c:h val="0.85542604166666658"/>
        </c:manualLayout>
      </c:layout>
      <c:barChart>
        <c:barDir val="col"/>
        <c:grouping val="clustered"/>
        <c:varyColors val="0"/>
        <c:ser>
          <c:idx val="0"/>
          <c:order val="0"/>
          <c:tx>
            <c:strRef>
              <c:f>datos!$H$4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datos!$B$77:$C$163</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datos!$H$77:$H$163</c:f>
              <c:numCache>
                <c:formatCode>0.0</c:formatCode>
                <c:ptCount val="87"/>
                <c:pt idx="0">
                  <c:v>109.593243216418</c:v>
                </c:pt>
                <c:pt idx="1">
                  <c:v>108.590828972937</c:v>
                </c:pt>
                <c:pt idx="2">
                  <c:v>109.00438852749301</c:v>
                </c:pt>
                <c:pt idx="3">
                  <c:v>109.403860752217</c:v>
                </c:pt>
                <c:pt idx="4">
                  <c:v>107.738490850825</c:v>
                </c:pt>
                <c:pt idx="5">
                  <c:v>107.909930544285</c:v>
                </c:pt>
                <c:pt idx="6">
                  <c:v>109.223919215463</c:v>
                </c:pt>
                <c:pt idx="7">
                  <c:v>110.917369231498</c:v>
                </c:pt>
                <c:pt idx="8">
                  <c:v>111.407771088364</c:v>
                </c:pt>
                <c:pt idx="9">
                  <c:v>112.247596401415</c:v>
                </c:pt>
                <c:pt idx="10">
                  <c:v>111.580597910824</c:v>
                </c:pt>
                <c:pt idx="11">
                  <c:v>111.01172124404501</c:v>
                </c:pt>
                <c:pt idx="12">
                  <c:v>108.625232667487</c:v>
                </c:pt>
                <c:pt idx="13">
                  <c:v>109.87273073159</c:v>
                </c:pt>
                <c:pt idx="14">
                  <c:v>109.35147985642401</c:v>
                </c:pt>
                <c:pt idx="15">
                  <c:v>109.385695555683</c:v>
                </c:pt>
                <c:pt idx="16">
                  <c:v>110.62625983071599</c:v>
                </c:pt>
                <c:pt idx="17">
                  <c:v>110.804114125745</c:v>
                </c:pt>
                <c:pt idx="18">
                  <c:v>111.40973415332201</c:v>
                </c:pt>
                <c:pt idx="19">
                  <c:v>110.39114489706</c:v>
                </c:pt>
                <c:pt idx="20">
                  <c:v>109.362803198682</c:v>
                </c:pt>
                <c:pt idx="21">
                  <c:v>110.421781245936</c:v>
                </c:pt>
                <c:pt idx="22">
                  <c:v>109.29991248918</c:v>
                </c:pt>
                <c:pt idx="23">
                  <c:v>110.55651352364301</c:v>
                </c:pt>
                <c:pt idx="24">
                  <c:v>110.388557791724</c:v>
                </c:pt>
                <c:pt idx="25">
                  <c:v>109.345198180168</c:v>
                </c:pt>
                <c:pt idx="26">
                  <c:v>111.50594637570499</c:v>
                </c:pt>
                <c:pt idx="27">
                  <c:v>108.788659731267</c:v>
                </c:pt>
                <c:pt idx="28">
                  <c:v>111.089271074151</c:v>
                </c:pt>
                <c:pt idx="29">
                  <c:v>110.733022145875</c:v>
                </c:pt>
                <c:pt idx="30">
                  <c:v>108.441060761201</c:v>
                </c:pt>
                <c:pt idx="31">
                  <c:v>108.308615144146</c:v>
                </c:pt>
                <c:pt idx="32">
                  <c:v>109.215063043333</c:v>
                </c:pt>
                <c:pt idx="33">
                  <c:v>106.048785359432</c:v>
                </c:pt>
                <c:pt idx="34">
                  <c:v>111.920654273558</c:v>
                </c:pt>
                <c:pt idx="35">
                  <c:v>109.652083338042</c:v>
                </c:pt>
                <c:pt idx="36">
                  <c:v>118.46485698883799</c:v>
                </c:pt>
                <c:pt idx="37">
                  <c:v>119.780288080434</c:v>
                </c:pt>
                <c:pt idx="38">
                  <c:v>116.637488974078</c:v>
                </c:pt>
                <c:pt idx="39">
                  <c:v>119.81456029945301</c:v>
                </c:pt>
                <c:pt idx="40">
                  <c:v>115.57631244909599</c:v>
                </c:pt>
                <c:pt idx="41">
                  <c:v>118.351324339122</c:v>
                </c:pt>
                <c:pt idx="42">
                  <c:v>120.66149320612</c:v>
                </c:pt>
                <c:pt idx="43">
                  <c:v>118.313308774714</c:v>
                </c:pt>
                <c:pt idx="44">
                  <c:v>118.622504886169</c:v>
                </c:pt>
                <c:pt idx="45">
                  <c:v>116.052352912704</c:v>
                </c:pt>
                <c:pt idx="46">
                  <c:v>118.079584698888</c:v>
                </c:pt>
                <c:pt idx="47">
                  <c:v>113.64580723239099</c:v>
                </c:pt>
                <c:pt idx="48">
                  <c:v>115.023838732266</c:v>
                </c:pt>
                <c:pt idx="49">
                  <c:v>115.644754136545</c:v>
                </c:pt>
                <c:pt idx="50">
                  <c:v>114.546943142017</c:v>
                </c:pt>
                <c:pt idx="51">
                  <c:v>116.29502135536301</c:v>
                </c:pt>
                <c:pt idx="52">
                  <c:v>115.99466014624799</c:v>
                </c:pt>
                <c:pt idx="53">
                  <c:v>117.334008336564</c:v>
                </c:pt>
                <c:pt idx="54">
                  <c:v>116.68811810544</c:v>
                </c:pt>
                <c:pt idx="55">
                  <c:v>118.62639188095601</c:v>
                </c:pt>
                <c:pt idx="56">
                  <c:v>119.562952968616</c:v>
                </c:pt>
                <c:pt idx="57">
                  <c:v>118.68966808213401</c:v>
                </c:pt>
                <c:pt idx="58">
                  <c:v>119.017508454653</c:v>
                </c:pt>
                <c:pt idx="59">
                  <c:v>117.588243021632</c:v>
                </c:pt>
                <c:pt idx="60">
                  <c:v>112.417164290998</c:v>
                </c:pt>
                <c:pt idx="61">
                  <c:v>116.290797517887</c:v>
                </c:pt>
                <c:pt idx="62">
                  <c:v>112.295432779297</c:v>
                </c:pt>
                <c:pt idx="63">
                  <c:v>112.11994680185499</c:v>
                </c:pt>
                <c:pt idx="64">
                  <c:v>101.171697602192</c:v>
                </c:pt>
                <c:pt idx="65">
                  <c:v>102.336944590036</c:v>
                </c:pt>
                <c:pt idx="66">
                  <c:v>108.197010906758</c:v>
                </c:pt>
                <c:pt idx="67">
                  <c:v>115.60389391953299</c:v>
                </c:pt>
                <c:pt idx="68">
                  <c:v>112.504747370827</c:v>
                </c:pt>
                <c:pt idx="69">
                  <c:v>112.050634474885</c:v>
                </c:pt>
                <c:pt idx="70">
                  <c:v>109.793280252562</c:v>
                </c:pt>
                <c:pt idx="71">
                  <c:v>110.146058125911</c:v>
                </c:pt>
                <c:pt idx="72">
                  <c:v>109.548446360548</c:v>
                </c:pt>
                <c:pt idx="73">
                  <c:v>107.115874527888</c:v>
                </c:pt>
                <c:pt idx="74">
                  <c:v>110.559889063085</c:v>
                </c:pt>
                <c:pt idx="75">
                  <c:v>110.207164176085</c:v>
                </c:pt>
                <c:pt idx="76">
                  <c:v>110.974032925144</c:v>
                </c:pt>
                <c:pt idx="77">
                  <c:v>110.298977699275</c:v>
                </c:pt>
                <c:pt idx="78">
                  <c:v>112.39681561928001</c:v>
                </c:pt>
                <c:pt idx="79">
                  <c:v>109.52676766495701</c:v>
                </c:pt>
                <c:pt idx="80">
                  <c:v>107.78329310066</c:v>
                </c:pt>
                <c:pt idx="81">
                  <c:v>109.338444759499</c:v>
                </c:pt>
                <c:pt idx="82">
                  <c:v>108.397158779823</c:v>
                </c:pt>
                <c:pt idx="83">
                  <c:v>110.996311466066</c:v>
                </c:pt>
                <c:pt idx="84">
                  <c:v>110.80012510936101</c:v>
                </c:pt>
                <c:pt idx="85">
                  <c:v>110.45652135674899</c:v>
                </c:pt>
                <c:pt idx="86">
                  <c:v>112.943484287777</c:v>
                </c:pt>
              </c:numCache>
            </c:numRef>
          </c:val>
          <c:extLst>
            <c:ext xmlns:c16="http://schemas.microsoft.com/office/drawing/2014/chart" uri="{C3380CC4-5D6E-409C-BE32-E72D297353CC}">
              <c16:uniqueId val="{00000000-41C2-4BEB-8A9C-9671AB425E02}"/>
            </c:ext>
          </c:extLst>
        </c:ser>
        <c:dLbls>
          <c:showLegendKey val="0"/>
          <c:showVal val="1"/>
          <c:showCatName val="0"/>
          <c:showSerName val="0"/>
          <c:showPercent val="0"/>
          <c:showBubbleSize val="0"/>
        </c:dLbls>
        <c:gapWidth val="80"/>
        <c:axId val="121034824"/>
        <c:axId val="121032864"/>
      </c:barChart>
      <c:lineChart>
        <c:grouping val="standard"/>
        <c:varyColors val="0"/>
        <c:ser>
          <c:idx val="1"/>
          <c:order val="1"/>
          <c:tx>
            <c:strRef>
              <c:f>datos!$I$4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datos!$B$77:$C$163</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datos!$I$77:$I$163</c:f>
              <c:numCache>
                <c:formatCode>0.0</c:formatCode>
                <c:ptCount val="87"/>
                <c:pt idx="0">
                  <c:v>109.110481316156</c:v>
                </c:pt>
                <c:pt idx="1">
                  <c:v>109.000212953866</c:v>
                </c:pt>
                <c:pt idx="2">
                  <c:v>108.778834749788</c:v>
                </c:pt>
                <c:pt idx="3">
                  <c:v>108.562044502058</c:v>
                </c:pt>
                <c:pt idx="4">
                  <c:v>108.549805457554</c:v>
                </c:pt>
                <c:pt idx="5">
                  <c:v>108.88474714685</c:v>
                </c:pt>
                <c:pt idx="6">
                  <c:v>109.594629501794</c:v>
                </c:pt>
                <c:pt idx="7">
                  <c:v>110.43214227313101</c:v>
                </c:pt>
                <c:pt idx="8">
                  <c:v>111.117912034477</c:v>
                </c:pt>
                <c:pt idx="9">
                  <c:v>111.43195664594001</c:v>
                </c:pt>
                <c:pt idx="10">
                  <c:v>111.24986218374301</c:v>
                </c:pt>
                <c:pt idx="11">
                  <c:v>110.69073853508699</c:v>
                </c:pt>
                <c:pt idx="12">
                  <c:v>110.05822417895</c:v>
                </c:pt>
                <c:pt idx="13">
                  <c:v>109.648076746103</c:v>
                </c:pt>
                <c:pt idx="14">
                  <c:v>109.614516286777</c:v>
                </c:pt>
                <c:pt idx="15">
                  <c:v>109.87582967699799</c:v>
                </c:pt>
                <c:pt idx="16">
                  <c:v>110.26349233811101</c:v>
                </c:pt>
                <c:pt idx="17">
                  <c:v>110.538108532107</c:v>
                </c:pt>
                <c:pt idx="18">
                  <c:v>110.586331024321</c:v>
                </c:pt>
                <c:pt idx="19">
                  <c:v>110.457665323488</c:v>
                </c:pt>
                <c:pt idx="20">
                  <c:v>110.23372830867901</c:v>
                </c:pt>
                <c:pt idx="21">
                  <c:v>110.047954049645</c:v>
                </c:pt>
                <c:pt idx="22">
                  <c:v>109.965869162533</c:v>
                </c:pt>
                <c:pt idx="23">
                  <c:v>109.990006573903</c:v>
                </c:pt>
                <c:pt idx="24">
                  <c:v>110.110811764239</c:v>
                </c:pt>
                <c:pt idx="25">
                  <c:v>110.26421942391799</c:v>
                </c:pt>
                <c:pt idx="26">
                  <c:v>110.32664610075599</c:v>
                </c:pt>
                <c:pt idx="27">
                  <c:v>110.234490598798</c:v>
                </c:pt>
                <c:pt idx="28">
                  <c:v>109.95972794559</c:v>
                </c:pt>
                <c:pt idx="29">
                  <c:v>109.553197333013</c:v>
                </c:pt>
                <c:pt idx="30">
                  <c:v>109.192304033873</c:v>
                </c:pt>
                <c:pt idx="31">
                  <c:v>109.07343534477501</c:v>
                </c:pt>
                <c:pt idx="32">
                  <c:v>109.446584946716</c:v>
                </c:pt>
                <c:pt idx="33">
                  <c:v>110.361622199633</c:v>
                </c:pt>
                <c:pt idx="34">
                  <c:v>111.73364000659799</c:v>
                </c:pt>
                <c:pt idx="35">
                  <c:v>113.42900740291699</c:v>
                </c:pt>
                <c:pt idx="36">
                  <c:v>115.084562784524</c:v>
                </c:pt>
                <c:pt idx="37">
                  <c:v>116.530147769305</c:v>
                </c:pt>
                <c:pt idx="38">
                  <c:v>117.694536882855</c:v>
                </c:pt>
                <c:pt idx="39">
                  <c:v>118.568672754636</c:v>
                </c:pt>
                <c:pt idx="40">
                  <c:v>119.07831489887801</c:v>
                </c:pt>
                <c:pt idx="41">
                  <c:v>119.285931528264</c:v>
                </c:pt>
                <c:pt idx="42">
                  <c:v>119.17710146949</c:v>
                </c:pt>
                <c:pt idx="43">
                  <c:v>118.734866923331</c:v>
                </c:pt>
                <c:pt idx="44">
                  <c:v>118.029580737975</c:v>
                </c:pt>
                <c:pt idx="45">
                  <c:v>117.16440657924601</c:v>
                </c:pt>
                <c:pt idx="46">
                  <c:v>116.31373764972599</c:v>
                </c:pt>
                <c:pt idx="47">
                  <c:v>115.584176656777</c:v>
                </c:pt>
                <c:pt idx="48">
                  <c:v>115.166499255874</c:v>
                </c:pt>
                <c:pt idx="49">
                  <c:v>115.084285987084</c:v>
                </c:pt>
                <c:pt idx="50">
                  <c:v>115.252792535514</c:v>
                </c:pt>
                <c:pt idx="51">
                  <c:v>115.673316452327</c:v>
                </c:pt>
                <c:pt idx="52">
                  <c:v>116.26729394378199</c:v>
                </c:pt>
                <c:pt idx="53">
                  <c:v>116.987199604918</c:v>
                </c:pt>
                <c:pt idx="54">
                  <c:v>117.711959646103</c:v>
                </c:pt>
                <c:pt idx="55">
                  <c:v>118.364451594702</c:v>
                </c:pt>
                <c:pt idx="56">
                  <c:v>118.815647121917</c:v>
                </c:pt>
                <c:pt idx="57">
                  <c:v>118.91639533822899</c:v>
                </c:pt>
                <c:pt idx="58">
                  <c:v>118.57294908569401</c:v>
                </c:pt>
                <c:pt idx="59">
                  <c:v>117.707834811515</c:v>
                </c:pt>
                <c:pt idx="60">
                  <c:v>116.428756760303</c:v>
                </c:pt>
                <c:pt idx="61">
                  <c:v>114.94223194583201</c:v>
                </c:pt>
                <c:pt idx="62">
                  <c:v>113.51349814158699</c:v>
                </c:pt>
                <c:pt idx="63">
                  <c:v>112.352034320889</c:v>
                </c:pt>
                <c:pt idx="64">
                  <c:v>111.656627881367</c:v>
                </c:pt>
                <c:pt idx="65">
                  <c:v>111.439939208948</c:v>
                </c:pt>
                <c:pt idx="66">
                  <c:v>111.52093052843</c:v>
                </c:pt>
                <c:pt idx="67">
                  <c:v>111.671107232019</c:v>
                </c:pt>
                <c:pt idx="68">
                  <c:v>111.60689251055</c:v>
                </c:pt>
                <c:pt idx="69">
                  <c:v>111.22288089188</c:v>
                </c:pt>
                <c:pt idx="70">
                  <c:v>110.651205032802</c:v>
                </c:pt>
                <c:pt idx="71">
                  <c:v>110.084829740882</c:v>
                </c:pt>
                <c:pt idx="72">
                  <c:v>109.725673422727</c:v>
                </c:pt>
                <c:pt idx="73">
                  <c:v>109.67601402614</c:v>
                </c:pt>
                <c:pt idx="74">
                  <c:v>109.929348706422</c:v>
                </c:pt>
                <c:pt idx="75">
                  <c:v>110.25606170926299</c:v>
                </c:pt>
                <c:pt idx="76">
                  <c:v>110.423582625349</c:v>
                </c:pt>
                <c:pt idx="77">
                  <c:v>110.27546744843499</c:v>
                </c:pt>
                <c:pt idx="78">
                  <c:v>109.87546029711601</c:v>
                </c:pt>
                <c:pt idx="79">
                  <c:v>109.40506909702501</c:v>
                </c:pt>
                <c:pt idx="80">
                  <c:v>109.06090307068899</c:v>
                </c:pt>
                <c:pt idx="81">
                  <c:v>109.04098945296499</c:v>
                </c:pt>
                <c:pt idx="82">
                  <c:v>109.368103186881</c:v>
                </c:pt>
                <c:pt idx="83">
                  <c:v>109.975924189792</c:v>
                </c:pt>
                <c:pt idx="84">
                  <c:v>110.68401652098601</c:v>
                </c:pt>
                <c:pt idx="85">
                  <c:v>111.30650159158699</c:v>
                </c:pt>
                <c:pt idx="86">
                  <c:v>111.723584781407</c:v>
                </c:pt>
              </c:numCache>
            </c:numRef>
          </c:val>
          <c:smooth val="0"/>
          <c:extLst>
            <c:ext xmlns:c16="http://schemas.microsoft.com/office/drawing/2014/chart" uri="{C3380CC4-5D6E-409C-BE32-E72D297353CC}">
              <c16:uniqueId val="{00000001-41C2-4BEB-8A9C-9671AB425E02}"/>
            </c:ext>
          </c:extLst>
        </c:ser>
        <c:dLbls>
          <c:showLegendKey val="0"/>
          <c:showVal val="1"/>
          <c:showCatName val="0"/>
          <c:showSerName val="0"/>
          <c:showPercent val="0"/>
          <c:showBubbleSize val="0"/>
        </c:dLbls>
        <c:marker val="1"/>
        <c:smooth val="0"/>
        <c:axId val="121034824"/>
        <c:axId val="121032864"/>
      </c:lineChart>
      <c:catAx>
        <c:axId val="1210348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2864"/>
        <c:crosses val="autoZero"/>
        <c:auto val="1"/>
        <c:lblAlgn val="ctr"/>
        <c:lblOffset val="0"/>
        <c:tickLblSkip val="1"/>
        <c:tickMarkSkip val="12"/>
        <c:noMultiLvlLbl val="1"/>
      </c:catAx>
      <c:valAx>
        <c:axId val="121032864"/>
        <c:scaling>
          <c:orientation val="minMax"/>
          <c:max val="122"/>
          <c:min val="9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4824"/>
        <c:crosses val="autoZero"/>
        <c:crossBetween val="between"/>
        <c:majorUnit val="10"/>
      </c:valAx>
      <c:spPr>
        <a:noFill/>
        <a:ln w="12700">
          <a:solidFill>
            <a:srgbClr val="808080"/>
          </a:solidFill>
          <a:prstDash val="solid"/>
        </a:ln>
      </c:spPr>
    </c:plotArea>
    <c:legend>
      <c:legendPos val="r"/>
      <c:layout>
        <c:manualLayout>
          <c:xMode val="edge"/>
          <c:yMode val="edge"/>
          <c:x val="6.8624488921978949E-2"/>
          <c:y val="0.94951943710620001"/>
          <c:w val="0.91911242532094428"/>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6071E-2"/>
          <c:w val="0.91086402894491059"/>
          <c:h val="0.8533029513888909"/>
        </c:manualLayout>
      </c:layout>
      <c:barChart>
        <c:barDir val="col"/>
        <c:grouping val="clustered"/>
        <c:varyColors val="0"/>
        <c:ser>
          <c:idx val="0"/>
          <c:order val="0"/>
          <c:tx>
            <c:strRef>
              <c:f>datos!$J$4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datos!$B$77:$C$163</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datos!$J$77:$J$163</c:f>
              <c:numCache>
                <c:formatCode>0.0</c:formatCode>
                <c:ptCount val="87"/>
                <c:pt idx="0">
                  <c:v>103.02279815887999</c:v>
                </c:pt>
                <c:pt idx="1">
                  <c:v>100.861113406819</c:v>
                </c:pt>
                <c:pt idx="2">
                  <c:v>102.130412016847</c:v>
                </c:pt>
                <c:pt idx="3">
                  <c:v>107.19284045026799</c:v>
                </c:pt>
                <c:pt idx="4">
                  <c:v>103.05828296318801</c:v>
                </c:pt>
                <c:pt idx="5">
                  <c:v>104.283014933576</c:v>
                </c:pt>
                <c:pt idx="6">
                  <c:v>108.56999334353701</c:v>
                </c:pt>
                <c:pt idx="7">
                  <c:v>108.350875678981</c:v>
                </c:pt>
                <c:pt idx="8">
                  <c:v>109.204498857118</c:v>
                </c:pt>
                <c:pt idx="9">
                  <c:v>102.39265074475399</c:v>
                </c:pt>
                <c:pt idx="10">
                  <c:v>105.379953532817</c:v>
                </c:pt>
                <c:pt idx="11">
                  <c:v>104.162194688447</c:v>
                </c:pt>
                <c:pt idx="12">
                  <c:v>106.105542329955</c:v>
                </c:pt>
                <c:pt idx="13">
                  <c:v>107.08462744270901</c:v>
                </c:pt>
                <c:pt idx="14">
                  <c:v>106.625317299</c:v>
                </c:pt>
                <c:pt idx="15">
                  <c:v>106.62033596328401</c:v>
                </c:pt>
                <c:pt idx="16">
                  <c:v>107.59934302553501</c:v>
                </c:pt>
                <c:pt idx="17">
                  <c:v>105.785208679465</c:v>
                </c:pt>
                <c:pt idx="18">
                  <c:v>105.135257367121</c:v>
                </c:pt>
                <c:pt idx="19">
                  <c:v>104.85815261010301</c:v>
                </c:pt>
                <c:pt idx="20">
                  <c:v>105.6058394098</c:v>
                </c:pt>
                <c:pt idx="21">
                  <c:v>106.190539517191</c:v>
                </c:pt>
                <c:pt idx="22">
                  <c:v>111.763825106086</c:v>
                </c:pt>
                <c:pt idx="23">
                  <c:v>106.204397207677</c:v>
                </c:pt>
                <c:pt idx="24">
                  <c:v>105.793121629985</c:v>
                </c:pt>
                <c:pt idx="25">
                  <c:v>104.740162576606</c:v>
                </c:pt>
                <c:pt idx="26">
                  <c:v>106.474912581992</c:v>
                </c:pt>
                <c:pt idx="27">
                  <c:v>103.91252753174101</c:v>
                </c:pt>
                <c:pt idx="28">
                  <c:v>103.479883553788</c:v>
                </c:pt>
                <c:pt idx="29">
                  <c:v>106.307628714049</c:v>
                </c:pt>
                <c:pt idx="30">
                  <c:v>104.71564432312999</c:v>
                </c:pt>
                <c:pt idx="31">
                  <c:v>105.684635381568</c:v>
                </c:pt>
                <c:pt idx="32">
                  <c:v>108.10726689309</c:v>
                </c:pt>
                <c:pt idx="33">
                  <c:v>107.508491723329</c:v>
                </c:pt>
                <c:pt idx="34">
                  <c:v>107.811482418691</c:v>
                </c:pt>
                <c:pt idx="35">
                  <c:v>110.538756437682</c:v>
                </c:pt>
                <c:pt idx="36">
                  <c:v>108.432802582945</c:v>
                </c:pt>
                <c:pt idx="37">
                  <c:v>107.91686723276899</c:v>
                </c:pt>
                <c:pt idx="38">
                  <c:v>108.581320567725</c:v>
                </c:pt>
                <c:pt idx="39">
                  <c:v>107.43241924362999</c:v>
                </c:pt>
                <c:pt idx="40">
                  <c:v>108.96160774275199</c:v>
                </c:pt>
                <c:pt idx="41">
                  <c:v>108.661731185325</c:v>
                </c:pt>
                <c:pt idx="42">
                  <c:v>109.438241682371</c:v>
                </c:pt>
                <c:pt idx="43">
                  <c:v>102.56671270773199</c:v>
                </c:pt>
                <c:pt idx="44">
                  <c:v>106.266460685323</c:v>
                </c:pt>
                <c:pt idx="45">
                  <c:v>105.72152146715899</c:v>
                </c:pt>
                <c:pt idx="46">
                  <c:v>100.743583474674</c:v>
                </c:pt>
                <c:pt idx="47">
                  <c:v>103.272514493085</c:v>
                </c:pt>
                <c:pt idx="48">
                  <c:v>109.692536510308</c:v>
                </c:pt>
                <c:pt idx="49">
                  <c:v>107.29741504432501</c:v>
                </c:pt>
                <c:pt idx="50">
                  <c:v>103.471503111107</c:v>
                </c:pt>
                <c:pt idx="51">
                  <c:v>104.551993571484</c:v>
                </c:pt>
                <c:pt idx="52">
                  <c:v>98.558214787271297</c:v>
                </c:pt>
                <c:pt idx="53">
                  <c:v>102.652058946784</c:v>
                </c:pt>
                <c:pt idx="54">
                  <c:v>100.336889876047</c:v>
                </c:pt>
                <c:pt idx="55">
                  <c:v>98.736221546714305</c:v>
                </c:pt>
                <c:pt idx="56">
                  <c:v>98.212132955937193</c:v>
                </c:pt>
                <c:pt idx="57">
                  <c:v>94.757993989495304</c:v>
                </c:pt>
                <c:pt idx="58">
                  <c:v>97.105745597716094</c:v>
                </c:pt>
                <c:pt idx="59">
                  <c:v>98.777190874877206</c:v>
                </c:pt>
                <c:pt idx="60">
                  <c:v>98.711365750111099</c:v>
                </c:pt>
                <c:pt idx="61">
                  <c:v>96.433066253852004</c:v>
                </c:pt>
                <c:pt idx="62">
                  <c:v>96.032941439150804</c:v>
                </c:pt>
                <c:pt idx="63">
                  <c:v>65.3358710541211</c:v>
                </c:pt>
                <c:pt idx="64">
                  <c:v>64.471252904187594</c:v>
                </c:pt>
                <c:pt idx="65">
                  <c:v>77.733855479537496</c:v>
                </c:pt>
                <c:pt idx="66">
                  <c:v>78.329167105531297</c:v>
                </c:pt>
                <c:pt idx="67">
                  <c:v>84.171708166747905</c:v>
                </c:pt>
                <c:pt idx="68">
                  <c:v>82.370826207160704</c:v>
                </c:pt>
                <c:pt idx="69">
                  <c:v>85.532236107089204</c:v>
                </c:pt>
                <c:pt idx="70">
                  <c:v>87.855660988009006</c:v>
                </c:pt>
                <c:pt idx="71">
                  <c:v>85.275200831444806</c:v>
                </c:pt>
                <c:pt idx="72">
                  <c:v>86.957843988795005</c:v>
                </c:pt>
                <c:pt idx="73">
                  <c:v>90.079038901917301</c:v>
                </c:pt>
                <c:pt idx="74">
                  <c:v>89.057132172763005</c:v>
                </c:pt>
                <c:pt idx="75">
                  <c:v>89.603658782571102</c:v>
                </c:pt>
                <c:pt idx="76">
                  <c:v>90.388836834910506</c:v>
                </c:pt>
                <c:pt idx="77">
                  <c:v>88.322892961175995</c:v>
                </c:pt>
                <c:pt idx="78">
                  <c:v>89.405857945102198</c:v>
                </c:pt>
                <c:pt idx="79">
                  <c:v>90.313882139535806</c:v>
                </c:pt>
                <c:pt idx="80">
                  <c:v>89.171358925470003</c:v>
                </c:pt>
                <c:pt idx="81">
                  <c:v>87.9630070961949</c:v>
                </c:pt>
                <c:pt idx="82">
                  <c:v>87.435945332098697</c:v>
                </c:pt>
                <c:pt idx="83">
                  <c:v>88.119805802413595</c:v>
                </c:pt>
                <c:pt idx="84">
                  <c:v>88.257005867010307</c:v>
                </c:pt>
                <c:pt idx="85">
                  <c:v>86.8804370627076</c:v>
                </c:pt>
                <c:pt idx="86">
                  <c:v>90.0631041816699</c:v>
                </c:pt>
              </c:numCache>
            </c:numRef>
          </c:val>
          <c:extLst>
            <c:ext xmlns:c16="http://schemas.microsoft.com/office/drawing/2014/chart" uri="{C3380CC4-5D6E-409C-BE32-E72D297353CC}">
              <c16:uniqueId val="{00000000-D9A3-429A-8FE0-D57EC3194B76}"/>
            </c:ext>
          </c:extLst>
        </c:ser>
        <c:dLbls>
          <c:showLegendKey val="0"/>
          <c:showVal val="1"/>
          <c:showCatName val="0"/>
          <c:showSerName val="0"/>
          <c:showPercent val="0"/>
          <c:showBubbleSize val="0"/>
        </c:dLbls>
        <c:gapWidth val="80"/>
        <c:axId val="121033256"/>
        <c:axId val="121033648"/>
      </c:barChart>
      <c:lineChart>
        <c:grouping val="standard"/>
        <c:varyColors val="0"/>
        <c:ser>
          <c:idx val="1"/>
          <c:order val="1"/>
          <c:tx>
            <c:strRef>
              <c:f>datos!$K$4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datos!$B$77:$C$163</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datos!$K$77:$K$163</c:f>
              <c:numCache>
                <c:formatCode>0.0</c:formatCode>
                <c:ptCount val="87"/>
                <c:pt idx="0">
                  <c:v>102.942389478363</c:v>
                </c:pt>
                <c:pt idx="1">
                  <c:v>102.437353026927</c:v>
                </c:pt>
                <c:pt idx="2">
                  <c:v>102.320280787508</c:v>
                </c:pt>
                <c:pt idx="3">
                  <c:v>102.89320670430899</c:v>
                </c:pt>
                <c:pt idx="4">
                  <c:v>104.09222871021301</c:v>
                </c:pt>
                <c:pt idx="5">
                  <c:v>105.52558388846499</c:v>
                </c:pt>
                <c:pt idx="6">
                  <c:v>106.7047448938</c:v>
                </c:pt>
                <c:pt idx="7">
                  <c:v>107.258921733007</c:v>
                </c:pt>
                <c:pt idx="8">
                  <c:v>107.165312998601</c:v>
                </c:pt>
                <c:pt idx="9">
                  <c:v>106.66908816658299</c:v>
                </c:pt>
                <c:pt idx="10">
                  <c:v>106.059409126828</c:v>
                </c:pt>
                <c:pt idx="11">
                  <c:v>105.697728454033</c:v>
                </c:pt>
                <c:pt idx="12">
                  <c:v>105.799312554102</c:v>
                </c:pt>
                <c:pt idx="13">
                  <c:v>106.23419457354299</c:v>
                </c:pt>
                <c:pt idx="14">
                  <c:v>106.63165413383101</c:v>
                </c:pt>
                <c:pt idx="15">
                  <c:v>106.733818177674</c:v>
                </c:pt>
                <c:pt idx="16">
                  <c:v>106.47992153215</c:v>
                </c:pt>
                <c:pt idx="17">
                  <c:v>106.058728255708</c:v>
                </c:pt>
                <c:pt idx="18">
                  <c:v>105.69837571917699</c:v>
                </c:pt>
                <c:pt idx="19">
                  <c:v>105.58214559104201</c:v>
                </c:pt>
                <c:pt idx="20">
                  <c:v>105.644562299638</c:v>
                </c:pt>
                <c:pt idx="21">
                  <c:v>105.832124357536</c:v>
                </c:pt>
                <c:pt idx="22">
                  <c:v>106.04238657632899</c:v>
                </c:pt>
                <c:pt idx="23">
                  <c:v>106.053561100471</c:v>
                </c:pt>
                <c:pt idx="24">
                  <c:v>105.809355031877</c:v>
                </c:pt>
                <c:pt idx="25">
                  <c:v>105.42063518179501</c:v>
                </c:pt>
                <c:pt idx="26">
                  <c:v>104.998577450781</c:v>
                </c:pt>
                <c:pt idx="27">
                  <c:v>104.71683725779999</c:v>
                </c:pt>
                <c:pt idx="28">
                  <c:v>104.69851927083199</c:v>
                </c:pt>
                <c:pt idx="29">
                  <c:v>104.936958521997</c:v>
                </c:pt>
                <c:pt idx="30">
                  <c:v>105.456834229804</c:v>
                </c:pt>
                <c:pt idx="31">
                  <c:v>106.228148696349</c:v>
                </c:pt>
                <c:pt idx="32">
                  <c:v>107.102285515601</c:v>
                </c:pt>
                <c:pt idx="33">
                  <c:v>107.91058414320899</c:v>
                </c:pt>
                <c:pt idx="34">
                  <c:v>108.447873791688</c:v>
                </c:pt>
                <c:pt idx="35">
                  <c:v>108.706888881385</c:v>
                </c:pt>
                <c:pt idx="36">
                  <c:v>108.700546688378</c:v>
                </c:pt>
                <c:pt idx="37">
                  <c:v>108.55958850847</c:v>
                </c:pt>
                <c:pt idx="38">
                  <c:v>108.488181638546</c:v>
                </c:pt>
                <c:pt idx="39">
                  <c:v>108.509407265127</c:v>
                </c:pt>
                <c:pt idx="40">
                  <c:v>108.53599167537401</c:v>
                </c:pt>
                <c:pt idx="41">
                  <c:v>108.486235882312</c:v>
                </c:pt>
                <c:pt idx="42">
                  <c:v>108.161338203334</c:v>
                </c:pt>
                <c:pt idx="43">
                  <c:v>107.4187272344</c:v>
                </c:pt>
                <c:pt idx="44">
                  <c:v>106.491769538619</c:v>
                </c:pt>
                <c:pt idx="45">
                  <c:v>105.60979407733799</c:v>
                </c:pt>
                <c:pt idx="46">
                  <c:v>104.986673172031</c:v>
                </c:pt>
                <c:pt idx="47">
                  <c:v>104.699339948561</c:v>
                </c:pt>
                <c:pt idx="48">
                  <c:v>104.648835252775</c:v>
                </c:pt>
                <c:pt idx="49">
                  <c:v>104.65227264565701</c:v>
                </c:pt>
                <c:pt idx="50">
                  <c:v>104.463086294679</c:v>
                </c:pt>
                <c:pt idx="51">
                  <c:v>103.951970067205</c:v>
                </c:pt>
                <c:pt idx="52">
                  <c:v>103.05004621174</c:v>
                </c:pt>
                <c:pt idx="53">
                  <c:v>101.79854196753099</c:v>
                </c:pt>
                <c:pt idx="54">
                  <c:v>100.418675103952</c:v>
                </c:pt>
                <c:pt idx="55">
                  <c:v>99.231935318621098</c:v>
                </c:pt>
                <c:pt idx="56">
                  <c:v>98.390734787144297</c:v>
                </c:pt>
                <c:pt idx="57">
                  <c:v>97.895134650616697</c:v>
                </c:pt>
                <c:pt idx="58">
                  <c:v>97.702616947406895</c:v>
                </c:pt>
                <c:pt idx="59">
                  <c:v>97.598341738261198</c:v>
                </c:pt>
                <c:pt idx="60">
                  <c:v>97.4115386236885</c:v>
                </c:pt>
                <c:pt idx="61">
                  <c:v>97.015728723057293</c:v>
                </c:pt>
                <c:pt idx="62">
                  <c:v>96.562897670200599</c:v>
                </c:pt>
                <c:pt idx="63">
                  <c:v>77.340204327645793</c:v>
                </c:pt>
                <c:pt idx="64">
                  <c:v>77.475256132515099</c:v>
                </c:pt>
                <c:pt idx="65">
                  <c:v>78.207377315678301</c:v>
                </c:pt>
                <c:pt idx="66">
                  <c:v>79.531329317480498</c:v>
                </c:pt>
                <c:pt idx="67">
                  <c:v>81.171347869505595</c:v>
                </c:pt>
                <c:pt idx="68">
                  <c:v>82.9052117263182</c:v>
                </c:pt>
                <c:pt idx="69">
                  <c:v>84.560312673702796</c:v>
                </c:pt>
                <c:pt idx="70">
                  <c:v>85.972611972417894</c:v>
                </c:pt>
                <c:pt idx="71">
                  <c:v>87.124002200107398</c:v>
                </c:pt>
                <c:pt idx="72">
                  <c:v>88.039439970521599</c:v>
                </c:pt>
                <c:pt idx="73">
                  <c:v>88.722468468015904</c:v>
                </c:pt>
                <c:pt idx="74">
                  <c:v>89.210846706769601</c:v>
                </c:pt>
                <c:pt idx="75">
                  <c:v>89.537401134670901</c:v>
                </c:pt>
                <c:pt idx="76">
                  <c:v>89.723614401379194</c:v>
                </c:pt>
                <c:pt idx="77">
                  <c:v>89.698587237536898</c:v>
                </c:pt>
                <c:pt idx="78">
                  <c:v>89.483790250418906</c:v>
                </c:pt>
                <c:pt idx="79">
                  <c:v>89.214311160708206</c:v>
                </c:pt>
                <c:pt idx="80">
                  <c:v>88.848387623027193</c:v>
                </c:pt>
                <c:pt idx="81">
                  <c:v>88.399937080411107</c:v>
                </c:pt>
                <c:pt idx="82">
                  <c:v>88.025891811991201</c:v>
                </c:pt>
                <c:pt idx="83">
                  <c:v>87.829206623708899</c:v>
                </c:pt>
                <c:pt idx="84">
                  <c:v>87.919095221539294</c:v>
                </c:pt>
                <c:pt idx="85">
                  <c:v>88.373185312893895</c:v>
                </c:pt>
                <c:pt idx="86">
                  <c:v>89.054183731527203</c:v>
                </c:pt>
              </c:numCache>
            </c:numRef>
          </c:val>
          <c:smooth val="0"/>
          <c:extLst>
            <c:ext xmlns:c16="http://schemas.microsoft.com/office/drawing/2014/chart" uri="{C3380CC4-5D6E-409C-BE32-E72D297353CC}">
              <c16:uniqueId val="{00000001-D9A3-429A-8FE0-D57EC3194B76}"/>
            </c:ext>
          </c:extLst>
        </c:ser>
        <c:dLbls>
          <c:showLegendKey val="0"/>
          <c:showVal val="1"/>
          <c:showCatName val="0"/>
          <c:showSerName val="0"/>
          <c:showPercent val="0"/>
          <c:showBubbleSize val="0"/>
        </c:dLbls>
        <c:marker val="1"/>
        <c:smooth val="0"/>
        <c:axId val="121033256"/>
        <c:axId val="121033648"/>
      </c:lineChart>
      <c:catAx>
        <c:axId val="1210332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3648"/>
        <c:crosses val="autoZero"/>
        <c:auto val="1"/>
        <c:lblAlgn val="ctr"/>
        <c:lblOffset val="0"/>
        <c:tickLblSkip val="1"/>
        <c:tickMarkSkip val="12"/>
        <c:noMultiLvlLbl val="1"/>
      </c:catAx>
      <c:valAx>
        <c:axId val="121033648"/>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3256"/>
        <c:crosses val="autoZero"/>
        <c:crossBetween val="between"/>
        <c:majorUnit val="10"/>
      </c:valAx>
      <c:spPr>
        <a:noFill/>
        <a:ln w="12700">
          <a:solidFill>
            <a:srgbClr val="808080"/>
          </a:solidFill>
          <a:prstDash val="solid"/>
        </a:ln>
      </c:spPr>
    </c:plotArea>
    <c:legend>
      <c:legendPos val="r"/>
      <c:layout>
        <c:manualLayout>
          <c:xMode val="edge"/>
          <c:yMode val="edge"/>
          <c:x val="6.0050443906376108E-2"/>
          <c:y val="0.9495192499501296"/>
          <c:w val="0.92768662464986062"/>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5162E-2"/>
          <c:w val="0.91157714752567709"/>
          <c:h val="0.8532484375000039"/>
        </c:manualLayout>
      </c:layout>
      <c:barChart>
        <c:barDir val="col"/>
        <c:grouping val="clustered"/>
        <c:varyColors val="0"/>
        <c:ser>
          <c:idx val="0"/>
          <c:order val="0"/>
          <c:tx>
            <c:strRef>
              <c:f>datos!$L$4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datos!$B$77:$C$163</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datos!$L$77:$L$163</c:f>
              <c:numCache>
                <c:formatCode>0.0</c:formatCode>
                <c:ptCount val="87"/>
                <c:pt idx="0">
                  <c:v>105.42199926849899</c:v>
                </c:pt>
                <c:pt idx="1">
                  <c:v>106.65828972366199</c:v>
                </c:pt>
                <c:pt idx="2">
                  <c:v>105.52599321864101</c:v>
                </c:pt>
                <c:pt idx="3">
                  <c:v>107.726057141206</c:v>
                </c:pt>
                <c:pt idx="4">
                  <c:v>106.611348710562</c:v>
                </c:pt>
                <c:pt idx="5">
                  <c:v>106.572945573147</c:v>
                </c:pt>
                <c:pt idx="6">
                  <c:v>106.71524008822399</c:v>
                </c:pt>
                <c:pt idx="7">
                  <c:v>107.09975344121401</c:v>
                </c:pt>
                <c:pt idx="8">
                  <c:v>108.66238357333199</c:v>
                </c:pt>
                <c:pt idx="9">
                  <c:v>108.660912812945</c:v>
                </c:pt>
                <c:pt idx="10">
                  <c:v>107.422922889476</c:v>
                </c:pt>
                <c:pt idx="11">
                  <c:v>108.100732833843</c:v>
                </c:pt>
                <c:pt idx="12">
                  <c:v>108.5523082589</c:v>
                </c:pt>
                <c:pt idx="13">
                  <c:v>108.200157753287</c:v>
                </c:pt>
                <c:pt idx="14">
                  <c:v>107.373217040575</c:v>
                </c:pt>
                <c:pt idx="15">
                  <c:v>107.10969761945</c:v>
                </c:pt>
                <c:pt idx="16">
                  <c:v>107.87998240853101</c:v>
                </c:pt>
                <c:pt idx="17">
                  <c:v>108.15381288508</c:v>
                </c:pt>
                <c:pt idx="18">
                  <c:v>108.42331853663001</c:v>
                </c:pt>
                <c:pt idx="19">
                  <c:v>108.926624438041</c:v>
                </c:pt>
                <c:pt idx="20">
                  <c:v>108.42178492245699</c:v>
                </c:pt>
                <c:pt idx="21">
                  <c:v>109.22417912141999</c:v>
                </c:pt>
                <c:pt idx="22">
                  <c:v>110.02074187838799</c:v>
                </c:pt>
                <c:pt idx="23">
                  <c:v>111.25065332387599</c:v>
                </c:pt>
                <c:pt idx="24">
                  <c:v>111.960342931274</c:v>
                </c:pt>
                <c:pt idx="25">
                  <c:v>111.743056677078</c:v>
                </c:pt>
                <c:pt idx="26">
                  <c:v>112.279016154866</c:v>
                </c:pt>
                <c:pt idx="27">
                  <c:v>112.105765796458</c:v>
                </c:pt>
                <c:pt idx="28">
                  <c:v>111.419734279648</c:v>
                </c:pt>
                <c:pt idx="29">
                  <c:v>111.425707570017</c:v>
                </c:pt>
                <c:pt idx="30">
                  <c:v>111.666515028641</c:v>
                </c:pt>
                <c:pt idx="31">
                  <c:v>112.234035184392</c:v>
                </c:pt>
                <c:pt idx="32">
                  <c:v>109.94840676726101</c:v>
                </c:pt>
                <c:pt idx="33">
                  <c:v>112.630171597165</c:v>
                </c:pt>
                <c:pt idx="34">
                  <c:v>112.613421089089</c:v>
                </c:pt>
                <c:pt idx="35">
                  <c:v>112.833961659178</c:v>
                </c:pt>
                <c:pt idx="36">
                  <c:v>112.086228227589</c:v>
                </c:pt>
                <c:pt idx="37">
                  <c:v>112.605896017128</c:v>
                </c:pt>
                <c:pt idx="38">
                  <c:v>114.478071163843</c:v>
                </c:pt>
                <c:pt idx="39">
                  <c:v>112.019274590805</c:v>
                </c:pt>
                <c:pt idx="40">
                  <c:v>114.56840551696</c:v>
                </c:pt>
                <c:pt idx="41">
                  <c:v>114.669063159187</c:v>
                </c:pt>
                <c:pt idx="42">
                  <c:v>114.176469864192</c:v>
                </c:pt>
                <c:pt idx="43">
                  <c:v>114.629729086353</c:v>
                </c:pt>
                <c:pt idx="44">
                  <c:v>115.24485400459299</c:v>
                </c:pt>
                <c:pt idx="45">
                  <c:v>113.848010980354</c:v>
                </c:pt>
                <c:pt idx="46">
                  <c:v>114.655000335371</c:v>
                </c:pt>
                <c:pt idx="47">
                  <c:v>112.991121827163</c:v>
                </c:pt>
                <c:pt idx="48">
                  <c:v>113.414657663856</c:v>
                </c:pt>
                <c:pt idx="49">
                  <c:v>114.17673063336601</c:v>
                </c:pt>
                <c:pt idx="50">
                  <c:v>113.427634927273</c:v>
                </c:pt>
                <c:pt idx="51">
                  <c:v>114.57061602086</c:v>
                </c:pt>
                <c:pt idx="52">
                  <c:v>115.06778427279301</c:v>
                </c:pt>
                <c:pt idx="53">
                  <c:v>115.46064894862501</c:v>
                </c:pt>
                <c:pt idx="54">
                  <c:v>115.57508691012499</c:v>
                </c:pt>
                <c:pt idx="55">
                  <c:v>114.932244358125</c:v>
                </c:pt>
                <c:pt idx="56">
                  <c:v>115.67786800052301</c:v>
                </c:pt>
                <c:pt idx="57">
                  <c:v>112.328735620199</c:v>
                </c:pt>
                <c:pt idx="58">
                  <c:v>112.425791880785</c:v>
                </c:pt>
                <c:pt idx="59">
                  <c:v>111.511811806586</c:v>
                </c:pt>
                <c:pt idx="60">
                  <c:v>114.195881991953</c:v>
                </c:pt>
                <c:pt idx="61">
                  <c:v>113.59582683078</c:v>
                </c:pt>
                <c:pt idx="62">
                  <c:v>107.578042309905</c:v>
                </c:pt>
                <c:pt idx="63">
                  <c:v>75.394796723562607</c:v>
                </c:pt>
                <c:pt idx="64">
                  <c:v>74.882992128839504</c:v>
                </c:pt>
                <c:pt idx="65">
                  <c:v>95.655016229450197</c:v>
                </c:pt>
                <c:pt idx="66">
                  <c:v>104.603612924003</c:v>
                </c:pt>
                <c:pt idx="67">
                  <c:v>106.391752781732</c:v>
                </c:pt>
                <c:pt idx="68">
                  <c:v>111.15941525486301</c:v>
                </c:pt>
                <c:pt idx="69">
                  <c:v>111.089322020918</c:v>
                </c:pt>
                <c:pt idx="70">
                  <c:v>111.60698224854301</c:v>
                </c:pt>
                <c:pt idx="71">
                  <c:v>112.134210016818</c:v>
                </c:pt>
                <c:pt idx="72">
                  <c:v>111.18804530612201</c:v>
                </c:pt>
                <c:pt idx="73">
                  <c:v>108.70444146032</c:v>
                </c:pt>
                <c:pt idx="74">
                  <c:v>112.04337902230399</c:v>
                </c:pt>
                <c:pt idx="75">
                  <c:v>112.942869080132</c:v>
                </c:pt>
                <c:pt idx="76">
                  <c:v>111.687521341965</c:v>
                </c:pt>
                <c:pt idx="77">
                  <c:v>111.800239299618</c:v>
                </c:pt>
                <c:pt idx="78">
                  <c:v>113.51489937925101</c:v>
                </c:pt>
                <c:pt idx="79">
                  <c:v>112.898104735337</c:v>
                </c:pt>
                <c:pt idx="80">
                  <c:v>110.632480115421</c:v>
                </c:pt>
                <c:pt idx="81">
                  <c:v>112.90679148711401</c:v>
                </c:pt>
                <c:pt idx="82">
                  <c:v>113.047292295262</c:v>
                </c:pt>
                <c:pt idx="83">
                  <c:v>115.29984589990001</c:v>
                </c:pt>
                <c:pt idx="84">
                  <c:v>115.612361037006</c:v>
                </c:pt>
                <c:pt idx="85">
                  <c:v>116.143916151095</c:v>
                </c:pt>
                <c:pt idx="86">
                  <c:v>115.927340594578</c:v>
                </c:pt>
              </c:numCache>
            </c:numRef>
          </c:val>
          <c:extLst>
            <c:ext xmlns:c16="http://schemas.microsoft.com/office/drawing/2014/chart" uri="{C3380CC4-5D6E-409C-BE32-E72D297353CC}">
              <c16:uniqueId val="{00000000-AB54-470C-958F-71018C52C02E}"/>
            </c:ext>
          </c:extLst>
        </c:ser>
        <c:dLbls>
          <c:showLegendKey val="0"/>
          <c:showVal val="1"/>
          <c:showCatName val="0"/>
          <c:showSerName val="0"/>
          <c:showPercent val="0"/>
          <c:showBubbleSize val="0"/>
        </c:dLbls>
        <c:gapWidth val="80"/>
        <c:axId val="121036000"/>
        <c:axId val="121036392"/>
      </c:barChart>
      <c:lineChart>
        <c:grouping val="standard"/>
        <c:varyColors val="0"/>
        <c:ser>
          <c:idx val="1"/>
          <c:order val="1"/>
          <c:tx>
            <c:strRef>
              <c:f>datos!$M$4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datos!$B$77:$C$163</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datos!$M$77:$M$163</c:f>
              <c:numCache>
                <c:formatCode>0.0</c:formatCode>
                <c:ptCount val="87"/>
                <c:pt idx="0">
                  <c:v>105.896876151585</c:v>
                </c:pt>
                <c:pt idx="1">
                  <c:v>106.01092751751</c:v>
                </c:pt>
                <c:pt idx="2">
                  <c:v>106.087456841486</c:v>
                </c:pt>
                <c:pt idx="3">
                  <c:v>106.185536555252</c:v>
                </c:pt>
                <c:pt idx="4">
                  <c:v>106.384969274715</c:v>
                </c:pt>
                <c:pt idx="5">
                  <c:v>106.68981686561099</c:v>
                </c:pt>
                <c:pt idx="6">
                  <c:v>107.057635849492</c:v>
                </c:pt>
                <c:pt idx="7">
                  <c:v>107.458169601812</c:v>
                </c:pt>
                <c:pt idx="8">
                  <c:v>107.845786974435</c:v>
                </c:pt>
                <c:pt idx="9">
                  <c:v>108.14574172289601</c:v>
                </c:pt>
                <c:pt idx="10">
                  <c:v>108.305150732165</c:v>
                </c:pt>
                <c:pt idx="11">
                  <c:v>108.27508481277</c:v>
                </c:pt>
                <c:pt idx="12">
                  <c:v>108.096096436959</c:v>
                </c:pt>
                <c:pt idx="13">
                  <c:v>107.869813668924</c:v>
                </c:pt>
                <c:pt idx="14">
                  <c:v>107.72128783717299</c:v>
                </c:pt>
                <c:pt idx="15">
                  <c:v>107.69991042709501</c:v>
                </c:pt>
                <c:pt idx="16">
                  <c:v>107.78520641384</c:v>
                </c:pt>
                <c:pt idx="17">
                  <c:v>107.95731532753901</c:v>
                </c:pt>
                <c:pt idx="18">
                  <c:v>108.216059897664</c:v>
                </c:pt>
                <c:pt idx="19">
                  <c:v>108.561931314712</c:v>
                </c:pt>
                <c:pt idx="20">
                  <c:v>108.995202856581</c:v>
                </c:pt>
                <c:pt idx="21">
                  <c:v>109.541934974887</c:v>
                </c:pt>
                <c:pt idx="22">
                  <c:v>110.21323844812601</c:v>
                </c:pt>
                <c:pt idx="23">
                  <c:v>110.925782116996</c:v>
                </c:pt>
                <c:pt idx="24">
                  <c:v>111.526685636807</c:v>
                </c:pt>
                <c:pt idx="25">
                  <c:v>111.891094282826</c:v>
                </c:pt>
                <c:pt idx="26">
                  <c:v>111.997435685672</c:v>
                </c:pt>
                <c:pt idx="27">
                  <c:v>111.911764151727</c:v>
                </c:pt>
                <c:pt idx="28">
                  <c:v>111.780503359977</c:v>
                </c:pt>
                <c:pt idx="29">
                  <c:v>111.71418366272199</c:v>
                </c:pt>
                <c:pt idx="30">
                  <c:v>111.786374650421</c:v>
                </c:pt>
                <c:pt idx="31">
                  <c:v>111.968939117312</c:v>
                </c:pt>
                <c:pt idx="32">
                  <c:v>112.16529181646</c:v>
                </c:pt>
                <c:pt idx="33">
                  <c:v>112.338370430797</c:v>
                </c:pt>
                <c:pt idx="34">
                  <c:v>112.458092215173</c:v>
                </c:pt>
                <c:pt idx="35">
                  <c:v>112.570915849294</c:v>
                </c:pt>
                <c:pt idx="36">
                  <c:v>112.767398554566</c:v>
                </c:pt>
                <c:pt idx="37">
                  <c:v>113.073875584286</c:v>
                </c:pt>
                <c:pt idx="38">
                  <c:v>113.448513790305</c:v>
                </c:pt>
                <c:pt idx="39">
                  <c:v>113.858662251086</c:v>
                </c:pt>
                <c:pt idx="40">
                  <c:v>114.22995865066601</c:v>
                </c:pt>
                <c:pt idx="41">
                  <c:v>114.51175065165999</c:v>
                </c:pt>
                <c:pt idx="42">
                  <c:v>114.660737488976</c:v>
                </c:pt>
                <c:pt idx="43">
                  <c:v>114.64635403169299</c:v>
                </c:pt>
                <c:pt idx="44">
                  <c:v>114.51758614436299</c:v>
                </c:pt>
                <c:pt idx="45">
                  <c:v>114.286763511449</c:v>
                </c:pt>
                <c:pt idx="46">
                  <c:v>113.99221868257</c:v>
                </c:pt>
                <c:pt idx="47">
                  <c:v>113.74455096166901</c:v>
                </c:pt>
                <c:pt idx="48">
                  <c:v>113.628579879908</c:v>
                </c:pt>
                <c:pt idx="49">
                  <c:v>113.73373551840299</c:v>
                </c:pt>
                <c:pt idx="50">
                  <c:v>114.078754607215</c:v>
                </c:pt>
                <c:pt idx="51">
                  <c:v>114.56790945278399</c:v>
                </c:pt>
                <c:pt idx="52">
                  <c:v>115.004555749026</c:v>
                </c:pt>
                <c:pt idx="53">
                  <c:v>115.207720333213</c:v>
                </c:pt>
                <c:pt idx="54">
                  <c:v>115.01460362164001</c:v>
                </c:pt>
                <c:pt idx="55">
                  <c:v>114.49965782673</c:v>
                </c:pt>
                <c:pt idx="56">
                  <c:v>113.82117354752999</c:v>
                </c:pt>
                <c:pt idx="57">
                  <c:v>113.21299800368099</c:v>
                </c:pt>
                <c:pt idx="58">
                  <c:v>112.888821787525</c:v>
                </c:pt>
                <c:pt idx="59">
                  <c:v>112.907132319513</c:v>
                </c:pt>
                <c:pt idx="60">
                  <c:v>113.21235397612099</c:v>
                </c:pt>
                <c:pt idx="61">
                  <c:v>113.64797299200799</c:v>
                </c:pt>
                <c:pt idx="62">
                  <c:v>114.04831833493</c:v>
                </c:pt>
                <c:pt idx="63">
                  <c:v>104.12866326517801</c:v>
                </c:pt>
                <c:pt idx="64">
                  <c:v>104.472827219194</c:v>
                </c:pt>
                <c:pt idx="65">
                  <c:v>105.07276135591999</c:v>
                </c:pt>
                <c:pt idx="66">
                  <c:v>106.059882416094</c:v>
                </c:pt>
                <c:pt idx="67">
                  <c:v>107.382041919153</c:v>
                </c:pt>
                <c:pt idx="68">
                  <c:v>108.816738786198</c:v>
                </c:pt>
                <c:pt idx="69">
                  <c:v>110.11879038598001</c:v>
                </c:pt>
                <c:pt idx="70">
                  <c:v>111.11105197875899</c:v>
                </c:pt>
                <c:pt idx="71">
                  <c:v>111.723983582945</c:v>
                </c:pt>
                <c:pt idx="72">
                  <c:v>111.970615557068</c:v>
                </c:pt>
                <c:pt idx="73">
                  <c:v>111.99938903569</c:v>
                </c:pt>
                <c:pt idx="74">
                  <c:v>112.004045404401</c:v>
                </c:pt>
                <c:pt idx="75">
                  <c:v>112.08660071886101</c:v>
                </c:pt>
                <c:pt idx="76">
                  <c:v>112.237644614057</c:v>
                </c:pt>
                <c:pt idx="77">
                  <c:v>112.36129180760901</c:v>
                </c:pt>
                <c:pt idx="78">
                  <c:v>112.45092164236701</c:v>
                </c:pt>
                <c:pt idx="79">
                  <c:v>112.57332226893099</c:v>
                </c:pt>
                <c:pt idx="80">
                  <c:v>112.84760622216599</c:v>
                </c:pt>
                <c:pt idx="81">
                  <c:v>113.30389903006299</c:v>
                </c:pt>
                <c:pt idx="82">
                  <c:v>113.900049105368</c:v>
                </c:pt>
                <c:pt idx="83">
                  <c:v>114.554985292125</c:v>
                </c:pt>
                <c:pt idx="84">
                  <c:v>115.226956879873</c:v>
                </c:pt>
                <c:pt idx="85">
                  <c:v>115.82685209162599</c:v>
                </c:pt>
                <c:pt idx="86">
                  <c:v>116.28954450797301</c:v>
                </c:pt>
              </c:numCache>
            </c:numRef>
          </c:val>
          <c:smooth val="0"/>
          <c:extLst>
            <c:ext xmlns:c16="http://schemas.microsoft.com/office/drawing/2014/chart" uri="{C3380CC4-5D6E-409C-BE32-E72D297353CC}">
              <c16:uniqueId val="{00000001-AB54-470C-958F-71018C52C02E}"/>
            </c:ext>
          </c:extLst>
        </c:ser>
        <c:dLbls>
          <c:showLegendKey val="0"/>
          <c:showVal val="1"/>
          <c:showCatName val="0"/>
          <c:showSerName val="0"/>
          <c:showPercent val="0"/>
          <c:showBubbleSize val="0"/>
        </c:dLbls>
        <c:marker val="1"/>
        <c:smooth val="0"/>
        <c:axId val="121036000"/>
        <c:axId val="121036392"/>
      </c:lineChart>
      <c:catAx>
        <c:axId val="1210360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6392"/>
        <c:crosses val="autoZero"/>
        <c:auto val="1"/>
        <c:lblAlgn val="ctr"/>
        <c:lblOffset val="0"/>
        <c:tickLblSkip val="1"/>
        <c:tickMarkSkip val="12"/>
        <c:noMultiLvlLbl val="1"/>
      </c:catAx>
      <c:valAx>
        <c:axId val="12103639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6000"/>
        <c:crosses val="autoZero"/>
        <c:crossBetween val="between"/>
        <c:majorUnit val="10"/>
      </c:valAx>
      <c:spPr>
        <a:noFill/>
        <a:ln w="12700">
          <a:solidFill>
            <a:srgbClr val="808080"/>
          </a:solidFill>
          <a:prstDash val="solid"/>
        </a:ln>
      </c:spPr>
    </c:plotArea>
    <c:legend>
      <c:legendPos val="r"/>
      <c:layout>
        <c:manualLayout>
          <c:xMode val="edge"/>
          <c:yMode val="edge"/>
          <c:x val="5.4269444444444502E-2"/>
          <c:y val="0.94951943710620001"/>
          <c:w val="0.9334674768518515"/>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1AC7A-4EC7-4545-ABD2-8EF98E72D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2192</Words>
  <Characters>12057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vt:lpstr>
    </vt:vector>
  </TitlesOfParts>
  <Company>INEGI</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dc:title>
  <dc:creator>INEGI</dc:creator>
  <cp:keywords>SCNM</cp:keywords>
  <cp:lastModifiedBy>GUILLEN MEDINA MOISES</cp:lastModifiedBy>
  <cp:revision>31</cp:revision>
  <cp:lastPrinted>2022-05-11T22:45:00Z</cp:lastPrinted>
  <dcterms:created xsi:type="dcterms:W3CDTF">2022-05-11T22:44:00Z</dcterms:created>
  <dcterms:modified xsi:type="dcterms:W3CDTF">2022-05-12T00:12:00Z</dcterms:modified>
  <cp:category>Actividad Industrial</cp:category>
  <cp:version>1</cp:version>
</cp:coreProperties>
</file>