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0F93" w14:textId="77777777" w:rsidR="004E7268" w:rsidRDefault="004E7268" w:rsidP="004E7268">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3360" behindDoc="0" locked="0" layoutInCell="1" allowOverlap="1" wp14:anchorId="496FC755" wp14:editId="603EE696">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7F32F424" w14:textId="77777777" w:rsidR="004E7268" w:rsidRPr="003D4E37" w:rsidRDefault="004E7268" w:rsidP="004E7268">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FC755"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7F32F424" w14:textId="77777777" w:rsidR="004E7268" w:rsidRPr="003D4E37" w:rsidRDefault="004E7268" w:rsidP="004E7268">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bookmarkStart w:id="0" w:name="_Hlk61875621"/>
    </w:p>
    <w:p w14:paraId="44414BA0" w14:textId="77777777" w:rsidR="004E7268" w:rsidRPr="005E348D" w:rsidRDefault="004E7268" w:rsidP="004E7268">
      <w:pPr>
        <w:pStyle w:val="Textoindependiente"/>
        <w:spacing w:before="360"/>
        <w:contextualSpacing/>
        <w:rPr>
          <w:color w:val="000000" w:themeColor="text1"/>
          <w:sz w:val="16"/>
          <w:szCs w:val="16"/>
        </w:rPr>
      </w:pPr>
    </w:p>
    <w:p w14:paraId="17FF0F12" w14:textId="79C3EDBB" w:rsidR="004E7268" w:rsidRPr="00C1128D" w:rsidRDefault="004E7268" w:rsidP="00497600">
      <w:pPr>
        <w:pStyle w:val="Textoindependiente"/>
        <w:spacing w:before="120"/>
        <w:rPr>
          <w:sz w:val="24"/>
          <w:szCs w:val="24"/>
        </w:rPr>
      </w:pPr>
      <w:bookmarkStart w:id="1" w:name="_GoBack"/>
      <w:bookmarkEnd w:id="1"/>
      <w:r w:rsidRPr="00C1128D">
        <w:rPr>
          <w:sz w:val="24"/>
          <w:szCs w:val="24"/>
        </w:rPr>
        <w:t>INDICADOR MENSUAL DEL CONSUMO</w:t>
      </w:r>
    </w:p>
    <w:p w14:paraId="2EF1E621" w14:textId="77777777" w:rsidR="004E7268" w:rsidRPr="00C1128D" w:rsidRDefault="004E7268" w:rsidP="004E7268">
      <w:pPr>
        <w:pStyle w:val="Textoindependiente"/>
        <w:tabs>
          <w:tab w:val="center" w:pos="4420"/>
          <w:tab w:val="left" w:pos="8099"/>
        </w:tabs>
        <w:rPr>
          <w:sz w:val="24"/>
          <w:szCs w:val="24"/>
        </w:rPr>
      </w:pPr>
      <w:r w:rsidRPr="00C1128D">
        <w:rPr>
          <w:sz w:val="24"/>
          <w:szCs w:val="24"/>
        </w:rPr>
        <w:t>PRIVADO EN EL MERCADO INTERIOr</w:t>
      </w:r>
      <w:r w:rsidRPr="00C1128D">
        <w:rPr>
          <w:sz w:val="24"/>
          <w:szCs w:val="24"/>
          <w:vertAlign w:val="superscript"/>
        </w:rPr>
        <w:footnoteReference w:id="1"/>
      </w:r>
    </w:p>
    <w:p w14:paraId="1116497F" w14:textId="77777777" w:rsidR="004E7268" w:rsidRPr="00C1128D" w:rsidRDefault="004E7268" w:rsidP="004E7268">
      <w:pPr>
        <w:pStyle w:val="Textoindependiente"/>
        <w:rPr>
          <w:b w:val="0"/>
          <w:sz w:val="24"/>
          <w:szCs w:val="24"/>
        </w:rPr>
      </w:pPr>
      <w:r w:rsidRPr="00C1128D">
        <w:rPr>
          <w:sz w:val="24"/>
          <w:szCs w:val="24"/>
        </w:rPr>
        <w:t>JUNIO DE 2022</w:t>
      </w:r>
    </w:p>
    <w:p w14:paraId="1F0E47E2" w14:textId="77777777" w:rsidR="004E7268" w:rsidRPr="00281CFE" w:rsidRDefault="004E7268" w:rsidP="004E7268">
      <w:pPr>
        <w:pStyle w:val="bullet"/>
        <w:widowControl w:val="0"/>
        <w:tabs>
          <w:tab w:val="clear" w:pos="7939"/>
          <w:tab w:val="left" w:pos="7230"/>
        </w:tabs>
        <w:ind w:left="0" w:right="49" w:firstLine="0"/>
        <w:rPr>
          <w:b w:val="0"/>
          <w:sz w:val="24"/>
          <w:szCs w:val="24"/>
        </w:rPr>
      </w:pPr>
      <w:r w:rsidRPr="00281CFE">
        <w:rPr>
          <w:b w:val="0"/>
          <w:sz w:val="24"/>
          <w:szCs w:val="24"/>
        </w:rPr>
        <w:t>En junio de 2022 y con cifras desestacionalizadas,</w:t>
      </w:r>
      <w:r w:rsidRPr="00281CFE">
        <w:rPr>
          <w:b w:val="0"/>
          <w:sz w:val="24"/>
          <w:szCs w:val="24"/>
          <w:vertAlign w:val="superscript"/>
        </w:rPr>
        <w:footnoteReference w:id="2"/>
      </w:r>
      <w:r w:rsidRPr="00281CFE">
        <w:rPr>
          <w:b w:val="0"/>
          <w:sz w:val="24"/>
          <w:szCs w:val="24"/>
        </w:rPr>
        <w:t xml:space="preserve"> el Indicador Mensual del Consumo Privado en el Mercado Interior (IMCPMI)</w:t>
      </w:r>
      <w:r w:rsidRPr="00281CFE">
        <w:rPr>
          <w:b w:val="0"/>
          <w:sz w:val="24"/>
          <w:szCs w:val="24"/>
          <w:vertAlign w:val="superscript"/>
        </w:rPr>
        <w:footnoteReference w:id="3"/>
      </w:r>
      <w:r w:rsidRPr="00281CFE">
        <w:rPr>
          <w:b w:val="0"/>
          <w:sz w:val="24"/>
          <w:szCs w:val="24"/>
        </w:rPr>
        <w:t xml:space="preserve"> incrementó, en términos reales, 0.1 % a tasa mensual. </w:t>
      </w:r>
    </w:p>
    <w:p w14:paraId="01E86C2B" w14:textId="77777777" w:rsidR="004E7268" w:rsidRPr="00281CFE" w:rsidRDefault="004E7268" w:rsidP="004E7268">
      <w:pPr>
        <w:pStyle w:val="Titcuadrograf"/>
        <w:ind w:left="0" w:right="49"/>
      </w:pPr>
    </w:p>
    <w:p w14:paraId="4C8A508A" w14:textId="77777777" w:rsidR="004E7268" w:rsidRDefault="004E7268" w:rsidP="004E7268">
      <w:pPr>
        <w:jc w:val="center"/>
        <w:outlineLvl w:val="3"/>
        <w:rPr>
          <w:rFonts w:cs="Arial"/>
          <w:b/>
          <w:smallCaps/>
          <w:sz w:val="22"/>
        </w:rPr>
      </w:pPr>
    </w:p>
    <w:p w14:paraId="71408A56" w14:textId="77777777" w:rsidR="004E7268" w:rsidRDefault="004E7268" w:rsidP="004E7268">
      <w:pPr>
        <w:spacing w:before="120"/>
        <w:jc w:val="center"/>
        <w:outlineLvl w:val="3"/>
        <w:rPr>
          <w:rFonts w:cs="Arial"/>
          <w:b/>
          <w:smallCaps/>
          <w:sz w:val="22"/>
        </w:rPr>
      </w:pPr>
      <w:r>
        <w:rPr>
          <w:rFonts w:cs="Arial"/>
          <w:b/>
          <w:smallCaps/>
          <w:sz w:val="22"/>
        </w:rPr>
        <w:t xml:space="preserve">Indicador Mensual del Consumo Privado en el Mercado Interior </w:t>
      </w:r>
    </w:p>
    <w:p w14:paraId="5407EBAB" w14:textId="77777777" w:rsidR="004E7268" w:rsidRDefault="004E7268" w:rsidP="004E7268">
      <w:pPr>
        <w:jc w:val="center"/>
        <w:outlineLvl w:val="3"/>
        <w:rPr>
          <w:rFonts w:cs="Arial"/>
          <w:sz w:val="18"/>
          <w:szCs w:val="18"/>
        </w:rPr>
      </w:pPr>
      <w:r>
        <w:rPr>
          <w:rFonts w:cs="Arial"/>
          <w:sz w:val="18"/>
          <w:szCs w:val="18"/>
        </w:rPr>
        <w:t>(Índice base 2013=100)</w:t>
      </w:r>
    </w:p>
    <w:p w14:paraId="4EE8E4A6" w14:textId="77777777" w:rsidR="004E7268" w:rsidRDefault="004E7268" w:rsidP="004E7268">
      <w:pPr>
        <w:jc w:val="center"/>
        <w:outlineLvl w:val="3"/>
        <w:rPr>
          <w:rFonts w:cs="Arial"/>
          <w:sz w:val="18"/>
          <w:szCs w:val="18"/>
        </w:rPr>
      </w:pPr>
      <w:r>
        <w:rPr>
          <w:noProof/>
        </w:rPr>
        <w:drawing>
          <wp:inline distT="0" distB="0" distL="0" distR="0" wp14:anchorId="6820F91B" wp14:editId="5401813C">
            <wp:extent cx="4320000" cy="2527200"/>
            <wp:effectExtent l="0" t="0" r="23495" b="2603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9892DD" w14:textId="77777777" w:rsidR="004E7268" w:rsidRPr="00F8412E" w:rsidRDefault="004E7268" w:rsidP="00B17D0E">
      <w:pPr>
        <w:ind w:left="993" w:firstLine="708"/>
        <w:jc w:val="left"/>
        <w:rPr>
          <w:sz w:val="16"/>
        </w:rPr>
      </w:pPr>
      <w:r>
        <w:rPr>
          <w:rFonts w:cs="Arial"/>
          <w:sz w:val="16"/>
        </w:rPr>
        <w:t>Fuente: INEGI</w:t>
      </w:r>
    </w:p>
    <w:bookmarkEnd w:id="0"/>
    <w:p w14:paraId="13470AF8" w14:textId="77777777" w:rsidR="004E7268" w:rsidRDefault="004E7268" w:rsidP="004E7268">
      <w:pPr>
        <w:widowControl/>
        <w:jc w:val="left"/>
        <w:rPr>
          <w:szCs w:val="24"/>
        </w:rPr>
      </w:pPr>
    </w:p>
    <w:p w14:paraId="277C880A" w14:textId="77777777" w:rsidR="004E7268" w:rsidRDefault="004E7268" w:rsidP="004E7268">
      <w:pPr>
        <w:widowControl/>
        <w:jc w:val="left"/>
        <w:rPr>
          <w:szCs w:val="24"/>
        </w:rPr>
      </w:pPr>
    </w:p>
    <w:p w14:paraId="6F7BA718" w14:textId="77777777" w:rsidR="004E7268" w:rsidRPr="00281CFE" w:rsidRDefault="004E7268" w:rsidP="004E7268">
      <w:pPr>
        <w:pStyle w:val="bullet"/>
        <w:widowControl w:val="0"/>
        <w:tabs>
          <w:tab w:val="clear" w:pos="7939"/>
          <w:tab w:val="left" w:pos="7230"/>
        </w:tabs>
        <w:ind w:left="0" w:right="49" w:firstLine="0"/>
        <w:rPr>
          <w:b w:val="0"/>
          <w:sz w:val="24"/>
          <w:szCs w:val="24"/>
        </w:rPr>
      </w:pPr>
      <w:r w:rsidRPr="00281CFE">
        <w:rPr>
          <w:b w:val="0"/>
          <w:sz w:val="24"/>
          <w:szCs w:val="24"/>
        </w:rPr>
        <w:t>Por componente y con datos ajustados por estacionalidad, en junio de 2022, el consumo de bienes y servicios de origen nacional cayó 0.2 % y el de bienes de origen importado aumentó 4.1 por ciento.</w:t>
      </w:r>
    </w:p>
    <w:p w14:paraId="75C63E26" w14:textId="77777777" w:rsidR="004E7268" w:rsidRDefault="004E7268" w:rsidP="004E7268">
      <w:pPr>
        <w:pStyle w:val="bullet"/>
        <w:widowControl w:val="0"/>
        <w:tabs>
          <w:tab w:val="left" w:pos="7230"/>
        </w:tabs>
        <w:spacing w:before="360"/>
        <w:ind w:left="0" w:right="49" w:firstLine="0"/>
        <w:rPr>
          <w:rFonts w:cs="Arial"/>
          <w:b w:val="0"/>
          <w:color w:val="000000" w:themeColor="text1"/>
          <w:sz w:val="24"/>
          <w:szCs w:val="24"/>
        </w:rPr>
      </w:pPr>
    </w:p>
    <w:p w14:paraId="514B3083" w14:textId="77777777" w:rsidR="004E7268" w:rsidRPr="00A0627F" w:rsidRDefault="004E7268" w:rsidP="0040075D">
      <w:pPr>
        <w:pStyle w:val="bullet"/>
        <w:widowControl w:val="0"/>
        <w:tabs>
          <w:tab w:val="clear" w:pos="7939"/>
          <w:tab w:val="left" w:pos="7230"/>
        </w:tabs>
        <w:spacing w:before="360" w:after="600"/>
        <w:ind w:left="0" w:right="-93" w:firstLine="0"/>
        <w:rPr>
          <w:rFonts w:cs="Arial"/>
          <w:b w:val="0"/>
          <w:sz w:val="24"/>
          <w:szCs w:val="24"/>
        </w:rPr>
      </w:pPr>
      <w:r w:rsidRPr="00A0627F">
        <w:rPr>
          <w:rFonts w:cs="Arial"/>
          <w:b w:val="0"/>
          <w:sz w:val="24"/>
          <w:szCs w:val="24"/>
        </w:rPr>
        <w:lastRenderedPageBreak/>
        <w:t>En junio de 2022, con cifras desestacionalizadas y a tasa anual, el IMCPMI avanzó 6.8 por ciento. A su interior, el gasto en bienes de origen importado ascendió 20.6 % y el gasto en bienes y servicios nacionales, 5.3 % (el de los servicios creció 7.5 % y el de los bienes, 3.1 %).</w:t>
      </w:r>
    </w:p>
    <w:p w14:paraId="4C910368" w14:textId="77777777" w:rsidR="004E7268" w:rsidRDefault="004E7268" w:rsidP="004E7268">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723C833F" w14:textId="77777777" w:rsidR="004E7268" w:rsidRDefault="004E7268" w:rsidP="004E7268">
      <w:pPr>
        <w:pStyle w:val="p0"/>
        <w:spacing w:before="0"/>
        <w:jc w:val="center"/>
        <w:rPr>
          <w:rFonts w:cs="Arial"/>
          <w:b/>
          <w:smallCaps/>
          <w:color w:val="auto"/>
          <w:sz w:val="22"/>
          <w:szCs w:val="22"/>
        </w:rPr>
      </w:pPr>
      <w:r>
        <w:rPr>
          <w:rFonts w:cs="Arial"/>
          <w:b/>
          <w:smallCaps/>
          <w:color w:val="auto"/>
          <w:sz w:val="22"/>
          <w:szCs w:val="22"/>
        </w:rPr>
        <w:t>junio de 2022</w:t>
      </w:r>
    </w:p>
    <w:p w14:paraId="1683F942" w14:textId="77777777" w:rsidR="004E7268" w:rsidRDefault="004E7268" w:rsidP="004E7268">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4E7268" w14:paraId="0D48BDCC" w14:textId="77777777" w:rsidTr="001F7176">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5FFE05B5" w14:textId="77777777" w:rsidR="004E7268" w:rsidRDefault="004E7268" w:rsidP="001F7176">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F2DDB74" w14:textId="77777777" w:rsidR="004E7268" w:rsidRDefault="004E7268" w:rsidP="001F7176">
            <w:pPr>
              <w:pStyle w:val="p0"/>
              <w:keepNext/>
              <w:spacing w:before="0"/>
              <w:jc w:val="center"/>
              <w:rPr>
                <w:rFonts w:cs="Arial"/>
                <w:color w:val="auto"/>
                <w:sz w:val="18"/>
                <w:lang w:val="es-ES"/>
              </w:rPr>
            </w:pPr>
            <w:r>
              <w:rPr>
                <w:rFonts w:cs="Arial"/>
                <w:color w:val="auto"/>
                <w:sz w:val="18"/>
                <w:lang w:val="es-ES"/>
              </w:rPr>
              <w:t>Variación porcentual respecto al:</w:t>
            </w:r>
          </w:p>
        </w:tc>
      </w:tr>
      <w:tr w:rsidR="004E7268" w14:paraId="18B8F1AD" w14:textId="77777777" w:rsidTr="001F7176">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3AA5E79E" w14:textId="77777777" w:rsidR="004E7268" w:rsidRDefault="004E7268" w:rsidP="001F7176">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09B36E32" w14:textId="77777777" w:rsidR="004E7268" w:rsidRDefault="004E7268" w:rsidP="001F7176">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39726D1" w14:textId="77777777" w:rsidR="004E7268" w:rsidRDefault="004E7268" w:rsidP="001F7176">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4E7268" w:rsidRPr="00A75FAD" w14:paraId="6A7B37DC" w14:textId="77777777" w:rsidTr="001F7176">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0A1C33D9" w14:textId="77777777" w:rsidR="004E7268" w:rsidRDefault="004E7268" w:rsidP="001F7176">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6FDAF92" w14:textId="77777777" w:rsidR="004E7268" w:rsidRPr="0051417B" w:rsidRDefault="004E7268" w:rsidP="001F7176">
            <w:pPr>
              <w:tabs>
                <w:tab w:val="left" w:pos="5103"/>
              </w:tabs>
              <w:ind w:right="567"/>
              <w:jc w:val="right"/>
              <w:rPr>
                <w:rFonts w:cs="Arial"/>
                <w:b/>
                <w:sz w:val="18"/>
                <w:u w:val="single"/>
                <w:lang w:val="es-ES" w:eastAsia="en-US"/>
              </w:rPr>
            </w:pPr>
            <w:r>
              <w:rPr>
                <w:rFonts w:cs="Arial"/>
                <w:b/>
                <w:sz w:val="18"/>
                <w:u w:val="single"/>
                <w:lang w:val="es-ES" w:eastAsia="en-US"/>
              </w:rPr>
              <w:t>0.1</w:t>
            </w:r>
          </w:p>
        </w:tc>
        <w:tc>
          <w:tcPr>
            <w:tcW w:w="1765" w:type="dxa"/>
            <w:tcBorders>
              <w:top w:val="single" w:sz="4" w:space="0" w:color="404040"/>
              <w:left w:val="single" w:sz="4" w:space="0" w:color="404040"/>
              <w:bottom w:val="nil"/>
              <w:right w:val="double" w:sz="4" w:space="0" w:color="auto"/>
            </w:tcBorders>
            <w:vAlign w:val="center"/>
            <w:hideMark/>
          </w:tcPr>
          <w:p w14:paraId="7D456687" w14:textId="77777777" w:rsidR="004E7268" w:rsidRPr="0051417B" w:rsidRDefault="004E7268" w:rsidP="001F7176">
            <w:pPr>
              <w:tabs>
                <w:tab w:val="left" w:pos="5103"/>
              </w:tabs>
              <w:ind w:right="620"/>
              <w:jc w:val="right"/>
              <w:rPr>
                <w:rFonts w:cs="Arial"/>
                <w:b/>
                <w:sz w:val="18"/>
                <w:lang w:val="es-ES" w:eastAsia="en-US"/>
              </w:rPr>
            </w:pPr>
            <w:r>
              <w:rPr>
                <w:rFonts w:cs="Arial"/>
                <w:b/>
                <w:sz w:val="18"/>
                <w:u w:val="single"/>
                <w:lang w:val="es-ES" w:eastAsia="en-US"/>
              </w:rPr>
              <w:t>6.8</w:t>
            </w:r>
          </w:p>
        </w:tc>
      </w:tr>
      <w:tr w:rsidR="004E7268" w:rsidRPr="00A75FAD" w14:paraId="5A5C96BA" w14:textId="77777777" w:rsidTr="001F7176">
        <w:trPr>
          <w:cantSplit/>
          <w:trHeight w:val="255"/>
          <w:jc w:val="center"/>
        </w:trPr>
        <w:tc>
          <w:tcPr>
            <w:tcW w:w="2834" w:type="dxa"/>
            <w:tcBorders>
              <w:top w:val="nil"/>
              <w:left w:val="double" w:sz="4" w:space="0" w:color="auto"/>
              <w:bottom w:val="nil"/>
              <w:right w:val="single" w:sz="4" w:space="0" w:color="404040"/>
            </w:tcBorders>
            <w:vAlign w:val="center"/>
            <w:hideMark/>
          </w:tcPr>
          <w:p w14:paraId="141AE5A4" w14:textId="77777777" w:rsidR="004E7268" w:rsidRDefault="004E7268" w:rsidP="001F7176">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6E87B93" w14:textId="77777777" w:rsidR="004E7268" w:rsidRPr="0051417B" w:rsidRDefault="004E7268" w:rsidP="001F7176">
            <w:pPr>
              <w:tabs>
                <w:tab w:val="left" w:pos="5103"/>
              </w:tabs>
              <w:ind w:right="567"/>
              <w:jc w:val="right"/>
              <w:rPr>
                <w:rFonts w:cs="Arial"/>
                <w:b/>
                <w:sz w:val="18"/>
                <w:lang w:val="es-ES" w:eastAsia="en-US"/>
              </w:rPr>
            </w:pPr>
            <w:r>
              <w:rPr>
                <w:rFonts w:cs="Arial"/>
                <w:b/>
                <w:sz w:val="18"/>
                <w:lang w:val="es-ES" w:eastAsia="en-US"/>
              </w:rPr>
              <w:t>-0.2</w:t>
            </w:r>
          </w:p>
        </w:tc>
        <w:tc>
          <w:tcPr>
            <w:tcW w:w="1765" w:type="dxa"/>
            <w:tcBorders>
              <w:top w:val="nil"/>
              <w:left w:val="single" w:sz="4" w:space="0" w:color="404040"/>
              <w:bottom w:val="nil"/>
              <w:right w:val="double" w:sz="4" w:space="0" w:color="auto"/>
            </w:tcBorders>
            <w:vAlign w:val="center"/>
            <w:hideMark/>
          </w:tcPr>
          <w:p w14:paraId="7FD99CAD" w14:textId="77777777" w:rsidR="004E7268" w:rsidRPr="0051417B" w:rsidRDefault="004E7268" w:rsidP="001F7176">
            <w:pPr>
              <w:tabs>
                <w:tab w:val="left" w:pos="5103"/>
              </w:tabs>
              <w:ind w:right="620"/>
              <w:jc w:val="right"/>
              <w:rPr>
                <w:rFonts w:cs="Arial"/>
                <w:b/>
                <w:sz w:val="18"/>
                <w:lang w:val="es-ES" w:eastAsia="en-US"/>
              </w:rPr>
            </w:pPr>
            <w:r>
              <w:rPr>
                <w:rFonts w:cs="Arial"/>
                <w:b/>
                <w:sz w:val="18"/>
                <w:lang w:val="es-ES" w:eastAsia="en-US"/>
              </w:rPr>
              <w:t>5.3</w:t>
            </w:r>
          </w:p>
        </w:tc>
      </w:tr>
      <w:tr w:rsidR="004E7268" w:rsidRPr="00A75FAD" w14:paraId="3A2768DF" w14:textId="77777777" w:rsidTr="001F7176">
        <w:trPr>
          <w:cantSplit/>
          <w:trHeight w:val="255"/>
          <w:jc w:val="center"/>
        </w:trPr>
        <w:tc>
          <w:tcPr>
            <w:tcW w:w="2834" w:type="dxa"/>
            <w:tcBorders>
              <w:top w:val="nil"/>
              <w:left w:val="double" w:sz="4" w:space="0" w:color="auto"/>
              <w:bottom w:val="nil"/>
              <w:right w:val="single" w:sz="4" w:space="0" w:color="404040"/>
            </w:tcBorders>
            <w:vAlign w:val="center"/>
            <w:hideMark/>
          </w:tcPr>
          <w:p w14:paraId="2D0F3D68" w14:textId="77777777" w:rsidR="004E7268" w:rsidRDefault="004E7268" w:rsidP="001F7176">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CB37E79" w14:textId="77777777" w:rsidR="004E7268" w:rsidRPr="0051417B" w:rsidRDefault="004E7268" w:rsidP="001F7176">
            <w:pPr>
              <w:tabs>
                <w:tab w:val="left" w:pos="5103"/>
              </w:tabs>
              <w:ind w:right="567"/>
              <w:jc w:val="right"/>
              <w:rPr>
                <w:rFonts w:cs="Arial"/>
                <w:sz w:val="18"/>
                <w:lang w:val="es-ES" w:eastAsia="en-US"/>
              </w:rPr>
            </w:pPr>
            <w:r>
              <w:rPr>
                <w:rFonts w:cs="Arial"/>
                <w:sz w:val="18"/>
                <w:lang w:val="es-ES" w:eastAsia="en-US"/>
              </w:rPr>
              <w:t>-0.2</w:t>
            </w:r>
          </w:p>
        </w:tc>
        <w:tc>
          <w:tcPr>
            <w:tcW w:w="1765" w:type="dxa"/>
            <w:tcBorders>
              <w:top w:val="nil"/>
              <w:left w:val="single" w:sz="4" w:space="0" w:color="404040"/>
              <w:bottom w:val="nil"/>
              <w:right w:val="double" w:sz="4" w:space="0" w:color="auto"/>
            </w:tcBorders>
            <w:vAlign w:val="center"/>
            <w:hideMark/>
          </w:tcPr>
          <w:p w14:paraId="4D07AA91" w14:textId="77777777" w:rsidR="004E7268" w:rsidRPr="0051417B" w:rsidRDefault="004E7268" w:rsidP="001F7176">
            <w:pPr>
              <w:tabs>
                <w:tab w:val="left" w:pos="5103"/>
              </w:tabs>
              <w:ind w:right="620"/>
              <w:jc w:val="right"/>
              <w:rPr>
                <w:rFonts w:cs="Arial"/>
                <w:sz w:val="18"/>
                <w:lang w:val="es-ES" w:eastAsia="en-US"/>
              </w:rPr>
            </w:pPr>
            <w:r>
              <w:rPr>
                <w:rFonts w:cs="Arial"/>
                <w:sz w:val="18"/>
                <w:lang w:val="es-ES" w:eastAsia="en-US"/>
              </w:rPr>
              <w:t>3.1</w:t>
            </w:r>
          </w:p>
        </w:tc>
      </w:tr>
      <w:tr w:rsidR="004E7268" w:rsidRPr="00A75FAD" w14:paraId="38AF29DE" w14:textId="77777777" w:rsidTr="001F7176">
        <w:trPr>
          <w:cantSplit/>
          <w:trHeight w:val="255"/>
          <w:jc w:val="center"/>
        </w:trPr>
        <w:tc>
          <w:tcPr>
            <w:tcW w:w="2834" w:type="dxa"/>
            <w:tcBorders>
              <w:top w:val="nil"/>
              <w:left w:val="double" w:sz="4" w:space="0" w:color="auto"/>
              <w:bottom w:val="nil"/>
              <w:right w:val="single" w:sz="4" w:space="0" w:color="404040"/>
            </w:tcBorders>
            <w:vAlign w:val="center"/>
            <w:hideMark/>
          </w:tcPr>
          <w:p w14:paraId="14EF17F1" w14:textId="77777777" w:rsidR="004E7268" w:rsidRDefault="004E7268" w:rsidP="001F7176">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37645BA" w14:textId="77777777" w:rsidR="004E7268" w:rsidRPr="0051417B" w:rsidRDefault="004E7268" w:rsidP="001F7176">
            <w:pPr>
              <w:tabs>
                <w:tab w:val="left" w:pos="5103"/>
              </w:tabs>
              <w:ind w:right="567"/>
              <w:jc w:val="right"/>
              <w:rPr>
                <w:rFonts w:cs="Arial"/>
                <w:sz w:val="18"/>
                <w:lang w:val="es-ES" w:eastAsia="en-US"/>
              </w:rPr>
            </w:pPr>
            <w:r>
              <w:rPr>
                <w:rFonts w:cs="Arial"/>
                <w:sz w:val="18"/>
                <w:lang w:val="es-ES" w:eastAsia="en-US"/>
              </w:rPr>
              <w:t>-0.4</w:t>
            </w:r>
          </w:p>
        </w:tc>
        <w:tc>
          <w:tcPr>
            <w:tcW w:w="1765" w:type="dxa"/>
            <w:tcBorders>
              <w:top w:val="nil"/>
              <w:left w:val="single" w:sz="4" w:space="0" w:color="404040"/>
              <w:bottom w:val="nil"/>
              <w:right w:val="double" w:sz="4" w:space="0" w:color="auto"/>
            </w:tcBorders>
            <w:vAlign w:val="center"/>
            <w:hideMark/>
          </w:tcPr>
          <w:p w14:paraId="5B5DCDDB" w14:textId="77777777" w:rsidR="004E7268" w:rsidRPr="0051417B" w:rsidRDefault="004E7268" w:rsidP="001F7176">
            <w:pPr>
              <w:tabs>
                <w:tab w:val="left" w:pos="5103"/>
              </w:tabs>
              <w:ind w:right="620"/>
              <w:jc w:val="right"/>
              <w:rPr>
                <w:rFonts w:cs="Arial"/>
                <w:sz w:val="18"/>
                <w:lang w:val="es-ES" w:eastAsia="en-US"/>
              </w:rPr>
            </w:pPr>
            <w:r>
              <w:rPr>
                <w:rFonts w:cs="Arial"/>
                <w:sz w:val="18"/>
                <w:lang w:val="es-ES" w:eastAsia="en-US"/>
              </w:rPr>
              <w:t>7.5</w:t>
            </w:r>
          </w:p>
        </w:tc>
      </w:tr>
      <w:tr w:rsidR="004E7268" w:rsidRPr="00A75FAD" w14:paraId="129379E9" w14:textId="77777777" w:rsidTr="001F7176">
        <w:trPr>
          <w:cantSplit/>
          <w:trHeight w:val="255"/>
          <w:jc w:val="center"/>
        </w:trPr>
        <w:tc>
          <w:tcPr>
            <w:tcW w:w="2834" w:type="dxa"/>
            <w:tcBorders>
              <w:top w:val="nil"/>
              <w:left w:val="double" w:sz="4" w:space="0" w:color="auto"/>
              <w:bottom w:val="nil"/>
              <w:right w:val="single" w:sz="4" w:space="0" w:color="404040"/>
            </w:tcBorders>
            <w:vAlign w:val="center"/>
            <w:hideMark/>
          </w:tcPr>
          <w:p w14:paraId="32E60549" w14:textId="77777777" w:rsidR="004E7268" w:rsidRDefault="004E7268" w:rsidP="001F7176">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3D65A0FB" w14:textId="77777777" w:rsidR="004E7268" w:rsidRPr="0051417B" w:rsidRDefault="004E7268" w:rsidP="001F7176">
            <w:pPr>
              <w:tabs>
                <w:tab w:val="left" w:pos="5103"/>
              </w:tabs>
              <w:ind w:right="567"/>
              <w:jc w:val="right"/>
              <w:rPr>
                <w:rFonts w:cs="Arial"/>
                <w:b/>
                <w:sz w:val="18"/>
                <w:lang w:val="es-ES" w:eastAsia="en-US"/>
              </w:rPr>
            </w:pPr>
            <w:r>
              <w:rPr>
                <w:rFonts w:cs="Arial"/>
                <w:b/>
                <w:sz w:val="18"/>
                <w:lang w:val="es-ES" w:eastAsia="en-US"/>
              </w:rPr>
              <w:t>4.1</w:t>
            </w:r>
          </w:p>
        </w:tc>
        <w:tc>
          <w:tcPr>
            <w:tcW w:w="1765" w:type="dxa"/>
            <w:tcBorders>
              <w:top w:val="nil"/>
              <w:left w:val="single" w:sz="4" w:space="0" w:color="404040"/>
              <w:bottom w:val="nil"/>
              <w:right w:val="double" w:sz="4" w:space="0" w:color="auto"/>
            </w:tcBorders>
            <w:vAlign w:val="center"/>
            <w:hideMark/>
          </w:tcPr>
          <w:p w14:paraId="7EDD8064" w14:textId="77777777" w:rsidR="004E7268" w:rsidRPr="0051417B" w:rsidRDefault="004E7268" w:rsidP="001F7176">
            <w:pPr>
              <w:tabs>
                <w:tab w:val="left" w:pos="5103"/>
              </w:tabs>
              <w:ind w:right="620"/>
              <w:jc w:val="right"/>
              <w:rPr>
                <w:rFonts w:cs="Arial"/>
                <w:b/>
                <w:sz w:val="18"/>
                <w:lang w:val="es-ES" w:eastAsia="en-US"/>
              </w:rPr>
            </w:pPr>
            <w:r>
              <w:rPr>
                <w:rFonts w:cs="Arial"/>
                <w:b/>
                <w:sz w:val="18"/>
                <w:lang w:val="es-ES" w:eastAsia="en-US"/>
              </w:rPr>
              <w:t>20.6</w:t>
            </w:r>
            <w:r w:rsidRPr="0051417B">
              <w:rPr>
                <w:rFonts w:cs="Arial"/>
                <w:b/>
                <w:sz w:val="18"/>
                <w:lang w:val="es-ES" w:eastAsia="en-US"/>
              </w:rPr>
              <w:t xml:space="preserve"> </w:t>
            </w:r>
          </w:p>
        </w:tc>
      </w:tr>
      <w:tr w:rsidR="004E7268" w:rsidRPr="00A75FAD" w14:paraId="4EDA3FD0" w14:textId="77777777" w:rsidTr="001F7176">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3EB8A39B" w14:textId="77777777" w:rsidR="004E7268" w:rsidRDefault="004E7268" w:rsidP="001F7176">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4C69417B" w14:textId="77777777" w:rsidR="004E7268" w:rsidRPr="0051417B" w:rsidRDefault="004E7268" w:rsidP="001F7176">
            <w:pPr>
              <w:tabs>
                <w:tab w:val="left" w:pos="5103"/>
              </w:tabs>
              <w:ind w:right="567"/>
              <w:jc w:val="right"/>
              <w:rPr>
                <w:rFonts w:cs="Arial"/>
                <w:sz w:val="18"/>
                <w:lang w:val="es-ES"/>
              </w:rPr>
            </w:pPr>
            <w:r>
              <w:rPr>
                <w:rFonts w:cs="Arial"/>
                <w:sz w:val="18"/>
                <w:lang w:val="es-ES"/>
              </w:rPr>
              <w:t>4.1</w:t>
            </w:r>
          </w:p>
        </w:tc>
        <w:tc>
          <w:tcPr>
            <w:tcW w:w="1765" w:type="dxa"/>
            <w:tcBorders>
              <w:top w:val="nil"/>
              <w:left w:val="single" w:sz="4" w:space="0" w:color="404040"/>
              <w:bottom w:val="double" w:sz="4" w:space="0" w:color="404040"/>
              <w:right w:val="double" w:sz="4" w:space="0" w:color="auto"/>
            </w:tcBorders>
            <w:vAlign w:val="center"/>
          </w:tcPr>
          <w:p w14:paraId="7D01F328" w14:textId="77777777" w:rsidR="004E7268" w:rsidRPr="0051417B" w:rsidRDefault="004E7268" w:rsidP="001F7176">
            <w:pPr>
              <w:tabs>
                <w:tab w:val="left" w:pos="5103"/>
              </w:tabs>
              <w:ind w:right="620"/>
              <w:jc w:val="right"/>
              <w:rPr>
                <w:rFonts w:cs="Arial"/>
                <w:sz w:val="18"/>
                <w:lang w:val="es-ES"/>
              </w:rPr>
            </w:pPr>
            <w:r>
              <w:rPr>
                <w:rFonts w:cs="Arial"/>
                <w:sz w:val="18"/>
                <w:lang w:val="es-ES"/>
              </w:rPr>
              <w:t>20.6</w:t>
            </w:r>
          </w:p>
        </w:tc>
      </w:tr>
    </w:tbl>
    <w:p w14:paraId="25CEF930" w14:textId="77777777" w:rsidR="004E7268" w:rsidRPr="00994258" w:rsidRDefault="004E7268" w:rsidP="004E7268">
      <w:pPr>
        <w:pStyle w:val="p0"/>
        <w:tabs>
          <w:tab w:val="left" w:pos="5103"/>
        </w:tabs>
        <w:spacing w:before="0"/>
        <w:ind w:left="2410"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103A6C20" w14:textId="77777777" w:rsidR="004E7268" w:rsidRPr="00994258" w:rsidRDefault="004E7268" w:rsidP="004E7268">
      <w:pPr>
        <w:pStyle w:val="p0"/>
        <w:spacing w:before="0"/>
        <w:ind w:left="2410" w:right="1892" w:hanging="447"/>
        <w:rPr>
          <w:b/>
          <w:i/>
          <w:color w:val="000000" w:themeColor="text1"/>
          <w:sz w:val="16"/>
          <w:szCs w:val="16"/>
        </w:rPr>
      </w:pPr>
      <w:r w:rsidRPr="006346C0">
        <w:rPr>
          <w:color w:val="000000" w:themeColor="text1"/>
          <w:sz w:val="16"/>
          <w:szCs w:val="16"/>
        </w:rPr>
        <w:t>Fuente: INEGI</w:t>
      </w:r>
    </w:p>
    <w:p w14:paraId="2C52B841" w14:textId="77777777" w:rsidR="004E7268" w:rsidRPr="0040075D" w:rsidRDefault="004E7268" w:rsidP="0048798C">
      <w:pPr>
        <w:pStyle w:val="parr2"/>
        <w:keepNext/>
        <w:keepLines/>
        <w:spacing w:before="960"/>
        <w:ind w:left="0" w:right="49"/>
        <w:rPr>
          <w:rFonts w:ascii="Arial Negrita" w:hAnsi="Arial Negrita"/>
          <w:b/>
          <w:i/>
          <w:smallCaps/>
        </w:rPr>
      </w:pPr>
      <w:r w:rsidRPr="0040075D">
        <w:rPr>
          <w:rFonts w:ascii="Arial Negrita" w:hAnsi="Arial Negrita"/>
          <w:b/>
          <w:i/>
          <w:smallCaps/>
        </w:rPr>
        <w:t>Nota al usuario</w:t>
      </w:r>
    </w:p>
    <w:p w14:paraId="7C736B07" w14:textId="77777777" w:rsidR="004E7268" w:rsidRDefault="004E7268" w:rsidP="0048798C">
      <w:pPr>
        <w:pStyle w:val="Default"/>
        <w:spacing w:before="180"/>
        <w:ind w:right="49"/>
        <w:jc w:val="both"/>
      </w:pPr>
      <w:r>
        <w:t xml:space="preserve">Este indicador se actualiza una vez que se dispone de la información estadística más reciente de las encuestas, los registros administrativos y los datos primarios en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que se complementan con las Normas Especiales para la Divulgación de Datos del Fondo Monetario Internacional (FMI). </w:t>
      </w:r>
    </w:p>
    <w:p w14:paraId="72DDEE71" w14:textId="77777777" w:rsidR="004E7268" w:rsidRDefault="004E7268" w:rsidP="0048798C">
      <w:pPr>
        <w:pStyle w:val="Default"/>
        <w:spacing w:before="180"/>
        <w:ind w:right="49"/>
        <w:jc w:val="both"/>
      </w:pPr>
      <w:r>
        <w:t xml:space="preserve">La tasa de no respuesta en la captación de las encuestas económicas que se consideraron para la integración del </w:t>
      </w:r>
      <w:r w:rsidRPr="00BD6F46">
        <w:rPr>
          <w:color w:val="auto"/>
        </w:rPr>
        <w:t>IMCPMI</w:t>
      </w:r>
      <w:r w:rsidRPr="00D57BE1">
        <w:rPr>
          <w:rStyle w:val="Refdenotaalpie"/>
          <w:b w:val="0"/>
          <w:bCs/>
          <w:sz w:val="24"/>
          <w:szCs w:val="28"/>
        </w:rPr>
        <w:footnoteReference w:id="4"/>
      </w:r>
      <w:r>
        <w:t xml:space="preserve"> en junio de 2022, registró porcentajes apropiados de acuerdo con el diseño estadístico de las muestras. La captación de los registros administrativos y los datos primarios que divulga el Instituto permitió la generación de estadísticas con niveles altos de cobertura.</w:t>
      </w:r>
    </w:p>
    <w:p w14:paraId="47114B7A" w14:textId="77777777" w:rsidR="004E7268" w:rsidRDefault="004E7268" w:rsidP="003C039A">
      <w:pPr>
        <w:pStyle w:val="Default"/>
        <w:spacing w:before="180"/>
        <w:ind w:right="49"/>
        <w:jc w:val="both"/>
      </w:pPr>
    </w:p>
    <w:p w14:paraId="7D896CD8" w14:textId="77777777" w:rsidR="004E7268" w:rsidRDefault="004E7268" w:rsidP="003C039A">
      <w:pPr>
        <w:pStyle w:val="Default"/>
        <w:spacing w:before="180"/>
        <w:ind w:right="49"/>
        <w:jc w:val="both"/>
        <w:rPr>
          <w:color w:val="auto"/>
        </w:rPr>
      </w:pPr>
      <w:r>
        <w:lastRenderedPageBreak/>
        <w:t xml:space="preserve">Para las actividades </w:t>
      </w:r>
      <w:r w:rsidRPr="00BD6F46">
        <w:t>agropecuarias, energía, gas</w:t>
      </w:r>
      <w:r>
        <w:t>,</w:t>
      </w:r>
      <w:r w:rsidRPr="00BD6F46">
        <w:t xml:space="preserve"> agua, servicios financieros y del gobierno </w:t>
      </w:r>
      <w:r w:rsidRPr="000F58B5">
        <w:rPr>
          <w:color w:val="auto"/>
        </w:rPr>
        <w:t xml:space="preserve">se </w:t>
      </w:r>
      <w:r>
        <w:rPr>
          <w:color w:val="auto"/>
        </w:rPr>
        <w:t>incluyeron los</w:t>
      </w:r>
      <w:r w:rsidRPr="0039257A">
        <w:rPr>
          <w:color w:val="auto"/>
        </w:rPr>
        <w:t xml:space="preserve"> </w:t>
      </w:r>
      <w:r w:rsidRPr="000F58B5">
        <w:rPr>
          <w:color w:val="auto"/>
        </w:rPr>
        <w:t xml:space="preserve">registros administrativos </w:t>
      </w:r>
      <w:r>
        <w:t>provenientes de las empresas y Unidades del Estado que se recibieron oportunamente vía correo electrónico y por internet</w:t>
      </w:r>
      <w:r w:rsidRPr="000F58B5">
        <w:rPr>
          <w:color w:val="auto"/>
        </w:rPr>
        <w:t>.</w:t>
      </w:r>
    </w:p>
    <w:p w14:paraId="1C219F65" w14:textId="77777777" w:rsidR="004E7268" w:rsidRDefault="004E7268" w:rsidP="003C039A">
      <w:pPr>
        <w:pStyle w:val="NormalWeb"/>
        <w:spacing w:before="0" w:beforeAutospacing="0" w:after="0" w:afterAutospacing="0"/>
        <w:ind w:right="49"/>
        <w:contextualSpacing/>
        <w:jc w:val="center"/>
        <w:rPr>
          <w:sz w:val="22"/>
          <w:szCs w:val="22"/>
        </w:rPr>
      </w:pPr>
      <w:bookmarkStart w:id="2" w:name="_Hlk97203803"/>
    </w:p>
    <w:p w14:paraId="50ECA228" w14:textId="77777777" w:rsidR="004E7268" w:rsidRDefault="004E7268" w:rsidP="004E7268">
      <w:pPr>
        <w:pStyle w:val="NormalWeb"/>
        <w:spacing w:before="120" w:beforeAutospacing="0" w:after="0" w:afterAutospacing="0"/>
        <w:ind w:right="49"/>
        <w:contextualSpacing/>
        <w:jc w:val="center"/>
        <w:rPr>
          <w:sz w:val="22"/>
          <w:szCs w:val="22"/>
        </w:rPr>
      </w:pPr>
    </w:p>
    <w:p w14:paraId="2115C8C7" w14:textId="77777777" w:rsidR="004E7268" w:rsidRDefault="004E7268" w:rsidP="004E7268">
      <w:pPr>
        <w:pStyle w:val="NormalWeb"/>
        <w:spacing w:before="120" w:beforeAutospacing="0" w:after="0" w:afterAutospacing="0"/>
        <w:ind w:right="49"/>
        <w:contextualSpacing/>
        <w:jc w:val="center"/>
        <w:rPr>
          <w:sz w:val="22"/>
          <w:szCs w:val="22"/>
        </w:rPr>
      </w:pPr>
    </w:p>
    <w:p w14:paraId="5BC43184" w14:textId="77777777" w:rsidR="004E7268" w:rsidRDefault="004E7268" w:rsidP="004E7268">
      <w:pPr>
        <w:pStyle w:val="NormalWeb"/>
        <w:spacing w:before="120" w:beforeAutospacing="0" w:after="0" w:afterAutospacing="0"/>
        <w:ind w:right="49"/>
        <w:contextualSpacing/>
        <w:jc w:val="center"/>
        <w:rPr>
          <w:sz w:val="22"/>
          <w:szCs w:val="22"/>
        </w:rPr>
      </w:pPr>
    </w:p>
    <w:p w14:paraId="10AC69C6" w14:textId="77777777" w:rsidR="004E7268" w:rsidRDefault="004E7268" w:rsidP="004E7268">
      <w:pPr>
        <w:pStyle w:val="NormalWeb"/>
        <w:spacing w:before="120" w:beforeAutospacing="0" w:after="0" w:afterAutospacing="0"/>
        <w:ind w:right="49"/>
        <w:contextualSpacing/>
        <w:jc w:val="center"/>
        <w:rPr>
          <w:sz w:val="22"/>
          <w:szCs w:val="22"/>
        </w:rPr>
      </w:pPr>
    </w:p>
    <w:p w14:paraId="41629C15" w14:textId="77777777" w:rsidR="004E7268" w:rsidRDefault="004E7268" w:rsidP="004E7268">
      <w:pPr>
        <w:pStyle w:val="NormalWeb"/>
        <w:spacing w:before="120" w:beforeAutospacing="0" w:after="0" w:afterAutospacing="0"/>
        <w:ind w:right="49"/>
        <w:contextualSpacing/>
        <w:jc w:val="center"/>
        <w:rPr>
          <w:sz w:val="22"/>
          <w:szCs w:val="22"/>
        </w:rPr>
      </w:pPr>
    </w:p>
    <w:p w14:paraId="7F0AB295" w14:textId="77777777" w:rsidR="004E7268" w:rsidRDefault="004E7268" w:rsidP="004E7268">
      <w:pPr>
        <w:pStyle w:val="NormalWeb"/>
        <w:spacing w:before="120" w:beforeAutospacing="0" w:after="0" w:afterAutospacing="0"/>
        <w:ind w:right="49"/>
        <w:contextualSpacing/>
        <w:jc w:val="center"/>
        <w:rPr>
          <w:sz w:val="22"/>
          <w:szCs w:val="22"/>
        </w:rPr>
      </w:pPr>
    </w:p>
    <w:p w14:paraId="5871FFFA" w14:textId="77777777" w:rsidR="004E7268" w:rsidRDefault="004E7268" w:rsidP="004E7268">
      <w:pPr>
        <w:pStyle w:val="NormalWeb"/>
        <w:spacing w:before="120" w:beforeAutospacing="0" w:after="0" w:afterAutospacing="0"/>
        <w:ind w:right="49"/>
        <w:contextualSpacing/>
        <w:jc w:val="center"/>
        <w:rPr>
          <w:sz w:val="22"/>
          <w:szCs w:val="22"/>
        </w:rPr>
      </w:pPr>
    </w:p>
    <w:p w14:paraId="287611C8" w14:textId="77777777" w:rsidR="004E7268" w:rsidRDefault="004E7268" w:rsidP="004E7268">
      <w:pPr>
        <w:pStyle w:val="NormalWeb"/>
        <w:spacing w:before="120" w:beforeAutospacing="0" w:after="0" w:afterAutospacing="0"/>
        <w:ind w:right="49"/>
        <w:contextualSpacing/>
        <w:jc w:val="center"/>
        <w:rPr>
          <w:sz w:val="22"/>
          <w:szCs w:val="22"/>
        </w:rPr>
      </w:pPr>
    </w:p>
    <w:p w14:paraId="5494F814" w14:textId="77777777" w:rsidR="004E7268" w:rsidRDefault="004E7268" w:rsidP="004E7268">
      <w:pPr>
        <w:pStyle w:val="NormalWeb"/>
        <w:spacing w:before="120" w:beforeAutospacing="0" w:after="0" w:afterAutospacing="0"/>
        <w:ind w:right="49"/>
        <w:contextualSpacing/>
        <w:jc w:val="center"/>
        <w:rPr>
          <w:sz w:val="22"/>
          <w:szCs w:val="22"/>
        </w:rPr>
      </w:pPr>
    </w:p>
    <w:p w14:paraId="71FDE99C" w14:textId="77777777" w:rsidR="004E7268" w:rsidRDefault="004E7268" w:rsidP="004E7268">
      <w:pPr>
        <w:pStyle w:val="NormalWeb"/>
        <w:spacing w:before="120" w:beforeAutospacing="0" w:after="0" w:afterAutospacing="0"/>
        <w:ind w:right="49"/>
        <w:contextualSpacing/>
        <w:jc w:val="center"/>
        <w:rPr>
          <w:sz w:val="22"/>
          <w:szCs w:val="22"/>
        </w:rPr>
      </w:pPr>
    </w:p>
    <w:p w14:paraId="34F7F76A" w14:textId="77777777" w:rsidR="004E7268" w:rsidRDefault="004E7268" w:rsidP="004E7268">
      <w:pPr>
        <w:pStyle w:val="NormalWeb"/>
        <w:spacing w:before="120" w:beforeAutospacing="0" w:after="0" w:afterAutospacing="0"/>
        <w:ind w:right="49"/>
        <w:contextualSpacing/>
        <w:jc w:val="center"/>
        <w:rPr>
          <w:sz w:val="22"/>
          <w:szCs w:val="22"/>
        </w:rPr>
      </w:pPr>
    </w:p>
    <w:p w14:paraId="27DB6D29" w14:textId="77777777" w:rsidR="004E7268" w:rsidRDefault="004E7268" w:rsidP="004E7268">
      <w:pPr>
        <w:pStyle w:val="NormalWeb"/>
        <w:spacing w:before="120" w:beforeAutospacing="0" w:after="0" w:afterAutospacing="0"/>
        <w:ind w:right="49"/>
        <w:contextualSpacing/>
        <w:jc w:val="center"/>
        <w:rPr>
          <w:sz w:val="22"/>
          <w:szCs w:val="22"/>
        </w:rPr>
      </w:pPr>
    </w:p>
    <w:p w14:paraId="27F77498" w14:textId="77777777" w:rsidR="004E7268" w:rsidRDefault="004E7268" w:rsidP="004E7268">
      <w:pPr>
        <w:pStyle w:val="NormalWeb"/>
        <w:spacing w:before="120" w:beforeAutospacing="0" w:after="0" w:afterAutospacing="0"/>
        <w:ind w:right="49"/>
        <w:contextualSpacing/>
        <w:jc w:val="center"/>
        <w:rPr>
          <w:sz w:val="22"/>
          <w:szCs w:val="22"/>
        </w:rPr>
      </w:pPr>
    </w:p>
    <w:p w14:paraId="5B40B59F" w14:textId="77777777" w:rsidR="004E7268" w:rsidRDefault="004E7268" w:rsidP="004E7268">
      <w:pPr>
        <w:pStyle w:val="NormalWeb"/>
        <w:spacing w:before="120" w:beforeAutospacing="0" w:after="0" w:afterAutospacing="0"/>
        <w:ind w:right="49"/>
        <w:contextualSpacing/>
        <w:jc w:val="center"/>
        <w:rPr>
          <w:sz w:val="22"/>
          <w:szCs w:val="22"/>
        </w:rPr>
      </w:pPr>
    </w:p>
    <w:p w14:paraId="5C847CC3" w14:textId="77777777" w:rsidR="004E7268" w:rsidRDefault="004E7268" w:rsidP="004E7268">
      <w:pPr>
        <w:pStyle w:val="NormalWeb"/>
        <w:spacing w:before="120" w:beforeAutospacing="0" w:after="0" w:afterAutospacing="0"/>
        <w:ind w:right="49"/>
        <w:contextualSpacing/>
        <w:jc w:val="center"/>
        <w:rPr>
          <w:sz w:val="22"/>
          <w:szCs w:val="22"/>
        </w:rPr>
      </w:pPr>
    </w:p>
    <w:p w14:paraId="61B3232C" w14:textId="77777777" w:rsidR="004E7268" w:rsidRDefault="004E7268" w:rsidP="004E7268">
      <w:pPr>
        <w:pStyle w:val="NormalWeb"/>
        <w:spacing w:before="120" w:beforeAutospacing="0" w:after="0" w:afterAutospacing="0"/>
        <w:ind w:right="49"/>
        <w:contextualSpacing/>
        <w:jc w:val="center"/>
        <w:rPr>
          <w:sz w:val="22"/>
          <w:szCs w:val="22"/>
        </w:rPr>
      </w:pPr>
    </w:p>
    <w:p w14:paraId="30594320" w14:textId="77777777" w:rsidR="004E7268" w:rsidRDefault="004E7268" w:rsidP="004E7268">
      <w:pPr>
        <w:pStyle w:val="NormalWeb"/>
        <w:spacing w:before="120" w:beforeAutospacing="0" w:after="0" w:afterAutospacing="0"/>
        <w:ind w:right="49"/>
        <w:contextualSpacing/>
        <w:jc w:val="center"/>
        <w:rPr>
          <w:sz w:val="22"/>
          <w:szCs w:val="22"/>
        </w:rPr>
      </w:pPr>
    </w:p>
    <w:p w14:paraId="6B70EAEE" w14:textId="77777777" w:rsidR="004E7268" w:rsidRDefault="004E7268" w:rsidP="004E7268">
      <w:pPr>
        <w:pStyle w:val="NormalWeb"/>
        <w:spacing w:before="120" w:beforeAutospacing="0" w:after="0" w:afterAutospacing="0"/>
        <w:ind w:right="49"/>
        <w:contextualSpacing/>
        <w:jc w:val="center"/>
        <w:rPr>
          <w:sz w:val="22"/>
          <w:szCs w:val="22"/>
        </w:rPr>
      </w:pPr>
    </w:p>
    <w:p w14:paraId="65F1912A" w14:textId="77777777" w:rsidR="004E7268" w:rsidRDefault="004E7268" w:rsidP="004E7268">
      <w:pPr>
        <w:pStyle w:val="NormalWeb"/>
        <w:spacing w:before="120" w:beforeAutospacing="0" w:after="0" w:afterAutospacing="0"/>
        <w:ind w:right="49"/>
        <w:contextualSpacing/>
        <w:jc w:val="center"/>
        <w:rPr>
          <w:sz w:val="22"/>
          <w:szCs w:val="22"/>
        </w:rPr>
      </w:pPr>
    </w:p>
    <w:p w14:paraId="7F5AD6E4" w14:textId="77777777" w:rsidR="004E7268" w:rsidRDefault="004E7268" w:rsidP="004E7268">
      <w:pPr>
        <w:pStyle w:val="NormalWeb"/>
        <w:spacing w:before="120" w:beforeAutospacing="0" w:after="0" w:afterAutospacing="0"/>
        <w:ind w:right="49"/>
        <w:contextualSpacing/>
        <w:jc w:val="center"/>
        <w:rPr>
          <w:sz w:val="22"/>
          <w:szCs w:val="22"/>
        </w:rPr>
      </w:pPr>
    </w:p>
    <w:p w14:paraId="5AF2D27A" w14:textId="77777777" w:rsidR="004E7268" w:rsidRDefault="004E7268" w:rsidP="004E7268">
      <w:pPr>
        <w:pStyle w:val="NormalWeb"/>
        <w:spacing w:before="120" w:beforeAutospacing="0" w:after="0" w:afterAutospacing="0"/>
        <w:ind w:right="49"/>
        <w:contextualSpacing/>
        <w:jc w:val="center"/>
        <w:rPr>
          <w:sz w:val="22"/>
          <w:szCs w:val="22"/>
        </w:rPr>
      </w:pPr>
    </w:p>
    <w:p w14:paraId="308170A8" w14:textId="77777777" w:rsidR="004E7268" w:rsidRDefault="004E7268" w:rsidP="004E7268">
      <w:pPr>
        <w:pStyle w:val="NormalWeb"/>
        <w:spacing w:before="120" w:beforeAutospacing="0" w:after="0" w:afterAutospacing="0"/>
        <w:ind w:right="49"/>
        <w:contextualSpacing/>
        <w:jc w:val="center"/>
        <w:rPr>
          <w:sz w:val="22"/>
          <w:szCs w:val="22"/>
        </w:rPr>
      </w:pPr>
    </w:p>
    <w:p w14:paraId="70CBAACE" w14:textId="77777777" w:rsidR="004E7268" w:rsidRDefault="004E7268" w:rsidP="004E7268">
      <w:pPr>
        <w:pStyle w:val="NormalWeb"/>
        <w:spacing w:before="120" w:beforeAutospacing="0" w:after="0" w:afterAutospacing="0"/>
        <w:ind w:right="49"/>
        <w:contextualSpacing/>
        <w:jc w:val="center"/>
        <w:rPr>
          <w:sz w:val="22"/>
          <w:szCs w:val="22"/>
        </w:rPr>
      </w:pPr>
    </w:p>
    <w:p w14:paraId="50648F81" w14:textId="77777777" w:rsidR="004E7268" w:rsidRDefault="004E7268" w:rsidP="004E7268">
      <w:pPr>
        <w:pStyle w:val="NormalWeb"/>
        <w:spacing w:before="120" w:beforeAutospacing="0" w:after="0" w:afterAutospacing="0"/>
        <w:ind w:right="49"/>
        <w:contextualSpacing/>
        <w:jc w:val="center"/>
        <w:rPr>
          <w:sz w:val="22"/>
          <w:szCs w:val="22"/>
        </w:rPr>
      </w:pPr>
    </w:p>
    <w:p w14:paraId="3CE22CA4" w14:textId="77777777" w:rsidR="004E7268" w:rsidRDefault="004E7268" w:rsidP="004E7268">
      <w:pPr>
        <w:pStyle w:val="NormalWeb"/>
        <w:spacing w:before="120" w:beforeAutospacing="0" w:after="0" w:afterAutospacing="0"/>
        <w:ind w:right="49"/>
        <w:contextualSpacing/>
        <w:jc w:val="center"/>
        <w:rPr>
          <w:sz w:val="22"/>
          <w:szCs w:val="22"/>
        </w:rPr>
      </w:pPr>
    </w:p>
    <w:p w14:paraId="4BD7752E" w14:textId="77777777" w:rsidR="004E7268" w:rsidRDefault="004E7268" w:rsidP="004E7268">
      <w:pPr>
        <w:pStyle w:val="NormalWeb"/>
        <w:spacing w:before="120" w:beforeAutospacing="0" w:after="0" w:afterAutospacing="0"/>
        <w:ind w:right="49"/>
        <w:contextualSpacing/>
        <w:jc w:val="center"/>
        <w:rPr>
          <w:sz w:val="22"/>
          <w:szCs w:val="22"/>
        </w:rPr>
      </w:pPr>
    </w:p>
    <w:p w14:paraId="23B74B3E" w14:textId="77777777" w:rsidR="004E7268" w:rsidRDefault="004E7268" w:rsidP="004E7268">
      <w:pPr>
        <w:pStyle w:val="NormalWeb"/>
        <w:spacing w:before="120" w:beforeAutospacing="0" w:after="0" w:afterAutospacing="0"/>
        <w:ind w:right="49"/>
        <w:contextualSpacing/>
        <w:jc w:val="center"/>
        <w:rPr>
          <w:sz w:val="22"/>
          <w:szCs w:val="22"/>
        </w:rPr>
      </w:pPr>
    </w:p>
    <w:p w14:paraId="49CE41B8" w14:textId="77777777" w:rsidR="004E7268" w:rsidRDefault="004E7268" w:rsidP="004E7268">
      <w:pPr>
        <w:pStyle w:val="NormalWeb"/>
        <w:spacing w:before="120" w:beforeAutospacing="0" w:after="0" w:afterAutospacing="0"/>
        <w:ind w:right="49"/>
        <w:contextualSpacing/>
        <w:jc w:val="center"/>
        <w:rPr>
          <w:sz w:val="22"/>
          <w:szCs w:val="22"/>
        </w:rPr>
      </w:pPr>
    </w:p>
    <w:p w14:paraId="08BC1287" w14:textId="77777777" w:rsidR="004E7268" w:rsidRDefault="004E7268" w:rsidP="004E7268">
      <w:pPr>
        <w:pStyle w:val="NormalWeb"/>
        <w:spacing w:before="120" w:beforeAutospacing="0" w:after="0" w:afterAutospacing="0"/>
        <w:ind w:right="49"/>
        <w:contextualSpacing/>
        <w:jc w:val="center"/>
        <w:rPr>
          <w:sz w:val="22"/>
          <w:szCs w:val="22"/>
        </w:rPr>
      </w:pPr>
    </w:p>
    <w:p w14:paraId="321F80FD" w14:textId="77777777" w:rsidR="004E7268" w:rsidRPr="00E468F9" w:rsidRDefault="004E7268" w:rsidP="004E7268">
      <w:pPr>
        <w:pStyle w:val="NormalWeb"/>
        <w:spacing w:before="120" w:beforeAutospacing="0" w:after="0" w:afterAutospacing="0"/>
        <w:ind w:right="49"/>
        <w:contextualSpacing/>
        <w:jc w:val="center"/>
        <w:rPr>
          <w:sz w:val="22"/>
          <w:szCs w:val="22"/>
        </w:rPr>
      </w:pPr>
      <w:r w:rsidRPr="00E468F9">
        <w:rPr>
          <w:sz w:val="22"/>
          <w:szCs w:val="22"/>
        </w:rPr>
        <w:t xml:space="preserve">Para consultas de medios y periodistas, </w:t>
      </w:r>
      <w:r>
        <w:rPr>
          <w:sz w:val="22"/>
          <w:szCs w:val="22"/>
        </w:rPr>
        <w:t xml:space="preserve">escribir </w:t>
      </w:r>
      <w:r w:rsidRPr="00E468F9">
        <w:rPr>
          <w:sz w:val="22"/>
          <w:szCs w:val="22"/>
        </w:rPr>
        <w:t xml:space="preserve">a: </w:t>
      </w:r>
      <w:hyperlink r:id="rId9" w:history="1">
        <w:r w:rsidRPr="00E468F9">
          <w:rPr>
            <w:rStyle w:val="Hipervnculo"/>
            <w:sz w:val="22"/>
            <w:szCs w:val="22"/>
          </w:rPr>
          <w:t>comunicacionsocial@inegi.org.mx</w:t>
        </w:r>
      </w:hyperlink>
      <w:r w:rsidRPr="00E468F9">
        <w:rPr>
          <w:sz w:val="22"/>
          <w:szCs w:val="22"/>
        </w:rPr>
        <w:t xml:space="preserve"> </w:t>
      </w:r>
    </w:p>
    <w:p w14:paraId="7DA4295F" w14:textId="77777777" w:rsidR="004E7268" w:rsidRPr="00E468F9" w:rsidRDefault="004E7268" w:rsidP="004E7268">
      <w:pPr>
        <w:pStyle w:val="NormalWeb"/>
        <w:spacing w:before="0" w:beforeAutospacing="0" w:after="0" w:afterAutospacing="0"/>
        <w:ind w:right="49"/>
        <w:contextualSpacing/>
        <w:jc w:val="center"/>
        <w:rPr>
          <w:sz w:val="22"/>
          <w:szCs w:val="22"/>
        </w:rPr>
      </w:pPr>
      <w:r w:rsidRPr="00E468F9">
        <w:rPr>
          <w:sz w:val="22"/>
          <w:szCs w:val="22"/>
        </w:rPr>
        <w:t xml:space="preserve">o llamar al teléfono (55) 52-78-10-00, </w:t>
      </w:r>
      <w:proofErr w:type="spellStart"/>
      <w:r w:rsidRPr="00E468F9">
        <w:rPr>
          <w:sz w:val="22"/>
          <w:szCs w:val="22"/>
        </w:rPr>
        <w:t>exts</w:t>
      </w:r>
      <w:proofErr w:type="spellEnd"/>
      <w:r w:rsidRPr="00E468F9">
        <w:rPr>
          <w:sz w:val="22"/>
          <w:szCs w:val="22"/>
        </w:rPr>
        <w:t>. 1134, 1260 y 1241.</w:t>
      </w:r>
    </w:p>
    <w:p w14:paraId="1DD41BF2" w14:textId="77777777" w:rsidR="004E7268" w:rsidRPr="001D4BEB" w:rsidRDefault="004E7268" w:rsidP="004E7268">
      <w:pPr>
        <w:pStyle w:val="NormalWeb"/>
        <w:spacing w:before="0" w:beforeAutospacing="0" w:after="0" w:afterAutospacing="0"/>
        <w:ind w:left="-426" w:right="-518"/>
        <w:contextualSpacing/>
        <w:jc w:val="center"/>
        <w:rPr>
          <w:sz w:val="24"/>
          <w:szCs w:val="24"/>
        </w:rPr>
      </w:pPr>
    </w:p>
    <w:p w14:paraId="6D40E542" w14:textId="77777777" w:rsidR="004E7268" w:rsidRPr="00E468F9" w:rsidRDefault="004E7268" w:rsidP="004E7268">
      <w:pPr>
        <w:ind w:left="-426" w:right="-518"/>
        <w:contextualSpacing/>
        <w:jc w:val="center"/>
        <w:rPr>
          <w:sz w:val="22"/>
          <w:szCs w:val="22"/>
        </w:rPr>
      </w:pPr>
      <w:r w:rsidRPr="00E468F9">
        <w:rPr>
          <w:sz w:val="22"/>
          <w:szCs w:val="22"/>
        </w:rPr>
        <w:t>Dirección de Atención a Medios / Dirección General Adjunta de Comunicación</w:t>
      </w:r>
    </w:p>
    <w:p w14:paraId="6DA806B7" w14:textId="77777777" w:rsidR="004E7268" w:rsidRPr="001D4BEB" w:rsidRDefault="004E7268" w:rsidP="004E7268">
      <w:pPr>
        <w:ind w:left="-426" w:right="-518"/>
        <w:contextualSpacing/>
        <w:jc w:val="center"/>
        <w:rPr>
          <w:szCs w:val="24"/>
        </w:rPr>
      </w:pPr>
    </w:p>
    <w:p w14:paraId="6216907E" w14:textId="77777777" w:rsidR="004E7268" w:rsidRDefault="004E7268" w:rsidP="004E7268">
      <w:pPr>
        <w:ind w:left="-425" w:right="-516"/>
        <w:contextualSpacing/>
        <w:jc w:val="center"/>
        <w:rPr>
          <w:noProof/>
          <w:lang w:eastAsia="es-MX"/>
        </w:rPr>
        <w:sectPr w:rsidR="004E7268"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58C7C15F" wp14:editId="02524CE8">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A5D0945" wp14:editId="4E395D41">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9BB7882" wp14:editId="780ACA4C">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0FFB2DB" wp14:editId="7C7D4F1A">
            <wp:extent cx="365760" cy="365760"/>
            <wp:effectExtent l="0" t="0" r="0" b="0"/>
            <wp:docPr id="2" name="Imagen 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E508696" wp14:editId="2248294C">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16B20EEA" w14:textId="77777777" w:rsidR="004E7268" w:rsidRPr="002114FF" w:rsidRDefault="004E7268" w:rsidP="004E7268">
      <w:pPr>
        <w:pStyle w:val="Profesin"/>
        <w:outlineLvl w:val="0"/>
        <w:rPr>
          <w:sz w:val="24"/>
          <w:szCs w:val="24"/>
          <w:lang w:val="es-MX"/>
        </w:rPr>
      </w:pPr>
      <w:r w:rsidRPr="002114FF">
        <w:rPr>
          <w:sz w:val="24"/>
          <w:szCs w:val="24"/>
          <w:lang w:val="es-MX"/>
        </w:rPr>
        <w:lastRenderedPageBreak/>
        <w:t>ANEXO</w:t>
      </w:r>
    </w:p>
    <w:p w14:paraId="47F2D204" w14:textId="77777777" w:rsidR="004E7268" w:rsidRPr="002114FF" w:rsidRDefault="004E7268" w:rsidP="004E7268">
      <w:pPr>
        <w:pStyle w:val="Profesin"/>
        <w:spacing w:before="120"/>
        <w:outlineLvl w:val="0"/>
        <w:rPr>
          <w:sz w:val="24"/>
          <w:szCs w:val="24"/>
          <w:lang w:val="es-MX"/>
        </w:rPr>
      </w:pPr>
      <w:r w:rsidRPr="002114FF">
        <w:rPr>
          <w:sz w:val="24"/>
          <w:szCs w:val="24"/>
          <w:lang w:val="es-MX"/>
        </w:rPr>
        <w:t>Nota técnica</w:t>
      </w:r>
    </w:p>
    <w:p w14:paraId="55E656B0" w14:textId="25FA4DA0" w:rsidR="006B66BD" w:rsidRPr="00F80225" w:rsidRDefault="006B66BD">
      <w:pPr>
        <w:widowControl/>
        <w:jc w:val="left"/>
        <w:rPr>
          <w:rFonts w:cs="Arial"/>
          <w:b/>
          <w:bCs/>
          <w:sz w:val="20"/>
          <w:szCs w:val="22"/>
        </w:rPr>
      </w:pPr>
    </w:p>
    <w:p w14:paraId="63CF09C9" w14:textId="63BB12B3" w:rsidR="00183096" w:rsidRDefault="00183096" w:rsidP="00183096">
      <w:pPr>
        <w:pStyle w:val="Ttulo4"/>
        <w:keepNext w:val="0"/>
        <w:spacing w:before="12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7828212E" w:rsidR="00183096" w:rsidRPr="00183096" w:rsidRDefault="00DB1499" w:rsidP="00B23063">
      <w:pPr>
        <w:spacing w:before="240"/>
      </w:pPr>
      <w:r>
        <w:t xml:space="preserve">En </w:t>
      </w:r>
      <w:r w:rsidR="004F5371">
        <w:t>junio</w:t>
      </w:r>
      <w:r w:rsidR="00D72902">
        <w:t xml:space="preserve"> de 202</w:t>
      </w:r>
      <w:r w:rsidR="00EC3A38">
        <w:t>2</w:t>
      </w:r>
      <w:r w:rsidR="00D72902">
        <w:t>, e</w:t>
      </w:r>
      <w:r w:rsidR="00183096" w:rsidRPr="00D24AF6">
        <w:t>l Indicador Mensual del Consumo Privado en el Mercado Interior (IMCPMI</w:t>
      </w:r>
      <w:r w:rsidR="00183096">
        <w:t xml:space="preserve">) </w:t>
      </w:r>
      <w:r w:rsidR="001222F7">
        <w:t>creció</w:t>
      </w:r>
      <w:r w:rsidR="00183096">
        <w:t xml:space="preserve"> </w:t>
      </w:r>
      <w:r w:rsidR="00427340">
        <w:t>0.</w:t>
      </w:r>
      <w:r w:rsidR="001222F7">
        <w:t>1</w:t>
      </w:r>
      <w:r w:rsidR="00994258">
        <w:t xml:space="preserve"> </w:t>
      </w:r>
      <w:r w:rsidR="005168A2">
        <w:t xml:space="preserve">% </w:t>
      </w:r>
      <w:r w:rsidR="00183096">
        <w:t xml:space="preserve">en términos reales con relación </w:t>
      </w:r>
      <w:r w:rsidR="004F5371">
        <w:t>a mayo</w:t>
      </w:r>
      <w:r w:rsidR="00183096">
        <w:t>.</w:t>
      </w:r>
    </w:p>
    <w:p w14:paraId="7401416B" w14:textId="055EDCFC" w:rsidR="00603623" w:rsidRPr="009A37CD" w:rsidRDefault="00603623" w:rsidP="004E7268">
      <w:pPr>
        <w:pStyle w:val="p0"/>
        <w:spacing w:before="12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5E824A22" w:rsidR="00603623" w:rsidRDefault="004F5371" w:rsidP="00603623">
      <w:pPr>
        <w:pStyle w:val="p0"/>
        <w:spacing w:before="0"/>
        <w:jc w:val="center"/>
        <w:rPr>
          <w:rFonts w:cs="Arial"/>
          <w:b/>
          <w:smallCaps/>
          <w:color w:val="auto"/>
          <w:sz w:val="22"/>
          <w:szCs w:val="22"/>
        </w:rPr>
      </w:pPr>
      <w:r>
        <w:rPr>
          <w:rFonts w:cs="Arial"/>
          <w:b/>
          <w:smallCaps/>
          <w:color w:val="auto"/>
          <w:sz w:val="22"/>
          <w:szCs w:val="22"/>
        </w:rPr>
        <w:t>junio</w:t>
      </w:r>
      <w:r w:rsidR="009C2317">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62622D17" w:rsidR="00A07C27" w:rsidRPr="0051417B" w:rsidRDefault="005E176D" w:rsidP="00D56435">
            <w:pPr>
              <w:tabs>
                <w:tab w:val="left" w:pos="5103"/>
              </w:tabs>
              <w:ind w:right="567"/>
              <w:jc w:val="right"/>
              <w:rPr>
                <w:rFonts w:cs="Arial"/>
                <w:b/>
                <w:sz w:val="18"/>
                <w:u w:val="single"/>
                <w:lang w:val="es-ES" w:eastAsia="en-US"/>
              </w:rPr>
            </w:pPr>
            <w:r>
              <w:rPr>
                <w:rFonts w:cs="Arial"/>
                <w:b/>
                <w:sz w:val="18"/>
                <w:u w:val="single"/>
                <w:lang w:val="es-ES" w:eastAsia="en-US"/>
              </w:rPr>
              <w:t>0.</w:t>
            </w:r>
            <w:r w:rsidR="001222F7">
              <w:rPr>
                <w:rFonts w:cs="Arial"/>
                <w:b/>
                <w:sz w:val="18"/>
                <w:u w:val="single"/>
                <w:lang w:val="es-ES" w:eastAsia="en-US"/>
              </w:rPr>
              <w:t>1</w:t>
            </w:r>
          </w:p>
        </w:tc>
        <w:tc>
          <w:tcPr>
            <w:tcW w:w="1765" w:type="dxa"/>
            <w:tcBorders>
              <w:top w:val="single" w:sz="4" w:space="0" w:color="404040"/>
              <w:left w:val="single" w:sz="4" w:space="0" w:color="404040"/>
              <w:bottom w:val="nil"/>
              <w:right w:val="double" w:sz="4" w:space="0" w:color="auto"/>
            </w:tcBorders>
            <w:vAlign w:val="center"/>
            <w:hideMark/>
          </w:tcPr>
          <w:p w14:paraId="10961EC4" w14:textId="40B19A4E" w:rsidR="00A07C27" w:rsidRPr="0051417B" w:rsidRDefault="005E176D" w:rsidP="00D56435">
            <w:pPr>
              <w:tabs>
                <w:tab w:val="left" w:pos="5103"/>
              </w:tabs>
              <w:ind w:right="620"/>
              <w:jc w:val="right"/>
              <w:rPr>
                <w:rFonts w:cs="Arial"/>
                <w:b/>
                <w:sz w:val="18"/>
                <w:lang w:val="es-ES" w:eastAsia="en-US"/>
              </w:rPr>
            </w:pPr>
            <w:r>
              <w:rPr>
                <w:rFonts w:cs="Arial"/>
                <w:b/>
                <w:sz w:val="18"/>
                <w:u w:val="single"/>
                <w:lang w:val="es-ES" w:eastAsia="en-US"/>
              </w:rPr>
              <w:t>6.</w:t>
            </w:r>
            <w:r w:rsidR="00A04057">
              <w:rPr>
                <w:rFonts w:cs="Arial"/>
                <w:b/>
                <w:sz w:val="18"/>
                <w:u w:val="single"/>
                <w:lang w:val="es-ES" w:eastAsia="en-US"/>
              </w:rPr>
              <w:t>8</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0AAA150D"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w:t>
            </w:r>
            <w:r w:rsidR="00A04057">
              <w:rPr>
                <w:rFonts w:cs="Arial"/>
                <w:b/>
                <w:sz w:val="18"/>
                <w:lang w:val="es-ES" w:eastAsia="en-US"/>
              </w:rPr>
              <w:t>2</w:t>
            </w:r>
          </w:p>
        </w:tc>
        <w:tc>
          <w:tcPr>
            <w:tcW w:w="1765" w:type="dxa"/>
            <w:tcBorders>
              <w:top w:val="nil"/>
              <w:left w:val="single" w:sz="4" w:space="0" w:color="404040"/>
              <w:bottom w:val="nil"/>
              <w:right w:val="double" w:sz="4" w:space="0" w:color="auto"/>
            </w:tcBorders>
            <w:vAlign w:val="center"/>
            <w:hideMark/>
          </w:tcPr>
          <w:p w14:paraId="7C0DAF8D" w14:textId="5A48FD41" w:rsidR="00A07C27" w:rsidRPr="0051417B" w:rsidRDefault="00DF1A0D" w:rsidP="00D56435">
            <w:pPr>
              <w:tabs>
                <w:tab w:val="left" w:pos="5103"/>
              </w:tabs>
              <w:ind w:right="620"/>
              <w:jc w:val="right"/>
              <w:rPr>
                <w:rFonts w:cs="Arial"/>
                <w:b/>
                <w:sz w:val="18"/>
                <w:lang w:val="es-ES" w:eastAsia="en-US"/>
              </w:rPr>
            </w:pPr>
            <w:r>
              <w:rPr>
                <w:rFonts w:cs="Arial"/>
                <w:b/>
                <w:sz w:val="18"/>
                <w:lang w:val="es-ES" w:eastAsia="en-US"/>
              </w:rPr>
              <w:t>5.3</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05CF20E9" w:rsidR="00A07C27" w:rsidRPr="0051417B" w:rsidRDefault="00DF1A0D" w:rsidP="00D56435">
            <w:pPr>
              <w:tabs>
                <w:tab w:val="left" w:pos="5103"/>
              </w:tabs>
              <w:ind w:right="567"/>
              <w:jc w:val="right"/>
              <w:rPr>
                <w:rFonts w:cs="Arial"/>
                <w:sz w:val="18"/>
                <w:lang w:val="es-ES" w:eastAsia="en-US"/>
              </w:rPr>
            </w:pPr>
            <w:r>
              <w:rPr>
                <w:rFonts w:cs="Arial"/>
                <w:sz w:val="18"/>
                <w:lang w:val="es-ES" w:eastAsia="en-US"/>
              </w:rPr>
              <w:t>-</w:t>
            </w:r>
            <w:r w:rsidR="00A04057">
              <w:rPr>
                <w:rFonts w:cs="Arial"/>
                <w:sz w:val="18"/>
                <w:lang w:val="es-ES" w:eastAsia="en-US"/>
              </w:rPr>
              <w:t>0.2</w:t>
            </w:r>
          </w:p>
        </w:tc>
        <w:tc>
          <w:tcPr>
            <w:tcW w:w="1765" w:type="dxa"/>
            <w:tcBorders>
              <w:top w:val="nil"/>
              <w:left w:val="single" w:sz="4" w:space="0" w:color="404040"/>
              <w:bottom w:val="nil"/>
              <w:right w:val="double" w:sz="4" w:space="0" w:color="auto"/>
            </w:tcBorders>
            <w:vAlign w:val="center"/>
            <w:hideMark/>
          </w:tcPr>
          <w:p w14:paraId="3FF97C10" w14:textId="1183E12F" w:rsidR="00A07C27" w:rsidRPr="0051417B" w:rsidRDefault="00A04057" w:rsidP="00D56435">
            <w:pPr>
              <w:tabs>
                <w:tab w:val="left" w:pos="5103"/>
              </w:tabs>
              <w:ind w:right="620"/>
              <w:jc w:val="right"/>
              <w:rPr>
                <w:rFonts w:cs="Arial"/>
                <w:sz w:val="18"/>
                <w:lang w:val="es-ES" w:eastAsia="en-US"/>
              </w:rPr>
            </w:pPr>
            <w:r>
              <w:rPr>
                <w:rFonts w:cs="Arial"/>
                <w:sz w:val="18"/>
                <w:lang w:val="es-ES" w:eastAsia="en-US"/>
              </w:rPr>
              <w:t>3.1</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66085E0F" w:rsidR="00A07C27" w:rsidRPr="0051417B" w:rsidRDefault="00A04057" w:rsidP="00D56435">
            <w:pPr>
              <w:tabs>
                <w:tab w:val="left" w:pos="5103"/>
              </w:tabs>
              <w:ind w:right="567"/>
              <w:jc w:val="right"/>
              <w:rPr>
                <w:rFonts w:cs="Arial"/>
                <w:sz w:val="18"/>
                <w:lang w:val="es-ES" w:eastAsia="en-US"/>
              </w:rPr>
            </w:pPr>
            <w:r>
              <w:rPr>
                <w:rFonts w:cs="Arial"/>
                <w:sz w:val="18"/>
                <w:lang w:val="es-ES" w:eastAsia="en-US"/>
              </w:rPr>
              <w:t>-0.4</w:t>
            </w:r>
          </w:p>
        </w:tc>
        <w:tc>
          <w:tcPr>
            <w:tcW w:w="1765" w:type="dxa"/>
            <w:tcBorders>
              <w:top w:val="nil"/>
              <w:left w:val="single" w:sz="4" w:space="0" w:color="404040"/>
              <w:bottom w:val="nil"/>
              <w:right w:val="double" w:sz="4" w:space="0" w:color="auto"/>
            </w:tcBorders>
            <w:vAlign w:val="center"/>
            <w:hideMark/>
          </w:tcPr>
          <w:p w14:paraId="531E4892" w14:textId="0F510FC1" w:rsidR="00A07C27" w:rsidRPr="0051417B" w:rsidRDefault="00A04057" w:rsidP="00D56435">
            <w:pPr>
              <w:tabs>
                <w:tab w:val="left" w:pos="5103"/>
              </w:tabs>
              <w:ind w:right="620"/>
              <w:jc w:val="right"/>
              <w:rPr>
                <w:rFonts w:cs="Arial"/>
                <w:sz w:val="18"/>
                <w:lang w:val="es-ES" w:eastAsia="en-US"/>
              </w:rPr>
            </w:pPr>
            <w:r>
              <w:rPr>
                <w:rFonts w:cs="Arial"/>
                <w:sz w:val="18"/>
                <w:lang w:val="es-ES" w:eastAsia="en-US"/>
              </w:rPr>
              <w:t>7.5</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239E730D" w:rsidR="00A07C27" w:rsidRPr="0051417B" w:rsidRDefault="00A04057" w:rsidP="00D56435">
            <w:pPr>
              <w:tabs>
                <w:tab w:val="left" w:pos="5103"/>
              </w:tabs>
              <w:ind w:right="567"/>
              <w:jc w:val="right"/>
              <w:rPr>
                <w:rFonts w:cs="Arial"/>
                <w:b/>
                <w:sz w:val="18"/>
                <w:lang w:val="es-ES" w:eastAsia="en-US"/>
              </w:rPr>
            </w:pPr>
            <w:r>
              <w:rPr>
                <w:rFonts w:cs="Arial"/>
                <w:b/>
                <w:sz w:val="18"/>
                <w:lang w:val="es-ES" w:eastAsia="en-US"/>
              </w:rPr>
              <w:t>4.1</w:t>
            </w:r>
          </w:p>
        </w:tc>
        <w:tc>
          <w:tcPr>
            <w:tcW w:w="1765" w:type="dxa"/>
            <w:tcBorders>
              <w:top w:val="nil"/>
              <w:left w:val="single" w:sz="4" w:space="0" w:color="404040"/>
              <w:bottom w:val="nil"/>
              <w:right w:val="double" w:sz="4" w:space="0" w:color="auto"/>
            </w:tcBorders>
            <w:vAlign w:val="center"/>
            <w:hideMark/>
          </w:tcPr>
          <w:p w14:paraId="686DFE2D" w14:textId="5143619E" w:rsidR="00A07C27" w:rsidRPr="0051417B" w:rsidRDefault="00A04057" w:rsidP="00D56435">
            <w:pPr>
              <w:tabs>
                <w:tab w:val="left" w:pos="5103"/>
              </w:tabs>
              <w:ind w:right="620"/>
              <w:jc w:val="right"/>
              <w:rPr>
                <w:rFonts w:cs="Arial"/>
                <w:b/>
                <w:sz w:val="18"/>
                <w:lang w:val="es-ES" w:eastAsia="en-US"/>
              </w:rPr>
            </w:pPr>
            <w:r>
              <w:rPr>
                <w:rFonts w:cs="Arial"/>
                <w:b/>
                <w:sz w:val="18"/>
                <w:lang w:val="es-ES" w:eastAsia="en-US"/>
              </w:rPr>
              <w:t>20.6</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755FC519" w:rsidR="00A07C27" w:rsidRPr="0051417B" w:rsidRDefault="00A04057" w:rsidP="00D56435">
            <w:pPr>
              <w:tabs>
                <w:tab w:val="left" w:pos="5103"/>
              </w:tabs>
              <w:ind w:right="567"/>
              <w:jc w:val="right"/>
              <w:rPr>
                <w:rFonts w:cs="Arial"/>
                <w:sz w:val="18"/>
                <w:lang w:val="es-ES"/>
              </w:rPr>
            </w:pPr>
            <w:r>
              <w:rPr>
                <w:rFonts w:cs="Arial"/>
                <w:sz w:val="18"/>
                <w:lang w:val="es-ES"/>
              </w:rPr>
              <w:t>4.1</w:t>
            </w:r>
          </w:p>
        </w:tc>
        <w:tc>
          <w:tcPr>
            <w:tcW w:w="1765" w:type="dxa"/>
            <w:tcBorders>
              <w:top w:val="nil"/>
              <w:left w:val="single" w:sz="4" w:space="0" w:color="404040"/>
              <w:bottom w:val="double" w:sz="4" w:space="0" w:color="404040"/>
              <w:right w:val="double" w:sz="4" w:space="0" w:color="auto"/>
            </w:tcBorders>
            <w:vAlign w:val="center"/>
          </w:tcPr>
          <w:p w14:paraId="61431D2C" w14:textId="7AE07109" w:rsidR="00A07C27" w:rsidRPr="0051417B" w:rsidRDefault="00A04057" w:rsidP="00D56435">
            <w:pPr>
              <w:tabs>
                <w:tab w:val="left" w:pos="5103"/>
              </w:tabs>
              <w:ind w:right="620"/>
              <w:jc w:val="right"/>
              <w:rPr>
                <w:rFonts w:cs="Arial"/>
                <w:sz w:val="18"/>
                <w:lang w:val="es-ES"/>
              </w:rPr>
            </w:pPr>
            <w:r>
              <w:rPr>
                <w:rFonts w:cs="Arial"/>
                <w:sz w:val="18"/>
                <w:lang w:val="es-ES"/>
              </w:rPr>
              <w:t>20.6</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5FB41AAD"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4E7268">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37AFE860" w:rsidR="00140D9C" w:rsidRDefault="00B12AAE" w:rsidP="00E64A12">
      <w:pPr>
        <w:jc w:val="center"/>
        <w:outlineLvl w:val="3"/>
        <w:rPr>
          <w:rFonts w:cs="Arial"/>
          <w:sz w:val="18"/>
          <w:szCs w:val="18"/>
        </w:rPr>
      </w:pPr>
      <w:r>
        <w:rPr>
          <w:noProof/>
        </w:rPr>
        <w:drawing>
          <wp:inline distT="0" distB="0" distL="0" distR="0" wp14:anchorId="72728BFB" wp14:editId="2F71059C">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1F374C" w14:textId="0E80B211" w:rsidR="00EE1BEA" w:rsidRDefault="00140D9C" w:rsidP="004E7268">
      <w:pPr>
        <w:ind w:left="708" w:firstLine="708"/>
        <w:jc w:val="left"/>
      </w:pPr>
      <w:r>
        <w:rPr>
          <w:rFonts w:cs="Arial"/>
          <w:sz w:val="16"/>
        </w:rPr>
        <w:t>Fuente: INEGI</w:t>
      </w:r>
      <w:r w:rsidR="00EE1BEA">
        <w:br w:type="page"/>
      </w:r>
    </w:p>
    <w:p w14:paraId="2712AEF4" w14:textId="5EB6FC2F" w:rsidR="00EE1BEA" w:rsidRPr="00D24AF6" w:rsidRDefault="00EE1BEA" w:rsidP="00EE1BEA">
      <w:pPr>
        <w:spacing w:before="240"/>
      </w:pPr>
      <w:r>
        <w:lastRenderedPageBreak/>
        <w:t>P</w:t>
      </w:r>
      <w:r w:rsidRPr="00D24AF6">
        <w:t>or componente</w:t>
      </w:r>
      <w:r w:rsidRPr="008E0571">
        <w:t xml:space="preserve"> </w:t>
      </w:r>
      <w:r>
        <w:t xml:space="preserve">y con </w:t>
      </w:r>
      <w:r w:rsidRPr="00D24AF6">
        <w:t>datos ajustados por estacionalidad</w:t>
      </w:r>
      <w:r>
        <w:t xml:space="preserve">, en </w:t>
      </w:r>
      <w:r w:rsidR="00E727B5">
        <w:t>junio</w:t>
      </w:r>
      <w:r>
        <w:t xml:space="preserve"> de 2022</w:t>
      </w:r>
      <w:r w:rsidR="00101181">
        <w:t>,</w:t>
      </w:r>
      <w:r w:rsidRPr="00D24AF6">
        <w:t xml:space="preserve"> </w:t>
      </w:r>
      <w:r w:rsidR="00B12AAE" w:rsidRPr="00D24AF6">
        <w:t>el consumo</w:t>
      </w:r>
      <w:r w:rsidR="00B12AAE" w:rsidRPr="006950AB">
        <w:t xml:space="preserve"> </w:t>
      </w:r>
      <w:r w:rsidR="00B12AAE">
        <w:t>de</w:t>
      </w:r>
      <w:r w:rsidR="00B12AAE" w:rsidRPr="00D24AF6">
        <w:t xml:space="preserve"> </w:t>
      </w:r>
      <w:r w:rsidR="00B12AAE">
        <w:t>b</w:t>
      </w:r>
      <w:r w:rsidR="00B12AAE" w:rsidRPr="00D24AF6">
        <w:t xml:space="preserve">ienes y </w:t>
      </w:r>
      <w:r w:rsidR="00B12AAE">
        <w:t>s</w:t>
      </w:r>
      <w:r w:rsidR="00B12AAE" w:rsidRPr="00D24AF6">
        <w:t xml:space="preserve">ervicios de origen nacional </w:t>
      </w:r>
      <w:r w:rsidR="00B12AAE">
        <w:t>cayó 0.2 % y el de b</w:t>
      </w:r>
      <w:r w:rsidR="00B12AAE" w:rsidRPr="00D24AF6">
        <w:t>ienes de origen importado</w:t>
      </w:r>
      <w:r w:rsidR="00B12AAE">
        <w:t xml:space="preserve"> aumentó 4.1 por ciento</w:t>
      </w:r>
      <w:r w:rsidR="00B12AAE"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4490C20E" w:rsidR="001A032F" w:rsidRDefault="00B12AAE" w:rsidP="001A032F">
      <w:pPr>
        <w:jc w:val="center"/>
        <w:rPr>
          <w:rFonts w:cs="Arial"/>
          <w:sz w:val="18"/>
          <w:szCs w:val="18"/>
        </w:rPr>
      </w:pPr>
      <w:r>
        <w:rPr>
          <w:noProof/>
        </w:rPr>
        <w:drawing>
          <wp:inline distT="0" distB="0" distL="0" distR="0" wp14:anchorId="00716224" wp14:editId="18CEA465">
            <wp:extent cx="4320000" cy="2527200"/>
            <wp:effectExtent l="0" t="0" r="23495" b="2603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1B704188"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064F463B" w:rsidR="001A032F" w:rsidRDefault="007C4313" w:rsidP="001A032F">
      <w:pPr>
        <w:jc w:val="center"/>
        <w:rPr>
          <w:rFonts w:cs="Arial"/>
          <w:sz w:val="18"/>
          <w:szCs w:val="18"/>
        </w:rPr>
      </w:pPr>
      <w:r>
        <w:rPr>
          <w:noProof/>
        </w:rPr>
        <w:drawing>
          <wp:inline distT="0" distB="0" distL="0" distR="0" wp14:anchorId="2A460A98" wp14:editId="5C1135CB">
            <wp:extent cx="4320000" cy="2527200"/>
            <wp:effectExtent l="0" t="0" r="23495" b="2603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3C8EBA59"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p>
    <w:p w14:paraId="54AC1388" w14:textId="6C65F7FA" w:rsidR="006F45EE" w:rsidRDefault="006F45EE">
      <w:pPr>
        <w:widowControl/>
        <w:jc w:val="left"/>
        <w:rPr>
          <w:b/>
          <w:i/>
        </w:rPr>
      </w:pPr>
      <w:r>
        <w:rPr>
          <w:b/>
          <w:i/>
        </w:rPr>
        <w:br w:type="page"/>
      </w:r>
    </w:p>
    <w:p w14:paraId="727CE8C6" w14:textId="6F66C54D" w:rsidR="00140D9C" w:rsidRDefault="00140D9C" w:rsidP="00D56435">
      <w:pPr>
        <w:pStyle w:val="Ttulo4"/>
        <w:keepNext w:val="0"/>
        <w:spacing w:before="240"/>
        <w:ind w:left="142" w:firstLine="566"/>
        <w:rPr>
          <w:u w:val="none"/>
        </w:rPr>
      </w:pPr>
      <w:r>
        <w:rPr>
          <w:u w:val="none"/>
        </w:rPr>
        <w:lastRenderedPageBreak/>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38E833C8" w14:textId="77777777" w:rsidR="00955AA9"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w:t>
      </w:r>
    </w:p>
    <w:p w14:paraId="5A5ADDB4" w14:textId="4B3B3189"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8A2EB8" w14:paraId="6864AFDA" w14:textId="77777777" w:rsidTr="006C3C6A">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6C3C6A">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61D5902B" w:rsidR="008A2EB8" w:rsidRDefault="004F5371" w:rsidP="00D56435">
            <w:pPr>
              <w:pStyle w:val="p0"/>
              <w:keepNext/>
              <w:spacing w:before="0"/>
              <w:jc w:val="center"/>
              <w:rPr>
                <w:rFonts w:cs="Arial"/>
                <w:color w:val="auto"/>
                <w:sz w:val="18"/>
                <w:szCs w:val="18"/>
                <w:lang w:val="es-ES"/>
              </w:rPr>
            </w:pPr>
            <w:r>
              <w:rPr>
                <w:rFonts w:cs="Arial"/>
                <w:color w:val="auto"/>
                <w:sz w:val="18"/>
                <w:szCs w:val="18"/>
                <w:lang w:val="es-ES"/>
              </w:rPr>
              <w:t>Junio</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76AE4E5E"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4F5371">
              <w:rPr>
                <w:rFonts w:cs="Arial"/>
                <w:color w:val="auto"/>
                <w:sz w:val="18"/>
                <w:szCs w:val="18"/>
                <w:lang w:val="es-ES"/>
              </w:rPr>
              <w:t>Jun</w:t>
            </w:r>
          </w:p>
        </w:tc>
      </w:tr>
      <w:tr w:rsidR="00A93B84" w:rsidRPr="00B2490F" w14:paraId="68F8BBBF" w14:textId="77777777" w:rsidTr="006C3C6A">
        <w:trPr>
          <w:cantSplit/>
          <w:trHeight w:val="255"/>
          <w:jc w:val="center"/>
        </w:trPr>
        <w:tc>
          <w:tcPr>
            <w:tcW w:w="2910" w:type="dxa"/>
            <w:tcBorders>
              <w:top w:val="single" w:sz="4" w:space="0" w:color="404040"/>
              <w:left w:val="double" w:sz="4" w:space="0" w:color="auto"/>
              <w:bottom w:val="nil"/>
              <w:right w:val="single" w:sz="4" w:space="0" w:color="404040"/>
            </w:tcBorders>
            <w:vAlign w:val="center"/>
            <w:hideMark/>
          </w:tcPr>
          <w:p w14:paraId="1458208F" w14:textId="77777777" w:rsidR="00A93B84" w:rsidRPr="00B2490F" w:rsidRDefault="00A93B84" w:rsidP="00A93B84">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487FA0D6" w:rsidR="00A93B84" w:rsidRPr="007C4313" w:rsidRDefault="00A93B84" w:rsidP="00A93B84">
            <w:pPr>
              <w:tabs>
                <w:tab w:val="decimal" w:pos="670"/>
              </w:tabs>
              <w:jc w:val="left"/>
              <w:rPr>
                <w:rFonts w:cs="Arial"/>
                <w:b/>
                <w:sz w:val="18"/>
                <w:u w:val="single"/>
                <w:lang w:val="es-ES" w:eastAsia="en-US"/>
              </w:rPr>
            </w:pPr>
            <w:r w:rsidRPr="007C4313">
              <w:rPr>
                <w:rFonts w:cs="Arial"/>
                <w:b/>
                <w:bCs/>
                <w:sz w:val="16"/>
                <w:szCs w:val="16"/>
                <w:u w:val="single"/>
              </w:rPr>
              <w:t>6.6</w:t>
            </w:r>
          </w:p>
        </w:tc>
        <w:tc>
          <w:tcPr>
            <w:tcW w:w="1499" w:type="dxa"/>
            <w:tcBorders>
              <w:top w:val="single" w:sz="4" w:space="0" w:color="404040"/>
              <w:left w:val="single" w:sz="4" w:space="0" w:color="404040"/>
              <w:bottom w:val="nil"/>
              <w:right w:val="double" w:sz="4" w:space="0" w:color="auto"/>
            </w:tcBorders>
            <w:vAlign w:val="center"/>
          </w:tcPr>
          <w:p w14:paraId="6F45EF42" w14:textId="3BF6AB79" w:rsidR="00A93B84" w:rsidRPr="007C4313" w:rsidRDefault="00A93B84" w:rsidP="00A93B84">
            <w:pPr>
              <w:tabs>
                <w:tab w:val="decimal" w:pos="581"/>
              </w:tabs>
              <w:jc w:val="left"/>
              <w:rPr>
                <w:rFonts w:cs="Arial"/>
                <w:b/>
                <w:sz w:val="18"/>
                <w:u w:val="single"/>
                <w:lang w:val="es-ES" w:eastAsia="en-US"/>
              </w:rPr>
            </w:pPr>
            <w:r w:rsidRPr="007C4313">
              <w:rPr>
                <w:rFonts w:cs="Arial"/>
                <w:b/>
                <w:bCs/>
                <w:sz w:val="16"/>
                <w:szCs w:val="16"/>
                <w:u w:val="single"/>
              </w:rPr>
              <w:t>7.8</w:t>
            </w:r>
          </w:p>
        </w:tc>
      </w:tr>
      <w:tr w:rsidR="00A93B84" w:rsidRPr="00B2490F" w14:paraId="4628AEC3"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947897F"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2835A120" w:rsidR="00A93B84" w:rsidRPr="00B2490F" w:rsidRDefault="00A93B84" w:rsidP="00A93B84">
            <w:pPr>
              <w:tabs>
                <w:tab w:val="decimal" w:pos="670"/>
              </w:tabs>
              <w:jc w:val="left"/>
              <w:rPr>
                <w:rFonts w:cs="Arial"/>
                <w:b/>
                <w:sz w:val="18"/>
                <w:lang w:val="es-ES" w:eastAsia="en-US"/>
              </w:rPr>
            </w:pPr>
            <w:r>
              <w:rPr>
                <w:rFonts w:cs="Arial"/>
                <w:b/>
                <w:bCs/>
                <w:sz w:val="16"/>
                <w:szCs w:val="16"/>
              </w:rPr>
              <w:t>5.0</w:t>
            </w:r>
          </w:p>
        </w:tc>
        <w:tc>
          <w:tcPr>
            <w:tcW w:w="1499" w:type="dxa"/>
            <w:tcBorders>
              <w:top w:val="nil"/>
              <w:left w:val="single" w:sz="4" w:space="0" w:color="404040"/>
              <w:bottom w:val="nil"/>
              <w:right w:val="double" w:sz="4" w:space="0" w:color="auto"/>
            </w:tcBorders>
            <w:vAlign w:val="center"/>
          </w:tcPr>
          <w:p w14:paraId="1E3DDBDF" w14:textId="5426DAF4" w:rsidR="00A93B84" w:rsidRPr="00B2490F" w:rsidRDefault="00A93B84" w:rsidP="00A93B84">
            <w:pPr>
              <w:tabs>
                <w:tab w:val="decimal" w:pos="581"/>
              </w:tabs>
              <w:jc w:val="left"/>
              <w:rPr>
                <w:rFonts w:cs="Arial"/>
                <w:b/>
                <w:sz w:val="18"/>
                <w:lang w:val="es-ES" w:eastAsia="en-US"/>
              </w:rPr>
            </w:pPr>
            <w:r>
              <w:rPr>
                <w:rFonts w:cs="Arial"/>
                <w:b/>
                <w:bCs/>
                <w:sz w:val="16"/>
                <w:szCs w:val="16"/>
              </w:rPr>
              <w:t>6.7</w:t>
            </w:r>
          </w:p>
        </w:tc>
      </w:tr>
      <w:tr w:rsidR="00A93B84" w:rsidRPr="00B2490F" w14:paraId="5C258A05"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1C543E3"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5532411A" w:rsidR="00A93B84" w:rsidRPr="00B2490F" w:rsidRDefault="00A93B84" w:rsidP="00A93B84">
            <w:pPr>
              <w:tabs>
                <w:tab w:val="decimal" w:pos="670"/>
              </w:tabs>
              <w:jc w:val="left"/>
              <w:rPr>
                <w:rFonts w:cs="Arial"/>
                <w:sz w:val="18"/>
                <w:lang w:val="es-ES" w:eastAsia="en-US"/>
              </w:rPr>
            </w:pPr>
            <w:r>
              <w:rPr>
                <w:rFonts w:cs="Arial"/>
                <w:sz w:val="16"/>
                <w:szCs w:val="16"/>
              </w:rPr>
              <w:t>2.6</w:t>
            </w:r>
          </w:p>
        </w:tc>
        <w:tc>
          <w:tcPr>
            <w:tcW w:w="1499" w:type="dxa"/>
            <w:tcBorders>
              <w:top w:val="nil"/>
              <w:left w:val="single" w:sz="4" w:space="0" w:color="404040"/>
              <w:bottom w:val="nil"/>
              <w:right w:val="double" w:sz="4" w:space="0" w:color="auto"/>
            </w:tcBorders>
            <w:vAlign w:val="center"/>
          </w:tcPr>
          <w:p w14:paraId="0E9A9A7E" w14:textId="3AE5A4F0" w:rsidR="00A93B84" w:rsidRPr="00B2490F" w:rsidRDefault="00A93B84" w:rsidP="00A93B84">
            <w:pPr>
              <w:tabs>
                <w:tab w:val="decimal" w:pos="581"/>
              </w:tabs>
              <w:jc w:val="left"/>
              <w:rPr>
                <w:rFonts w:cs="Arial"/>
                <w:sz w:val="18"/>
                <w:lang w:val="es-ES" w:eastAsia="en-US"/>
              </w:rPr>
            </w:pPr>
            <w:r>
              <w:rPr>
                <w:rFonts w:cs="Arial"/>
                <w:sz w:val="16"/>
                <w:szCs w:val="16"/>
              </w:rPr>
              <w:t>2.8</w:t>
            </w:r>
          </w:p>
        </w:tc>
      </w:tr>
      <w:tr w:rsidR="00A93B84" w:rsidRPr="00B2490F" w14:paraId="71A19AA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272CCF23"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6E34DD6F" w:rsidR="00A93B84" w:rsidRPr="00B2490F" w:rsidRDefault="00A93B84" w:rsidP="00A93B84">
            <w:pPr>
              <w:tabs>
                <w:tab w:val="decimal" w:pos="670"/>
              </w:tabs>
              <w:jc w:val="left"/>
              <w:rPr>
                <w:rFonts w:cs="Arial"/>
                <w:sz w:val="18"/>
                <w:lang w:val="es-ES" w:eastAsia="en-US"/>
              </w:rPr>
            </w:pPr>
            <w:r>
              <w:rPr>
                <w:rFonts w:cs="Arial"/>
                <w:sz w:val="16"/>
                <w:szCs w:val="16"/>
              </w:rPr>
              <w:t>-9.4</w:t>
            </w:r>
          </w:p>
        </w:tc>
        <w:tc>
          <w:tcPr>
            <w:tcW w:w="1499" w:type="dxa"/>
            <w:tcBorders>
              <w:top w:val="nil"/>
              <w:left w:val="single" w:sz="4" w:space="0" w:color="404040"/>
              <w:bottom w:val="nil"/>
              <w:right w:val="double" w:sz="4" w:space="0" w:color="auto"/>
            </w:tcBorders>
            <w:vAlign w:val="center"/>
          </w:tcPr>
          <w:p w14:paraId="685A775A" w14:textId="5FC148BF" w:rsidR="00A93B84" w:rsidRPr="00B2490F" w:rsidRDefault="00A93B84" w:rsidP="00A93B84">
            <w:pPr>
              <w:tabs>
                <w:tab w:val="decimal" w:pos="581"/>
              </w:tabs>
              <w:jc w:val="left"/>
              <w:rPr>
                <w:rFonts w:cs="Arial"/>
                <w:sz w:val="18"/>
                <w:lang w:val="es-ES" w:eastAsia="en-US"/>
              </w:rPr>
            </w:pPr>
            <w:r>
              <w:rPr>
                <w:rFonts w:cs="Arial"/>
                <w:sz w:val="16"/>
                <w:szCs w:val="16"/>
              </w:rPr>
              <w:t>-2.7</w:t>
            </w:r>
          </w:p>
        </w:tc>
      </w:tr>
      <w:tr w:rsidR="00A93B84" w:rsidRPr="00B2490F" w14:paraId="5D10E190"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5FB7B6A9"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49AD2D9E" w:rsidR="00A93B84" w:rsidRPr="00B2490F" w:rsidRDefault="00A93B84" w:rsidP="00A93B84">
            <w:pPr>
              <w:tabs>
                <w:tab w:val="decimal" w:pos="670"/>
              </w:tabs>
              <w:jc w:val="left"/>
              <w:rPr>
                <w:rFonts w:cs="Arial"/>
                <w:sz w:val="18"/>
                <w:lang w:val="es-ES" w:eastAsia="en-US"/>
              </w:rPr>
            </w:pPr>
            <w:r>
              <w:rPr>
                <w:rFonts w:cs="Arial"/>
                <w:sz w:val="16"/>
                <w:szCs w:val="16"/>
              </w:rPr>
              <w:t>7.2</w:t>
            </w:r>
          </w:p>
        </w:tc>
        <w:tc>
          <w:tcPr>
            <w:tcW w:w="1499" w:type="dxa"/>
            <w:tcBorders>
              <w:top w:val="nil"/>
              <w:left w:val="single" w:sz="4" w:space="0" w:color="404040"/>
              <w:bottom w:val="nil"/>
              <w:right w:val="double" w:sz="4" w:space="0" w:color="auto"/>
            </w:tcBorders>
            <w:vAlign w:val="center"/>
          </w:tcPr>
          <w:p w14:paraId="3A515404" w14:textId="3D9256E0" w:rsidR="00A93B84" w:rsidRPr="00B2490F" w:rsidRDefault="00A93B84" w:rsidP="00A93B84">
            <w:pPr>
              <w:tabs>
                <w:tab w:val="decimal" w:pos="581"/>
              </w:tabs>
              <w:jc w:val="left"/>
              <w:rPr>
                <w:rFonts w:cs="Arial"/>
                <w:sz w:val="18"/>
                <w:lang w:val="es-ES" w:eastAsia="en-US"/>
              </w:rPr>
            </w:pPr>
            <w:r>
              <w:rPr>
                <w:rFonts w:cs="Arial"/>
                <w:sz w:val="16"/>
                <w:szCs w:val="16"/>
              </w:rPr>
              <w:t>1.8</w:t>
            </w:r>
          </w:p>
        </w:tc>
      </w:tr>
      <w:tr w:rsidR="00A93B84" w:rsidRPr="00B2490F" w14:paraId="035C46DF"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6BAA2F6C"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2BD53BF8" w:rsidR="00A93B84" w:rsidRPr="00B2490F" w:rsidRDefault="00A93B84" w:rsidP="00A93B84">
            <w:pPr>
              <w:tabs>
                <w:tab w:val="decimal" w:pos="670"/>
              </w:tabs>
              <w:jc w:val="left"/>
              <w:rPr>
                <w:rFonts w:cs="Arial"/>
                <w:sz w:val="18"/>
                <w:lang w:val="es-ES" w:eastAsia="en-US"/>
              </w:rPr>
            </w:pPr>
            <w:r>
              <w:rPr>
                <w:rFonts w:cs="Arial"/>
                <w:sz w:val="16"/>
                <w:szCs w:val="16"/>
              </w:rPr>
              <w:t>3.4</w:t>
            </w:r>
          </w:p>
        </w:tc>
        <w:tc>
          <w:tcPr>
            <w:tcW w:w="1499" w:type="dxa"/>
            <w:tcBorders>
              <w:top w:val="nil"/>
              <w:left w:val="single" w:sz="4" w:space="0" w:color="404040"/>
              <w:bottom w:val="nil"/>
              <w:right w:val="double" w:sz="4" w:space="0" w:color="auto"/>
            </w:tcBorders>
            <w:vAlign w:val="center"/>
          </w:tcPr>
          <w:p w14:paraId="0312CD57" w14:textId="6A76B1CE" w:rsidR="00A93B84" w:rsidRPr="00B2490F" w:rsidRDefault="00A93B84" w:rsidP="00A93B84">
            <w:pPr>
              <w:tabs>
                <w:tab w:val="decimal" w:pos="581"/>
              </w:tabs>
              <w:jc w:val="left"/>
              <w:rPr>
                <w:rFonts w:cs="Arial"/>
                <w:sz w:val="18"/>
                <w:lang w:val="es-ES" w:eastAsia="en-US"/>
              </w:rPr>
            </w:pPr>
            <w:r>
              <w:rPr>
                <w:rFonts w:cs="Arial"/>
                <w:sz w:val="16"/>
                <w:szCs w:val="16"/>
              </w:rPr>
              <w:t>3.7</w:t>
            </w:r>
          </w:p>
        </w:tc>
      </w:tr>
      <w:tr w:rsidR="00A93B84" w:rsidRPr="00B2490F" w14:paraId="3AE38AB4"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06177857"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41EDED58" w:rsidR="00A93B84" w:rsidRPr="00B2490F" w:rsidRDefault="00A93B84" w:rsidP="00A93B84">
            <w:pPr>
              <w:tabs>
                <w:tab w:val="decimal" w:pos="670"/>
              </w:tabs>
              <w:jc w:val="left"/>
              <w:rPr>
                <w:rFonts w:cs="Arial"/>
                <w:sz w:val="18"/>
                <w:lang w:val="es-ES" w:eastAsia="en-US"/>
              </w:rPr>
            </w:pPr>
            <w:r>
              <w:rPr>
                <w:rFonts w:cs="Arial"/>
                <w:sz w:val="16"/>
                <w:szCs w:val="16"/>
              </w:rPr>
              <w:t>7.5</w:t>
            </w:r>
          </w:p>
        </w:tc>
        <w:tc>
          <w:tcPr>
            <w:tcW w:w="1499" w:type="dxa"/>
            <w:tcBorders>
              <w:top w:val="nil"/>
              <w:left w:val="single" w:sz="4" w:space="0" w:color="404040"/>
              <w:bottom w:val="nil"/>
              <w:right w:val="double" w:sz="4" w:space="0" w:color="auto"/>
            </w:tcBorders>
            <w:vAlign w:val="center"/>
          </w:tcPr>
          <w:p w14:paraId="66C1FBBE" w14:textId="41CE6623" w:rsidR="00A93B84" w:rsidRPr="00B2490F" w:rsidRDefault="00A93B84" w:rsidP="00A93B84">
            <w:pPr>
              <w:tabs>
                <w:tab w:val="decimal" w:pos="581"/>
              </w:tabs>
              <w:jc w:val="left"/>
              <w:rPr>
                <w:rFonts w:cs="Arial"/>
                <w:sz w:val="18"/>
                <w:lang w:val="es-ES" w:eastAsia="en-US"/>
              </w:rPr>
            </w:pPr>
            <w:r>
              <w:rPr>
                <w:rFonts w:cs="Arial"/>
                <w:sz w:val="16"/>
                <w:szCs w:val="16"/>
              </w:rPr>
              <w:t>10.6</w:t>
            </w:r>
          </w:p>
        </w:tc>
      </w:tr>
      <w:tr w:rsidR="00A93B84" w:rsidRPr="00B2490F" w14:paraId="2D9484AB"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464CFDB2"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43FB5B32" w:rsidR="00A93B84" w:rsidRPr="00B2490F" w:rsidRDefault="00A93B84" w:rsidP="00A93B84">
            <w:pPr>
              <w:tabs>
                <w:tab w:val="decimal" w:pos="670"/>
              </w:tabs>
              <w:jc w:val="left"/>
              <w:rPr>
                <w:rFonts w:cs="Arial"/>
                <w:b/>
                <w:sz w:val="18"/>
                <w:lang w:val="es-ES" w:eastAsia="en-US"/>
              </w:rPr>
            </w:pPr>
            <w:r>
              <w:rPr>
                <w:rFonts w:cs="Arial"/>
                <w:b/>
                <w:bCs/>
                <w:sz w:val="16"/>
                <w:szCs w:val="16"/>
              </w:rPr>
              <w:t>18.4</w:t>
            </w:r>
          </w:p>
        </w:tc>
        <w:tc>
          <w:tcPr>
            <w:tcW w:w="1499" w:type="dxa"/>
            <w:tcBorders>
              <w:top w:val="nil"/>
              <w:left w:val="single" w:sz="4" w:space="0" w:color="404040"/>
              <w:bottom w:val="nil"/>
              <w:right w:val="double" w:sz="4" w:space="0" w:color="auto"/>
            </w:tcBorders>
            <w:vAlign w:val="center"/>
          </w:tcPr>
          <w:p w14:paraId="246764D8" w14:textId="7B050D6E" w:rsidR="00A93B84" w:rsidRPr="00B2490F" w:rsidRDefault="00A93B84" w:rsidP="00A93B84">
            <w:pPr>
              <w:tabs>
                <w:tab w:val="decimal" w:pos="581"/>
              </w:tabs>
              <w:jc w:val="left"/>
              <w:rPr>
                <w:rFonts w:cs="Arial"/>
                <w:b/>
                <w:sz w:val="18"/>
                <w:lang w:val="es-ES" w:eastAsia="en-US"/>
              </w:rPr>
            </w:pPr>
            <w:r>
              <w:rPr>
                <w:rFonts w:cs="Arial"/>
                <w:b/>
                <w:bCs/>
                <w:sz w:val="16"/>
                <w:szCs w:val="16"/>
              </w:rPr>
              <w:t>16.9</w:t>
            </w:r>
          </w:p>
        </w:tc>
      </w:tr>
      <w:tr w:rsidR="00A93B84" w:rsidRPr="00B2490F" w14:paraId="1058D48F"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35B25190"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4BF97AD5" w:rsidR="00A93B84" w:rsidRPr="00B2490F" w:rsidRDefault="00A93B84" w:rsidP="00A93B84">
            <w:pPr>
              <w:tabs>
                <w:tab w:val="decimal" w:pos="670"/>
              </w:tabs>
              <w:jc w:val="left"/>
              <w:rPr>
                <w:rFonts w:cs="Arial"/>
                <w:sz w:val="18"/>
                <w:lang w:val="es-ES" w:eastAsia="en-US"/>
              </w:rPr>
            </w:pPr>
            <w:r>
              <w:rPr>
                <w:rFonts w:cs="Arial"/>
                <w:sz w:val="16"/>
                <w:szCs w:val="16"/>
              </w:rPr>
              <w:t>18.4</w:t>
            </w:r>
          </w:p>
        </w:tc>
        <w:tc>
          <w:tcPr>
            <w:tcW w:w="1499" w:type="dxa"/>
            <w:tcBorders>
              <w:top w:val="nil"/>
              <w:left w:val="single" w:sz="4" w:space="0" w:color="404040"/>
              <w:bottom w:val="nil"/>
              <w:right w:val="double" w:sz="4" w:space="0" w:color="auto"/>
            </w:tcBorders>
            <w:vAlign w:val="center"/>
          </w:tcPr>
          <w:p w14:paraId="5066BC76" w14:textId="56A241F5" w:rsidR="00A93B84" w:rsidRPr="00B2490F" w:rsidRDefault="00A93B84" w:rsidP="00A93B84">
            <w:pPr>
              <w:tabs>
                <w:tab w:val="decimal" w:pos="581"/>
              </w:tabs>
              <w:jc w:val="left"/>
              <w:rPr>
                <w:rFonts w:cs="Arial"/>
                <w:sz w:val="18"/>
                <w:lang w:val="es-ES" w:eastAsia="en-US"/>
              </w:rPr>
            </w:pPr>
            <w:r>
              <w:rPr>
                <w:rFonts w:cs="Arial"/>
                <w:sz w:val="16"/>
                <w:szCs w:val="16"/>
              </w:rPr>
              <w:t>16.9</w:t>
            </w:r>
          </w:p>
        </w:tc>
      </w:tr>
      <w:tr w:rsidR="00A93B84" w:rsidRPr="00B2490F" w14:paraId="124D1AB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ADF35AF"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7A1F614F" w:rsidR="00A93B84" w:rsidRPr="00B2490F" w:rsidRDefault="00A93B84" w:rsidP="00A93B84">
            <w:pPr>
              <w:tabs>
                <w:tab w:val="decimal" w:pos="670"/>
              </w:tabs>
              <w:jc w:val="left"/>
              <w:rPr>
                <w:rFonts w:cs="Arial"/>
                <w:sz w:val="18"/>
                <w:lang w:val="es-ES" w:eastAsia="en-US"/>
              </w:rPr>
            </w:pPr>
            <w:r>
              <w:rPr>
                <w:rFonts w:cs="Arial"/>
                <w:sz w:val="16"/>
                <w:szCs w:val="16"/>
              </w:rPr>
              <w:t>23.0</w:t>
            </w:r>
          </w:p>
        </w:tc>
        <w:tc>
          <w:tcPr>
            <w:tcW w:w="1499" w:type="dxa"/>
            <w:tcBorders>
              <w:top w:val="nil"/>
              <w:left w:val="single" w:sz="4" w:space="0" w:color="404040"/>
              <w:bottom w:val="nil"/>
              <w:right w:val="double" w:sz="4" w:space="0" w:color="auto"/>
            </w:tcBorders>
            <w:vAlign w:val="center"/>
          </w:tcPr>
          <w:p w14:paraId="54AD2ABB" w14:textId="262166F2" w:rsidR="00A93B84" w:rsidRPr="00B2490F" w:rsidRDefault="00A93B84" w:rsidP="00A93B84">
            <w:pPr>
              <w:tabs>
                <w:tab w:val="decimal" w:pos="581"/>
              </w:tabs>
              <w:jc w:val="left"/>
              <w:rPr>
                <w:rFonts w:cs="Arial"/>
                <w:sz w:val="18"/>
                <w:lang w:val="es-ES" w:eastAsia="en-US"/>
              </w:rPr>
            </w:pPr>
            <w:r>
              <w:rPr>
                <w:rFonts w:cs="Arial"/>
                <w:sz w:val="16"/>
                <w:szCs w:val="16"/>
              </w:rPr>
              <w:t>26.6</w:t>
            </w:r>
          </w:p>
        </w:tc>
      </w:tr>
      <w:tr w:rsidR="00A93B84" w:rsidRPr="00B2490F" w14:paraId="569476A9"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30746C2"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0C7BF639" w:rsidR="00A93B84" w:rsidRPr="00B2490F" w:rsidRDefault="00A93B84" w:rsidP="00A93B84">
            <w:pPr>
              <w:tabs>
                <w:tab w:val="decimal" w:pos="670"/>
              </w:tabs>
              <w:jc w:val="left"/>
              <w:rPr>
                <w:rFonts w:cs="Arial"/>
                <w:sz w:val="18"/>
                <w:lang w:val="es-ES" w:eastAsia="en-US"/>
              </w:rPr>
            </w:pPr>
            <w:r>
              <w:rPr>
                <w:rFonts w:cs="Arial"/>
                <w:sz w:val="16"/>
                <w:szCs w:val="16"/>
              </w:rPr>
              <w:t>28.1</w:t>
            </w:r>
          </w:p>
        </w:tc>
        <w:tc>
          <w:tcPr>
            <w:tcW w:w="1499" w:type="dxa"/>
            <w:tcBorders>
              <w:top w:val="nil"/>
              <w:left w:val="single" w:sz="4" w:space="0" w:color="404040"/>
              <w:bottom w:val="nil"/>
              <w:right w:val="double" w:sz="4" w:space="0" w:color="auto"/>
            </w:tcBorders>
            <w:vAlign w:val="center"/>
          </w:tcPr>
          <w:p w14:paraId="5C3E2168" w14:textId="74053443" w:rsidR="00A93B84" w:rsidRPr="00B2490F" w:rsidRDefault="00A93B84" w:rsidP="00A93B84">
            <w:pPr>
              <w:tabs>
                <w:tab w:val="decimal" w:pos="581"/>
              </w:tabs>
              <w:jc w:val="left"/>
              <w:rPr>
                <w:rFonts w:cs="Arial"/>
                <w:sz w:val="18"/>
                <w:lang w:val="es-ES" w:eastAsia="en-US"/>
              </w:rPr>
            </w:pPr>
            <w:r>
              <w:rPr>
                <w:rFonts w:cs="Arial"/>
                <w:sz w:val="16"/>
                <w:szCs w:val="16"/>
              </w:rPr>
              <w:t>27.0</w:t>
            </w:r>
          </w:p>
        </w:tc>
      </w:tr>
      <w:tr w:rsidR="00A93B84" w:rsidRPr="00B2490F" w14:paraId="4AC5B0F4" w14:textId="77777777" w:rsidTr="006C3C6A">
        <w:trPr>
          <w:cantSplit/>
          <w:trHeight w:val="255"/>
          <w:jc w:val="center"/>
        </w:trPr>
        <w:tc>
          <w:tcPr>
            <w:tcW w:w="2910" w:type="dxa"/>
            <w:tcBorders>
              <w:top w:val="nil"/>
              <w:left w:val="double" w:sz="4" w:space="0" w:color="auto"/>
              <w:bottom w:val="double" w:sz="4" w:space="0" w:color="auto"/>
              <w:right w:val="single" w:sz="4" w:space="0" w:color="404040"/>
            </w:tcBorders>
            <w:vAlign w:val="center"/>
          </w:tcPr>
          <w:p w14:paraId="1899101B"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77220F86" w:rsidR="00A93B84" w:rsidRPr="00B2490F" w:rsidRDefault="00A93B84" w:rsidP="00A93B84">
            <w:pPr>
              <w:tabs>
                <w:tab w:val="decimal" w:pos="670"/>
              </w:tabs>
              <w:jc w:val="left"/>
              <w:rPr>
                <w:rFonts w:cs="Arial"/>
                <w:sz w:val="18"/>
                <w:lang w:val="es-ES" w:eastAsia="en-US"/>
              </w:rPr>
            </w:pPr>
            <w:r>
              <w:rPr>
                <w:rFonts w:cs="Arial"/>
                <w:sz w:val="16"/>
                <w:szCs w:val="16"/>
              </w:rPr>
              <w:t>10.0</w:t>
            </w:r>
          </w:p>
        </w:tc>
        <w:tc>
          <w:tcPr>
            <w:tcW w:w="1499" w:type="dxa"/>
            <w:tcBorders>
              <w:top w:val="nil"/>
              <w:left w:val="single" w:sz="4" w:space="0" w:color="404040"/>
              <w:bottom w:val="double" w:sz="4" w:space="0" w:color="auto"/>
              <w:right w:val="double" w:sz="4" w:space="0" w:color="auto"/>
            </w:tcBorders>
            <w:vAlign w:val="center"/>
          </w:tcPr>
          <w:p w14:paraId="30EE8DE1" w14:textId="19E07763" w:rsidR="00A93B84" w:rsidRPr="00B2490F" w:rsidRDefault="00A93B84" w:rsidP="00A93B84">
            <w:pPr>
              <w:tabs>
                <w:tab w:val="decimal" w:pos="581"/>
              </w:tabs>
              <w:jc w:val="left"/>
              <w:rPr>
                <w:rFonts w:cs="Arial"/>
                <w:sz w:val="18"/>
                <w:lang w:val="es-ES" w:eastAsia="en-US"/>
              </w:rPr>
            </w:pPr>
            <w:r>
              <w:rPr>
                <w:rFonts w:cs="Arial"/>
                <w:sz w:val="16"/>
                <w:szCs w:val="16"/>
              </w:rPr>
              <w:t>4.4</w:t>
            </w:r>
          </w:p>
        </w:tc>
      </w:tr>
    </w:tbl>
    <w:p w14:paraId="04483B4C" w14:textId="09E4CEF8" w:rsidR="00375EFB" w:rsidRPr="00B2490F" w:rsidRDefault="00624955" w:rsidP="006C3C6A">
      <w:pPr>
        <w:spacing w:before="20"/>
        <w:ind w:left="1276"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4A8FCE29" w:rsidR="00140D9C" w:rsidRDefault="00140D9C" w:rsidP="006C3C6A">
      <w:pPr>
        <w:ind w:left="1276" w:right="-91" w:firstLine="708"/>
        <w:outlineLvl w:val="3"/>
        <w:rPr>
          <w:sz w:val="16"/>
          <w:szCs w:val="16"/>
        </w:rPr>
      </w:pPr>
      <w:r>
        <w:rPr>
          <w:sz w:val="16"/>
          <w:szCs w:val="16"/>
        </w:rPr>
        <w:t>Fuente: INEGI</w:t>
      </w:r>
    </w:p>
    <w:p w14:paraId="2EA042D8" w14:textId="5D62F9F1" w:rsidR="00B25F61" w:rsidRDefault="00B25F61" w:rsidP="00902A3C">
      <w:pPr>
        <w:pStyle w:val="parr2"/>
        <w:keepNext/>
        <w:keepLines/>
        <w:spacing w:before="240"/>
        <w:ind w:left="0" w:right="584"/>
        <w:rPr>
          <w:b/>
          <w:i/>
        </w:rPr>
      </w:pPr>
      <w:bookmarkStart w:id="3" w:name="_Hlk71222490"/>
      <w:r>
        <w:rPr>
          <w:b/>
          <w:i/>
        </w:rPr>
        <w:t>Nota al usuario</w:t>
      </w:r>
    </w:p>
    <w:bookmarkEnd w:id="3"/>
    <w:p w14:paraId="064BE775" w14:textId="77777777" w:rsidR="00D57BE1" w:rsidRDefault="00D57BE1" w:rsidP="00E132D9">
      <w:pPr>
        <w:pStyle w:val="Default"/>
        <w:spacing w:before="180"/>
        <w:jc w:val="both"/>
      </w:pPr>
      <w:r>
        <w:t xml:space="preserve">Este indicador se actualiza una vez que se dispone de la información estadística más reciente de las encuestas, los registros administrativos y los datos primarios en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que se complementan con las Normas Especiales para la Divulgación de Datos del Fondo Monetario Internacional (FMI). </w:t>
      </w:r>
    </w:p>
    <w:p w14:paraId="28FB3298" w14:textId="77777777" w:rsidR="00D57BE1" w:rsidRDefault="00D57BE1" w:rsidP="00E132D9">
      <w:pPr>
        <w:pStyle w:val="Default"/>
        <w:spacing w:before="180"/>
        <w:jc w:val="both"/>
      </w:pPr>
      <w:r>
        <w:t xml:space="preserve">La tasa de no respuesta en la captación de las encuestas económicas que se consideraron para la integración del </w:t>
      </w:r>
      <w:r w:rsidRPr="00BD6F46">
        <w:rPr>
          <w:color w:val="auto"/>
        </w:rPr>
        <w:t>IMCPMI</w:t>
      </w:r>
      <w:r w:rsidRPr="00D57BE1">
        <w:rPr>
          <w:rStyle w:val="Refdenotaalpie"/>
          <w:b w:val="0"/>
          <w:bCs/>
          <w:sz w:val="24"/>
          <w:szCs w:val="28"/>
        </w:rPr>
        <w:footnoteReference w:id="5"/>
      </w:r>
      <w:r>
        <w:t xml:space="preserve"> en junio de 2022, registró porcentajes apropiados de acuerdo con el diseño estadístico de las muestras. La captación de los registros administrativos y los datos primarios que divulga el Instituto permitió la generación de estadísticas con niveles altos de cobertura.</w:t>
      </w:r>
    </w:p>
    <w:p w14:paraId="7556486F" w14:textId="77777777" w:rsidR="00E132D9" w:rsidRDefault="00D57BE1" w:rsidP="00E132D9">
      <w:pPr>
        <w:pStyle w:val="Default"/>
        <w:spacing w:before="180"/>
        <w:jc w:val="both"/>
        <w:rPr>
          <w:color w:val="auto"/>
        </w:rPr>
      </w:pPr>
      <w:r>
        <w:t xml:space="preserve">Para las actividades </w:t>
      </w:r>
      <w:r w:rsidRPr="00BD6F46">
        <w:t>agropecuarias, energía, gas</w:t>
      </w:r>
      <w:r>
        <w:t>,</w:t>
      </w:r>
      <w:r w:rsidRPr="00BD6F46">
        <w:t xml:space="preserve"> agua, servicios financieros y del gobierno </w:t>
      </w:r>
      <w:r w:rsidRPr="000F58B5">
        <w:rPr>
          <w:color w:val="auto"/>
        </w:rPr>
        <w:t xml:space="preserve">se </w:t>
      </w:r>
      <w:r>
        <w:rPr>
          <w:color w:val="auto"/>
        </w:rPr>
        <w:t>incluyeron los</w:t>
      </w:r>
      <w:r w:rsidRPr="0039257A">
        <w:rPr>
          <w:color w:val="auto"/>
        </w:rPr>
        <w:t xml:space="preserve"> </w:t>
      </w:r>
      <w:r w:rsidRPr="000F58B5">
        <w:rPr>
          <w:color w:val="auto"/>
        </w:rPr>
        <w:t xml:space="preserve">registros administrativos </w:t>
      </w:r>
      <w:r>
        <w:t>provenientes de las empresas y Unidades del Estado que se recibieron oportunamente vía correo electrónico y por internet</w:t>
      </w:r>
      <w:r w:rsidRPr="000F58B5">
        <w:rPr>
          <w:color w:val="auto"/>
        </w:rPr>
        <w:t>.</w:t>
      </w:r>
    </w:p>
    <w:p w14:paraId="555FD036" w14:textId="60ECBE88" w:rsidR="00D72013" w:rsidRDefault="002A4126" w:rsidP="00D57BE1">
      <w:pPr>
        <w:pStyle w:val="Default"/>
        <w:spacing w:before="240"/>
        <w:jc w:val="both"/>
      </w:pPr>
      <w:r>
        <w:rPr>
          <w:lang w:eastAsia="es-MX"/>
        </w:rPr>
        <w:lastRenderedPageBreak/>
        <w:t>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O</w:t>
      </w:r>
      <w:r>
        <w:rPr>
          <w:i/>
          <w:lang w:eastAsia="es-MX"/>
        </w:rPr>
        <w:t>utliers,</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5D4D1D6D" w14:textId="37E2212D" w:rsidR="006811C3" w:rsidRDefault="006811C3" w:rsidP="00B96A04">
      <w:pPr>
        <w:pStyle w:val="Default"/>
        <w:spacing w:before="360"/>
        <w:jc w:val="both"/>
        <w:rPr>
          <w:b/>
          <w:i/>
        </w:rPr>
      </w:pPr>
      <w:r>
        <w:rPr>
          <w:b/>
          <w:i/>
        </w:rPr>
        <w:t>N</w:t>
      </w:r>
      <w:r w:rsidR="00D70732">
        <w:rPr>
          <w:b/>
          <w:i/>
        </w:rPr>
        <w:t>o</w:t>
      </w:r>
      <w:r>
        <w:rPr>
          <w:b/>
          <w:i/>
        </w:rPr>
        <w:t>ta metodológica</w:t>
      </w:r>
    </w:p>
    <w:p w14:paraId="726EC519" w14:textId="1EFA144A" w:rsidR="006811C3" w:rsidRDefault="006811C3" w:rsidP="00D57BE1">
      <w:pPr>
        <w:widowControl/>
        <w:autoSpaceDE w:val="0"/>
        <w:autoSpaceDN w:val="0"/>
        <w:adjustRightInd w:val="0"/>
        <w:spacing w:before="180"/>
      </w:pPr>
      <w:r>
        <w:t>El IMCPMI mide el comportamiento del gasto realizado por los hogares en bienes y servicios de consumo, tanto de origen nacional como importado</w:t>
      </w:r>
      <w:r w:rsidR="00D40CBD">
        <w:t>.</w:t>
      </w:r>
      <w:r>
        <w:t xml:space="preserve"> </w:t>
      </w:r>
      <w:r w:rsidR="00D40CBD">
        <w:t>E</w:t>
      </w:r>
      <w:r w:rsidR="00A76B6D">
        <w:t>ste permite</w:t>
      </w:r>
      <w:r>
        <w:t xml:space="preserve"> dar seguimiento de forma mensual al componente más significativo del </w:t>
      </w:r>
      <w:r w:rsidR="007E5CA7">
        <w:t>Producto Interno Bruto (</w:t>
      </w:r>
      <w:r>
        <w:t>PIB</w:t>
      </w:r>
      <w:r w:rsidR="007E5CA7">
        <w:t>)</w:t>
      </w:r>
      <w:r>
        <w:t xml:space="preserve">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4DC5CB32" w:rsidR="006811C3" w:rsidRPr="006F503A" w:rsidRDefault="006811C3" w:rsidP="006811C3">
      <w:pPr>
        <w:spacing w:before="240"/>
        <w:outlineLvl w:val="3"/>
      </w:pPr>
      <w:r w:rsidRPr="006F503A">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una diferenciación por </w:t>
      </w:r>
      <w:r w:rsidR="00CE31AF">
        <w:t xml:space="preserve">su </w:t>
      </w:r>
      <w:r w:rsidRPr="00315C45">
        <w:t>durabilidad,</w:t>
      </w:r>
      <w:r w:rsidR="006B379A">
        <w:t xml:space="preserve"> y se los</w:t>
      </w:r>
      <w:r w:rsidRPr="00315C45">
        <w:t xml:space="preserve"> clasific</w:t>
      </w:r>
      <w:r w:rsidR="006B379A">
        <w:t>a</w:t>
      </w:r>
      <w:r w:rsidRPr="00315C45">
        <w:t xml:space="preserve"> en duraderos, </w:t>
      </w:r>
      <w:proofErr w:type="spellStart"/>
      <w:r w:rsidRPr="00BE64DF">
        <w:t>semiduraderos</w:t>
      </w:r>
      <w:proofErr w:type="spellEnd"/>
      <w:r w:rsidRPr="00315C45">
        <w:t xml:space="preserve"> y no duraderos</w:t>
      </w:r>
      <w:r w:rsidR="00A0405A">
        <w:t>.</w:t>
      </w:r>
      <w:r w:rsidRPr="00315C45">
        <w:t xml:space="preserve"> </w:t>
      </w:r>
      <w:r w:rsidR="00A0405A">
        <w:t>D</w:t>
      </w:r>
      <w:r w:rsidR="006F3B31">
        <w:t>espués se distingue</w:t>
      </w:r>
      <w:r w:rsidRPr="00315C45">
        <w:t xml:space="preserve"> cada una de estas categorías con </w:t>
      </w:r>
      <w:r w:rsidR="00A0405A">
        <w:t xml:space="preserve">base en </w:t>
      </w:r>
      <w:r w:rsidRPr="00315C45">
        <w:t xml:space="preserve">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ste indicador es de 95.2</w:t>
        </w:r>
        <w:r w:rsidR="002F1E5A">
          <w:t xml:space="preserve"> </w:t>
        </w:r>
        <w:r w:rsidRPr="006F503A">
          <w:t xml:space="preserve">% </w:t>
        </w:r>
      </w:hyperlink>
      <w:r w:rsidRPr="006F503A">
        <w:t xml:space="preserve">en el año 2013, año base de los productos del </w:t>
      </w:r>
      <w:r w:rsidR="00980A4A" w:rsidRPr="00DE1840">
        <w:t>Sistema de Cuentas Nacionales de México (SCNM)</w:t>
      </w:r>
      <w:r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D57BE1">
      <w:pPr>
        <w:pStyle w:val="Prrafodelista"/>
        <w:widowControl/>
        <w:numPr>
          <w:ilvl w:val="0"/>
          <w:numId w:val="13"/>
        </w:numPr>
        <w:spacing w:before="18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877766A" w14:textId="381114C2" w:rsidR="006811C3" w:rsidRPr="006F503A" w:rsidRDefault="006F3B31" w:rsidP="00D57BE1">
      <w:pPr>
        <w:pStyle w:val="Prrafodelista"/>
        <w:widowControl/>
        <w:numPr>
          <w:ilvl w:val="0"/>
          <w:numId w:val="13"/>
        </w:numPr>
        <w:spacing w:before="180" w:line="240" w:lineRule="atLeast"/>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4556D62D" w:rsidR="006811C3" w:rsidRPr="006F503A" w:rsidRDefault="008506D1" w:rsidP="00D57BE1">
      <w:pPr>
        <w:pStyle w:val="Prrafodelista"/>
        <w:widowControl/>
        <w:numPr>
          <w:ilvl w:val="0"/>
          <w:numId w:val="13"/>
        </w:numPr>
        <w:spacing w:before="180" w:line="240" w:lineRule="atLeast"/>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r w:rsidR="00D7158D">
        <w:t xml:space="preserve"> (IMAI)</w:t>
      </w:r>
      <w:r w:rsidR="006811C3" w:rsidRPr="006F503A">
        <w:t>.</w:t>
      </w:r>
    </w:p>
    <w:p w14:paraId="6EBF770F" w14:textId="7778F6AC" w:rsidR="006811C3" w:rsidRPr="006F503A" w:rsidRDefault="006811C3" w:rsidP="00302F65">
      <w:pPr>
        <w:spacing w:before="240"/>
      </w:pPr>
      <w:r w:rsidRPr="006F503A">
        <w:lastRenderedPageBreak/>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418139F2" w14:textId="77777777" w:rsidR="006972C1" w:rsidRDefault="006972C1" w:rsidP="006972C1">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1598DDB2" w14:textId="77777777" w:rsidR="006972C1" w:rsidRDefault="006972C1" w:rsidP="006972C1">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0C3F9D" w:rsidP="006972C1">
      <w:pPr>
        <w:rPr>
          <w:rStyle w:val="Hipervnculo"/>
          <w:szCs w:val="24"/>
        </w:rPr>
      </w:pPr>
      <w:hyperlink r:id="rId25" w:history="1">
        <w:r w:rsidR="006972C1">
          <w:rPr>
            <w:rStyle w:val="Hipervnculo"/>
          </w:rPr>
          <w:t>https://www.inegi.org.mx/app/biblioteca/ficha.html?upc=702825099060</w:t>
        </w:r>
      </w:hyperlink>
    </w:p>
    <w:p w14:paraId="7E6F7523" w14:textId="1F7D8668" w:rsidR="00DA625F" w:rsidRDefault="00DA625F" w:rsidP="00B67ABF">
      <w:pPr>
        <w:spacing w:before="240"/>
      </w:pPr>
      <w:r w:rsidRPr="005F0EC1">
        <w:rPr>
          <w:noProof/>
        </w:rPr>
        <w:drawing>
          <wp:anchor distT="0" distB="0" distL="114300" distR="114300" simplePos="0" relativeHeight="251661312" behindDoc="0" locked="0" layoutInCell="1" allowOverlap="1" wp14:anchorId="225B3653" wp14:editId="50193E7F">
            <wp:simplePos x="0" y="0"/>
            <wp:positionH relativeFrom="margin">
              <wp:posOffset>3324225</wp:posOffset>
            </wp:positionH>
            <wp:positionV relativeFrom="paragraph">
              <wp:posOffset>702945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Las especificaciones de los modelos utilizados para realizar el ajuste estacional están disponibles en el Banco de Información Económica (BIE). Seleccione «Indicadores económicos de coyuntura, </w:t>
      </w:r>
      <w:r w:rsidRPr="00DA625F">
        <w:t xml:space="preserve">Indicador </w:t>
      </w:r>
      <w:r w:rsidR="00935F02">
        <w:t>M</w:t>
      </w:r>
      <w:r w:rsidRPr="00DA625F">
        <w:t xml:space="preserve">ensual del </w:t>
      </w:r>
      <w:r w:rsidR="00935F02">
        <w:t>C</w:t>
      </w:r>
      <w:r w:rsidRPr="00DA625F">
        <w:t xml:space="preserve">onsumo </w:t>
      </w:r>
      <w:r w:rsidR="00935F02">
        <w:t>P</w:t>
      </w:r>
      <w:r w:rsidRPr="00DA625F">
        <w:t xml:space="preserve">rivado en el </w:t>
      </w:r>
      <w:r w:rsidR="00935F02">
        <w:t>M</w:t>
      </w:r>
      <w:r w:rsidRPr="00DA625F">
        <w:t xml:space="preserve">ercado </w:t>
      </w:r>
      <w:r w:rsidR="00935F02">
        <w:t>I</w:t>
      </w:r>
      <w:r w:rsidRPr="00DA625F">
        <w:t>nterior</w:t>
      </w:r>
      <w:r>
        <w:t>» y vaya al icono de información   correspondiente a las «series desestacionalizadas y de tendencia-ciclo</w:t>
      </w:r>
      <w:r>
        <w:rPr>
          <w:rFonts w:cs="Arial"/>
        </w:rPr>
        <w:t>».</w:t>
      </w:r>
      <w:r>
        <w:t xml:space="preserve"> </w:t>
      </w:r>
    </w:p>
    <w:p w14:paraId="14EDC431" w14:textId="556B12A8" w:rsidR="00DA625F" w:rsidRDefault="00DA625F" w:rsidP="00DA625F">
      <w:pPr>
        <w:pStyle w:val="parrafo1"/>
        <w:widowControl w:val="0"/>
        <w:spacing w:before="240"/>
        <w:ind w:left="0" w:right="0"/>
      </w:pPr>
      <w:r w:rsidRPr="00927FBF">
        <w:t xml:space="preserve">Mediante los indicadores de corto plazo del </w:t>
      </w:r>
      <w:r>
        <w:t>SCNM,</w:t>
      </w:r>
      <w:r w:rsidRPr="00927FBF">
        <w:t xml:space="preserve"> el INEGI genera la información contenida en este documento y la da a conocer con base en el Calendario de Difusión de Información Estadística y Geográfica y de Interés Nacional.</w:t>
      </w:r>
    </w:p>
    <w:p w14:paraId="008C5310" w14:textId="55E475F5" w:rsidR="00DA625F" w:rsidRPr="00FA4948" w:rsidRDefault="00DA625F" w:rsidP="00DA625F">
      <w:pPr>
        <w:pStyle w:val="parrafo1"/>
        <w:widowControl w:val="0"/>
        <w:spacing w:before="240"/>
        <w:ind w:left="0" w:right="0"/>
        <w:rPr>
          <w:rStyle w:val="Hipervnculo"/>
          <w:rFonts w:cs="Arial"/>
          <w:szCs w:val="24"/>
        </w:rPr>
      </w:pPr>
      <w:r>
        <w:t xml:space="preserve">Las series del </w:t>
      </w:r>
      <w:r w:rsidR="00B67ABF">
        <w:t>IMCPMI</w:t>
      </w:r>
      <w:r>
        <w:t xml:space="preserve"> pueden consultarse en la sección PIB y Cuentas Nacionales de México y en el BIE, en la página del INEGI: </w:t>
      </w:r>
      <w:r w:rsidRPr="009E58DC">
        <w:rPr>
          <w:rStyle w:val="Hipervnculo"/>
          <w:rFonts w:cs="Arial"/>
          <w:szCs w:val="24"/>
        </w:rPr>
        <w:t>https://</w:t>
      </w:r>
      <w:hyperlink r:id="rId28" w:history="1">
        <w:r w:rsidRPr="009E58DC">
          <w:rPr>
            <w:rStyle w:val="Hipervnculo"/>
            <w:rFonts w:cs="Arial"/>
            <w:szCs w:val="24"/>
          </w:rPr>
          <w:t>www.inegi.org.mx</w:t>
        </w:r>
      </w:hyperlink>
    </w:p>
    <w:sectPr w:rsidR="00DA625F" w:rsidRPr="00FA4948" w:rsidSect="00465D4A">
      <w:headerReference w:type="default" r:id="rId29"/>
      <w:footerReference w:type="default" r:id="rId30"/>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DE25" w14:textId="77777777" w:rsidR="000C3F9D" w:rsidRDefault="000C3F9D">
      <w:r>
        <w:separator/>
      </w:r>
    </w:p>
  </w:endnote>
  <w:endnote w:type="continuationSeparator" w:id="0">
    <w:p w14:paraId="1950015F" w14:textId="77777777" w:rsidR="000C3F9D" w:rsidRDefault="000C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6277" w14:textId="77777777" w:rsidR="004E7268" w:rsidRPr="00975B1E" w:rsidRDefault="004E7268" w:rsidP="00975B1E">
    <w:pPr>
      <w:pStyle w:val="Piedepgina"/>
      <w:jc w:val="center"/>
      <w:rPr>
        <w:b/>
        <w:bCs/>
        <w:color w:val="002060"/>
        <w:sz w:val="20"/>
      </w:rPr>
    </w:pPr>
    <w:r w:rsidRPr="00975B1E">
      <w:rPr>
        <w:b/>
        <w:bCs/>
        <w:color w:val="002060"/>
        <w:sz w:val="20"/>
      </w:rPr>
      <w:t>COMUNICACIÓN SOCIAL</w:t>
    </w:r>
  </w:p>
  <w:p w14:paraId="1E633990" w14:textId="77777777" w:rsidR="004E7268" w:rsidRPr="007B4B63" w:rsidRDefault="004E7268"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122779" w:rsidRDefault="008F2BC8" w:rsidP="009D2FB0">
    <w:pPr>
      <w:pStyle w:val="Piedepgina"/>
      <w:jc w:val="center"/>
      <w:rPr>
        <w:color w:val="002060"/>
        <w:sz w:val="20"/>
      </w:rPr>
    </w:pPr>
    <w:r w:rsidRPr="00122779">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082A4" w14:textId="77777777" w:rsidR="000C3F9D" w:rsidRDefault="000C3F9D">
      <w:r>
        <w:separator/>
      </w:r>
    </w:p>
  </w:footnote>
  <w:footnote w:type="continuationSeparator" w:id="0">
    <w:p w14:paraId="15111DCD" w14:textId="77777777" w:rsidR="000C3F9D" w:rsidRDefault="000C3F9D">
      <w:r>
        <w:continuationSeparator/>
      </w:r>
    </w:p>
  </w:footnote>
  <w:footnote w:id="1">
    <w:p w14:paraId="45650560" w14:textId="77777777" w:rsidR="004E7268" w:rsidRPr="00140D9C" w:rsidRDefault="004E7268" w:rsidP="004E7268">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w:t>
      </w:r>
      <w:r>
        <w:rPr>
          <w:rFonts w:ascii="Arial" w:hAnsi="Arial" w:cs="Arial"/>
          <w:sz w:val="16"/>
          <w:szCs w:val="16"/>
        </w:rPr>
        <w:t xml:space="preserve">de los </w:t>
      </w:r>
      <w:r w:rsidRPr="00140D9C">
        <w:rPr>
          <w:rFonts w:ascii="Arial" w:hAnsi="Arial" w:cs="Arial"/>
          <w:sz w:val="16"/>
          <w:szCs w:val="16"/>
        </w:rPr>
        <w:t>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4F8C19A1" w14:textId="77777777" w:rsidR="004E7268" w:rsidRPr="00140D9C" w:rsidRDefault="004E7268" w:rsidP="004E7268">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4CC00297" w14:textId="77777777" w:rsidR="004E7268" w:rsidRDefault="004E7268" w:rsidP="004E7268">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7D30312B" w14:textId="77777777" w:rsidR="004E7268" w:rsidRDefault="004E7268" w:rsidP="004E7268">
      <w:pPr>
        <w:pStyle w:val="Textonotapie"/>
        <w:ind w:left="142" w:hanging="170"/>
        <w:jc w:val="both"/>
        <w:rPr>
          <w:rFonts w:ascii="Arial" w:hAnsi="Arial" w:cs="Arial"/>
          <w:sz w:val="16"/>
          <w:szCs w:val="16"/>
        </w:rPr>
      </w:pPr>
    </w:p>
    <w:p w14:paraId="3CDB486A" w14:textId="77777777" w:rsidR="004E7268" w:rsidRPr="00140D9C" w:rsidRDefault="004E7268" w:rsidP="004E7268">
      <w:pPr>
        <w:pStyle w:val="Textonotapie"/>
        <w:ind w:left="142" w:hanging="170"/>
        <w:jc w:val="both"/>
        <w:rPr>
          <w:rFonts w:ascii="Arial" w:hAnsi="Arial" w:cs="Arial"/>
          <w:sz w:val="16"/>
          <w:szCs w:val="16"/>
        </w:rPr>
      </w:pPr>
    </w:p>
  </w:footnote>
  <w:footnote w:id="4">
    <w:p w14:paraId="4375E5D8" w14:textId="77777777" w:rsidR="004E7268" w:rsidRDefault="004E7268" w:rsidP="004E7268">
      <w:pPr>
        <w:pStyle w:val="Textonotapie"/>
        <w:ind w:left="170" w:hanging="170"/>
        <w:rPr>
          <w:rFonts w:ascii="Arial" w:hAnsi="Arial" w:cs="Arial"/>
          <w:sz w:val="16"/>
          <w:szCs w:val="16"/>
        </w:rPr>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p w14:paraId="1CFF796B" w14:textId="77777777" w:rsidR="004E7268" w:rsidRDefault="004E7268" w:rsidP="004E7268">
      <w:pPr>
        <w:pStyle w:val="Textonotapie"/>
        <w:ind w:left="170" w:hanging="170"/>
      </w:pPr>
    </w:p>
    <w:p w14:paraId="0FE1D192" w14:textId="2AA76AF5" w:rsidR="004E7268" w:rsidRDefault="0040075D" w:rsidP="004E7268">
      <w:pPr>
        <w:pStyle w:val="Textonotapie"/>
        <w:ind w:left="170" w:hanging="170"/>
      </w:pPr>
      <w:r>
        <w:t>|</w:t>
      </w:r>
    </w:p>
  </w:footnote>
  <w:footnote w:id="5">
    <w:p w14:paraId="2FB49401" w14:textId="06CE898A" w:rsidR="00D57BE1" w:rsidRDefault="00D57BE1" w:rsidP="00D57BE1">
      <w:pPr>
        <w:pStyle w:val="Textonotapie"/>
        <w:ind w:left="170" w:hanging="170"/>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D64" w14:textId="3C3CC78F" w:rsidR="004E7268" w:rsidRPr="00306ECD" w:rsidRDefault="004E7268"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23996A4" wp14:editId="6654DEFA">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DA2736">
      <w:rPr>
        <w:b/>
        <w:color w:val="002060"/>
      </w:rPr>
      <w:t>497</w:t>
    </w:r>
    <w:r w:rsidRPr="00306ECD">
      <w:rPr>
        <w:b/>
        <w:color w:val="002060"/>
      </w:rPr>
      <w:t>/2</w:t>
    </w:r>
    <w:r>
      <w:rPr>
        <w:b/>
        <w:color w:val="002060"/>
      </w:rPr>
      <w:t>2</w:t>
    </w:r>
  </w:p>
  <w:p w14:paraId="36A45DBD" w14:textId="77777777" w:rsidR="004E7268" w:rsidRPr="00306ECD" w:rsidRDefault="004E7268" w:rsidP="00754472">
    <w:pPr>
      <w:pStyle w:val="Encabezado"/>
      <w:ind w:left="-567" w:right="49"/>
      <w:jc w:val="right"/>
      <w:rPr>
        <w:b/>
        <w:color w:val="002060"/>
        <w:lang w:val="pt-BR"/>
      </w:rPr>
    </w:pPr>
    <w:r>
      <w:rPr>
        <w:b/>
        <w:color w:val="002060"/>
        <w:lang w:val="pt-BR"/>
      </w:rPr>
      <w:t>6</w:t>
    </w:r>
    <w:r w:rsidRPr="00306ECD">
      <w:rPr>
        <w:b/>
        <w:color w:val="002060"/>
        <w:lang w:val="pt-BR"/>
      </w:rPr>
      <w:t xml:space="preserve"> DE</w:t>
    </w:r>
    <w:r>
      <w:rPr>
        <w:b/>
        <w:color w:val="002060"/>
        <w:lang w:val="pt-BR"/>
      </w:rPr>
      <w:t xml:space="preserve"> SEPTIEMBRE </w:t>
    </w:r>
    <w:r w:rsidRPr="00306ECD">
      <w:rPr>
        <w:b/>
        <w:color w:val="002060"/>
        <w:lang w:val="pt-BR"/>
      </w:rPr>
      <w:t>DE 202</w:t>
    </w:r>
    <w:r>
      <w:rPr>
        <w:b/>
        <w:color w:val="002060"/>
        <w:lang w:val="pt-BR"/>
      </w:rPr>
      <w:t>2</w:t>
    </w:r>
  </w:p>
  <w:p w14:paraId="5AACF187" w14:textId="45AA1DA5" w:rsidR="004E7268" w:rsidRPr="00306ECD" w:rsidRDefault="004E7268"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5E5F88">
      <w:rPr>
        <w:b/>
        <w:color w:val="002060"/>
      </w:rPr>
      <w:t>8</w:t>
    </w:r>
  </w:p>
  <w:p w14:paraId="37BAA807" w14:textId="77777777" w:rsidR="004E7268" w:rsidRDefault="004E7268" w:rsidP="008B185F">
    <w:pPr>
      <w:pStyle w:val="Encabezado"/>
      <w:ind w:right="49"/>
      <w:jc w:val="center"/>
    </w:pPr>
  </w:p>
  <w:p w14:paraId="0ECCE22C" w14:textId="77777777" w:rsidR="004E7268" w:rsidRDefault="004E7268"/>
  <w:p w14:paraId="650D6C5A" w14:textId="77777777" w:rsidR="004E7268" w:rsidRDefault="004E72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799D2BF7" w:rsidR="008F2BC8" w:rsidRDefault="00137231" w:rsidP="004E7268">
    <w:pPr>
      <w:pStyle w:val="Encabezado"/>
      <w:tabs>
        <w:tab w:val="clear" w:pos="4320"/>
        <w:tab w:val="clear" w:pos="8640"/>
        <w:tab w:val="center" w:pos="2606"/>
      </w:tabs>
      <w:jc w:val="center"/>
    </w:pPr>
    <w:r>
      <w:rPr>
        <w:noProof/>
        <w:lang w:eastAsia="es-MX"/>
      </w:rPr>
      <w:drawing>
        <wp:inline distT="0" distB="0" distL="0" distR="0" wp14:anchorId="3BEE5081" wp14:editId="09E80AFD">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3FCD"/>
    <w:rsid w:val="000340C8"/>
    <w:rsid w:val="000342CC"/>
    <w:rsid w:val="0003448A"/>
    <w:rsid w:val="0003466E"/>
    <w:rsid w:val="00034A90"/>
    <w:rsid w:val="00034B65"/>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3F9D"/>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2F7"/>
    <w:rsid w:val="00122779"/>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1CF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DB"/>
    <w:rsid w:val="002C5D1A"/>
    <w:rsid w:val="002C65A9"/>
    <w:rsid w:val="002C7CDA"/>
    <w:rsid w:val="002D00B3"/>
    <w:rsid w:val="002D01B5"/>
    <w:rsid w:val="002D0AD1"/>
    <w:rsid w:val="002D16DE"/>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4FE2"/>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3EF"/>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39A"/>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75D"/>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2F4"/>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98C"/>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600"/>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A4E"/>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268"/>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0E76"/>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76D"/>
    <w:rsid w:val="005E1B90"/>
    <w:rsid w:val="005E1DFC"/>
    <w:rsid w:val="005E24E6"/>
    <w:rsid w:val="005E348D"/>
    <w:rsid w:val="005E3505"/>
    <w:rsid w:val="005E3BBD"/>
    <w:rsid w:val="005E462D"/>
    <w:rsid w:val="005E4AE4"/>
    <w:rsid w:val="005E54EE"/>
    <w:rsid w:val="005E5F4F"/>
    <w:rsid w:val="005E5F88"/>
    <w:rsid w:val="005E6179"/>
    <w:rsid w:val="005E6C21"/>
    <w:rsid w:val="005E6D7B"/>
    <w:rsid w:val="005E6FAD"/>
    <w:rsid w:val="005E7198"/>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529"/>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13"/>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5AD"/>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2A64"/>
    <w:rsid w:val="00933431"/>
    <w:rsid w:val="009342F8"/>
    <w:rsid w:val="00934409"/>
    <w:rsid w:val="009345E4"/>
    <w:rsid w:val="0093510D"/>
    <w:rsid w:val="00935556"/>
    <w:rsid w:val="00935701"/>
    <w:rsid w:val="00935C0C"/>
    <w:rsid w:val="00935DDC"/>
    <w:rsid w:val="00935F02"/>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5E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68E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614"/>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17D0E"/>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0E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28D"/>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5C2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0C1"/>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736"/>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2D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3D9"/>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26B"/>
    <w:rsid w:val="00F54ADD"/>
    <w:rsid w:val="00F54B42"/>
    <w:rsid w:val="00F55154"/>
    <w:rsid w:val="00F55652"/>
    <w:rsid w:val="00F55D9C"/>
    <w:rsid w:val="00F56453"/>
    <w:rsid w:val="00F56AD6"/>
    <w:rsid w:val="00F57CB7"/>
    <w:rsid w:val="00F60308"/>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342"/>
    <w:rsid w:val="00F90724"/>
    <w:rsid w:val="00F90750"/>
    <w:rsid w:val="00F90AD4"/>
    <w:rsid w:val="00F91196"/>
    <w:rsid w:val="00F913EF"/>
    <w:rsid w:val="00F91B11"/>
    <w:rsid w:val="00F922BC"/>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53"/>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paragraph" w:customStyle="1" w:styleId="Profesin">
    <w:name w:val="Profesión"/>
    <w:basedOn w:val="Normal"/>
    <w:rsid w:val="004E7268"/>
    <w:pPr>
      <w:widowControl/>
      <w:jc w:val="center"/>
    </w:pPr>
    <w:rPr>
      <w:rFonts w:cs="Arial"/>
      <w:b/>
      <w:bCs/>
      <w:caps/>
      <w:sz w:val="28"/>
      <w:szCs w:val="28"/>
      <w:lang w:val="es-ES_tradnl"/>
    </w:rPr>
  </w:style>
  <w:style w:type="paragraph" w:styleId="Ttulo">
    <w:name w:val="Title"/>
    <w:basedOn w:val="Normal"/>
    <w:link w:val="TtuloCar"/>
    <w:uiPriority w:val="10"/>
    <w:qFormat/>
    <w:rsid w:val="004E7268"/>
    <w:pPr>
      <w:widowControl/>
      <w:jc w:val="center"/>
    </w:pPr>
    <w:rPr>
      <w:b/>
      <w:lang w:val="es-ES"/>
    </w:rPr>
  </w:style>
  <w:style w:type="character" w:customStyle="1" w:styleId="TtuloCar">
    <w:name w:val="Título Car"/>
    <w:basedOn w:val="Fuentedeprrafopredeter"/>
    <w:link w:val="Ttulo"/>
    <w:uiPriority w:val="10"/>
    <w:rsid w:val="004E7268"/>
    <w:rPr>
      <w:rFonts w:ascii="Arial" w:hAnsi="Arial"/>
      <w:b/>
      <w:sz w:val="24"/>
    </w:rPr>
  </w:style>
  <w:style w:type="paragraph" w:customStyle="1" w:styleId="Titcuadrograf">
    <w:name w:val="Tit cuadro graf"/>
    <w:basedOn w:val="Normal"/>
    <w:link w:val="TitcuadrografCar"/>
    <w:qFormat/>
    <w:rsid w:val="004E7268"/>
    <w:pPr>
      <w:widowControl/>
      <w:ind w:left="-567"/>
      <w:jc w:val="center"/>
    </w:pPr>
    <w:rPr>
      <w:rFonts w:cs="Arial"/>
      <w:b/>
      <w:smallCaps/>
      <w:szCs w:val="24"/>
    </w:rPr>
  </w:style>
  <w:style w:type="character" w:customStyle="1" w:styleId="TitcuadrografCar">
    <w:name w:val="Tit cuadro graf Car"/>
    <w:basedOn w:val="Fuentedeprrafopredeter"/>
    <w:link w:val="Titcuadrograf"/>
    <w:rsid w:val="004E7268"/>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Consumo%20Privado\2022\06-22\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Consumo%20Privado\2022\06-22\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Consumo%20Privado\2022\06-22\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Consumo%20Privado\2022\06-22\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'!$C$5:$C$70</c:f>
              <c:numCache>
                <c:formatCode>0.0</c:formatCode>
                <c:ptCount val="66"/>
                <c:pt idx="0">
                  <c:v>113.012713771693</c:v>
                </c:pt>
                <c:pt idx="1">
                  <c:v>112.82028534282701</c:v>
                </c:pt>
                <c:pt idx="2">
                  <c:v>112.08799591774</c:v>
                </c:pt>
                <c:pt idx="3">
                  <c:v>113.19374898176601</c:v>
                </c:pt>
                <c:pt idx="4">
                  <c:v>113.212475672281</c:v>
                </c:pt>
                <c:pt idx="5">
                  <c:v>113.63361027139599</c:v>
                </c:pt>
                <c:pt idx="6">
                  <c:v>113.761298818707</c:v>
                </c:pt>
                <c:pt idx="7">
                  <c:v>113.891367040136</c:v>
                </c:pt>
                <c:pt idx="8">
                  <c:v>113.88580786005301</c:v>
                </c:pt>
                <c:pt idx="9">
                  <c:v>114.074657353959</c:v>
                </c:pt>
                <c:pt idx="10">
                  <c:v>114.35283957007</c:v>
                </c:pt>
                <c:pt idx="11">
                  <c:v>115.608784181066</c:v>
                </c:pt>
                <c:pt idx="12">
                  <c:v>114.85570127266</c:v>
                </c:pt>
                <c:pt idx="13">
                  <c:v>115.31041934646299</c:v>
                </c:pt>
                <c:pt idx="14">
                  <c:v>116.939612617611</c:v>
                </c:pt>
                <c:pt idx="15">
                  <c:v>115.485440372589</c:v>
                </c:pt>
                <c:pt idx="16">
                  <c:v>116.649738918241</c:v>
                </c:pt>
                <c:pt idx="17">
                  <c:v>116.543776567009</c:v>
                </c:pt>
                <c:pt idx="18">
                  <c:v>117.231068853688</c:v>
                </c:pt>
                <c:pt idx="19">
                  <c:v>117.506350949148</c:v>
                </c:pt>
                <c:pt idx="20">
                  <c:v>117.305335556776</c:v>
                </c:pt>
                <c:pt idx="21">
                  <c:v>116.218508317714</c:v>
                </c:pt>
                <c:pt idx="22">
                  <c:v>116.645171167201</c:v>
                </c:pt>
                <c:pt idx="23">
                  <c:v>116.561177566841</c:v>
                </c:pt>
                <c:pt idx="24">
                  <c:v>116.935181262268</c:v>
                </c:pt>
                <c:pt idx="25">
                  <c:v>117.17385277603699</c:v>
                </c:pt>
                <c:pt idx="26">
                  <c:v>115.568077334661</c:v>
                </c:pt>
                <c:pt idx="27">
                  <c:v>116.258967090637</c:v>
                </c:pt>
                <c:pt idx="28">
                  <c:v>116.383536487236</c:v>
                </c:pt>
                <c:pt idx="29">
                  <c:v>117.985121704492</c:v>
                </c:pt>
                <c:pt idx="30">
                  <c:v>118.140762764478</c:v>
                </c:pt>
                <c:pt idx="31">
                  <c:v>117.907141083529</c:v>
                </c:pt>
                <c:pt idx="32">
                  <c:v>118.119678561735</c:v>
                </c:pt>
                <c:pt idx="33">
                  <c:v>117.815175656603</c:v>
                </c:pt>
                <c:pt idx="34">
                  <c:v>117.497154341686</c:v>
                </c:pt>
                <c:pt idx="35">
                  <c:v>116.71934654074001</c:v>
                </c:pt>
                <c:pt idx="36">
                  <c:v>117.748668302901</c:v>
                </c:pt>
                <c:pt idx="37">
                  <c:v>117.020818055132</c:v>
                </c:pt>
                <c:pt idx="38">
                  <c:v>111.594792917245</c:v>
                </c:pt>
                <c:pt idx="39">
                  <c:v>88.923840910169801</c:v>
                </c:pt>
                <c:pt idx="40">
                  <c:v>87.251437877076498</c:v>
                </c:pt>
                <c:pt idx="41">
                  <c:v>94.572573780921005</c:v>
                </c:pt>
                <c:pt idx="42">
                  <c:v>100.091207097265</c:v>
                </c:pt>
                <c:pt idx="43">
                  <c:v>103.090732995728</c:v>
                </c:pt>
                <c:pt idx="44">
                  <c:v>105.727773572163</c:v>
                </c:pt>
                <c:pt idx="45">
                  <c:v>107.357074012985</c:v>
                </c:pt>
                <c:pt idx="46">
                  <c:v>108.912033545932</c:v>
                </c:pt>
                <c:pt idx="47">
                  <c:v>109.09935063555599</c:v>
                </c:pt>
                <c:pt idx="48">
                  <c:v>109.597365204181</c:v>
                </c:pt>
                <c:pt idx="49">
                  <c:v>108.65071060174</c:v>
                </c:pt>
                <c:pt idx="50">
                  <c:v>110.928243092752</c:v>
                </c:pt>
                <c:pt idx="51">
                  <c:v>112.249977926596</c:v>
                </c:pt>
                <c:pt idx="52">
                  <c:v>113.40393924954201</c:v>
                </c:pt>
                <c:pt idx="53">
                  <c:v>112.889651882786</c:v>
                </c:pt>
                <c:pt idx="54">
                  <c:v>113.19727000752199</c:v>
                </c:pt>
                <c:pt idx="55">
                  <c:v>113.297537984353</c:v>
                </c:pt>
                <c:pt idx="56">
                  <c:v>114.31447442621899</c:v>
                </c:pt>
                <c:pt idx="57">
                  <c:v>114.598134179913</c:v>
                </c:pt>
                <c:pt idx="58">
                  <c:v>115.507721959747</c:v>
                </c:pt>
                <c:pt idx="59">
                  <c:v>117.329476116555</c:v>
                </c:pt>
                <c:pt idx="60">
                  <c:v>117.903693382591</c:v>
                </c:pt>
                <c:pt idx="61">
                  <c:v>119.54605575091</c:v>
                </c:pt>
                <c:pt idx="62">
                  <c:v>120.395717558152</c:v>
                </c:pt>
                <c:pt idx="63">
                  <c:v>121.166534473496</c:v>
                </c:pt>
                <c:pt idx="64">
                  <c:v>120.40868981824499</c:v>
                </c:pt>
                <c:pt idx="65">
                  <c:v>120.57186285115399</c:v>
                </c:pt>
              </c:numCache>
            </c:numRef>
          </c:val>
          <c:extLst>
            <c:ext xmlns:c16="http://schemas.microsoft.com/office/drawing/2014/chart" uri="{C3380CC4-5D6E-409C-BE32-E72D297353CC}">
              <c16:uniqueId val="{00000000-12DA-4D44-A071-E6F19B38A73F}"/>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'!$D$5:$D$70</c:f>
              <c:numCache>
                <c:formatCode>0.0</c:formatCode>
                <c:ptCount val="66"/>
                <c:pt idx="0">
                  <c:v>112.434307270434</c:v>
                </c:pt>
                <c:pt idx="1">
                  <c:v>112.668539749017</c:v>
                </c:pt>
                <c:pt idx="2">
                  <c:v>112.86176520345001</c:v>
                </c:pt>
                <c:pt idx="3">
                  <c:v>113.047812549364</c:v>
                </c:pt>
                <c:pt idx="4">
                  <c:v>113.249000642444</c:v>
                </c:pt>
                <c:pt idx="5">
                  <c:v>113.444091302584</c:v>
                </c:pt>
                <c:pt idx="6">
                  <c:v>113.650686737543</c:v>
                </c:pt>
                <c:pt idx="7">
                  <c:v>113.85373039887899</c:v>
                </c:pt>
                <c:pt idx="8">
                  <c:v>114.02955870259601</c:v>
                </c:pt>
                <c:pt idx="9">
                  <c:v>114.257430918835</c:v>
                </c:pt>
                <c:pt idx="10">
                  <c:v>114.56628383889201</c:v>
                </c:pt>
                <c:pt idx="11">
                  <c:v>114.925064052601</c:v>
                </c:pt>
                <c:pt idx="12">
                  <c:v>115.292693509914</c:v>
                </c:pt>
                <c:pt idx="13">
                  <c:v>115.628055862634</c:v>
                </c:pt>
                <c:pt idx="14">
                  <c:v>115.931910029878</c:v>
                </c:pt>
                <c:pt idx="15">
                  <c:v>116.243881777418</c:v>
                </c:pt>
                <c:pt idx="16">
                  <c:v>116.55979315840101</c:v>
                </c:pt>
                <c:pt idx="17">
                  <c:v>116.83745509289901</c:v>
                </c:pt>
                <c:pt idx="18">
                  <c:v>117.011272766251</c:v>
                </c:pt>
                <c:pt idx="19">
                  <c:v>117.040779180323</c:v>
                </c:pt>
                <c:pt idx="20">
                  <c:v>117.003703351781</c:v>
                </c:pt>
                <c:pt idx="21">
                  <c:v>116.91593162158</c:v>
                </c:pt>
                <c:pt idx="22">
                  <c:v>116.785318171995</c:v>
                </c:pt>
                <c:pt idx="23">
                  <c:v>116.641894340642</c:v>
                </c:pt>
                <c:pt idx="24">
                  <c:v>116.496541950305</c:v>
                </c:pt>
                <c:pt idx="25">
                  <c:v>116.41581226864101</c:v>
                </c:pt>
                <c:pt idx="26">
                  <c:v>116.43900103915099</c:v>
                </c:pt>
                <c:pt idx="27">
                  <c:v>116.60234986736199</c:v>
                </c:pt>
                <c:pt idx="28">
                  <c:v>116.91898202970501</c:v>
                </c:pt>
                <c:pt idx="29">
                  <c:v>117.35476505347501</c:v>
                </c:pt>
                <c:pt idx="30">
                  <c:v>117.74818095870999</c:v>
                </c:pt>
                <c:pt idx="31">
                  <c:v>117.975004318003</c:v>
                </c:pt>
                <c:pt idx="32">
                  <c:v>117.95327858096999</c:v>
                </c:pt>
                <c:pt idx="33">
                  <c:v>117.73482084566</c:v>
                </c:pt>
                <c:pt idx="34">
                  <c:v>117.483149165801</c:v>
                </c:pt>
                <c:pt idx="35">
                  <c:v>117.321844460577</c:v>
                </c:pt>
                <c:pt idx="36">
                  <c:v>117.32831522734701</c:v>
                </c:pt>
                <c:pt idx="37">
                  <c:v>117.48446896114</c:v>
                </c:pt>
                <c:pt idx="38">
                  <c:v>111.351451914557</c:v>
                </c:pt>
                <c:pt idx="39">
                  <c:v>102.14890091475699</c:v>
                </c:pt>
                <c:pt idx="40">
                  <c:v>102.561498816713</c:v>
                </c:pt>
                <c:pt idx="41">
                  <c:v>103.11442967107</c:v>
                </c:pt>
                <c:pt idx="42">
                  <c:v>103.87892041902499</c:v>
                </c:pt>
                <c:pt idx="43">
                  <c:v>104.863339230297</c:v>
                </c:pt>
                <c:pt idx="44">
                  <c:v>105.988707160019</c:v>
                </c:pt>
                <c:pt idx="45">
                  <c:v>107.139879474236</c:v>
                </c:pt>
                <c:pt idx="46">
                  <c:v>108.178327937877</c:v>
                </c:pt>
                <c:pt idx="47">
                  <c:v>109.080524828119</c:v>
                </c:pt>
                <c:pt idx="48">
                  <c:v>109.88061155998101</c:v>
                </c:pt>
                <c:pt idx="49">
                  <c:v>110.63247747721699</c:v>
                </c:pt>
                <c:pt idx="50">
                  <c:v>111.348414437031</c:v>
                </c:pt>
                <c:pt idx="51">
                  <c:v>112.011548612838</c:v>
                </c:pt>
                <c:pt idx="52">
                  <c:v>112.581544878724</c:v>
                </c:pt>
                <c:pt idx="53">
                  <c:v>113.002737043352</c:v>
                </c:pt>
                <c:pt idx="54">
                  <c:v>113.31846996927101</c:v>
                </c:pt>
                <c:pt idx="55">
                  <c:v>113.64973669976099</c:v>
                </c:pt>
                <c:pt idx="56">
                  <c:v>114.132260396733</c:v>
                </c:pt>
                <c:pt idx="57">
                  <c:v>114.85793627743099</c:v>
                </c:pt>
                <c:pt idx="58">
                  <c:v>115.861339055895</c:v>
                </c:pt>
                <c:pt idx="59">
                  <c:v>117.04209589836699</c:v>
                </c:pt>
                <c:pt idx="60">
                  <c:v>118.226641164686</c:v>
                </c:pt>
                <c:pt idx="61">
                  <c:v>119.269289172466</c:v>
                </c:pt>
                <c:pt idx="62">
                  <c:v>120.043497097306</c:v>
                </c:pt>
                <c:pt idx="63">
                  <c:v>120.519509233053</c:v>
                </c:pt>
                <c:pt idx="64">
                  <c:v>120.763756087096</c:v>
                </c:pt>
                <c:pt idx="65">
                  <c:v>120.92564273796501</c:v>
                </c:pt>
              </c:numCache>
            </c:numRef>
          </c:val>
          <c:smooth val="0"/>
          <c:extLst>
            <c:ext xmlns:c16="http://schemas.microsoft.com/office/drawing/2014/chart" uri="{C3380CC4-5D6E-409C-BE32-E72D297353CC}">
              <c16:uniqueId val="{00000001-12DA-4D44-A071-E6F19B38A73F}"/>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'!$C$5:$C$70</c:f>
              <c:numCache>
                <c:formatCode>0.0</c:formatCode>
                <c:ptCount val="66"/>
                <c:pt idx="0">
                  <c:v>113.012713771693</c:v>
                </c:pt>
                <c:pt idx="1">
                  <c:v>112.82028534282701</c:v>
                </c:pt>
                <c:pt idx="2">
                  <c:v>112.08799591774</c:v>
                </c:pt>
                <c:pt idx="3">
                  <c:v>113.19374898176601</c:v>
                </c:pt>
                <c:pt idx="4">
                  <c:v>113.212475672281</c:v>
                </c:pt>
                <c:pt idx="5">
                  <c:v>113.63361027139599</c:v>
                </c:pt>
                <c:pt idx="6">
                  <c:v>113.761298818707</c:v>
                </c:pt>
                <c:pt idx="7">
                  <c:v>113.891367040136</c:v>
                </c:pt>
                <c:pt idx="8">
                  <c:v>113.88580786005301</c:v>
                </c:pt>
                <c:pt idx="9">
                  <c:v>114.074657353959</c:v>
                </c:pt>
                <c:pt idx="10">
                  <c:v>114.35283957007</c:v>
                </c:pt>
                <c:pt idx="11">
                  <c:v>115.608784181066</c:v>
                </c:pt>
                <c:pt idx="12">
                  <c:v>114.85570127266</c:v>
                </c:pt>
                <c:pt idx="13">
                  <c:v>115.31041934646299</c:v>
                </c:pt>
                <c:pt idx="14">
                  <c:v>116.939612617611</c:v>
                </c:pt>
                <c:pt idx="15">
                  <c:v>115.485440372589</c:v>
                </c:pt>
                <c:pt idx="16">
                  <c:v>116.649738918241</c:v>
                </c:pt>
                <c:pt idx="17">
                  <c:v>116.543776567009</c:v>
                </c:pt>
                <c:pt idx="18">
                  <c:v>117.231068853688</c:v>
                </c:pt>
                <c:pt idx="19">
                  <c:v>117.506350949148</c:v>
                </c:pt>
                <c:pt idx="20">
                  <c:v>117.305335556776</c:v>
                </c:pt>
                <c:pt idx="21">
                  <c:v>116.218508317714</c:v>
                </c:pt>
                <c:pt idx="22">
                  <c:v>116.645171167201</c:v>
                </c:pt>
                <c:pt idx="23">
                  <c:v>116.561177566841</c:v>
                </c:pt>
                <c:pt idx="24">
                  <c:v>116.935181262268</c:v>
                </c:pt>
                <c:pt idx="25">
                  <c:v>117.17385277603699</c:v>
                </c:pt>
                <c:pt idx="26">
                  <c:v>115.568077334661</c:v>
                </c:pt>
                <c:pt idx="27">
                  <c:v>116.258967090637</c:v>
                </c:pt>
                <c:pt idx="28">
                  <c:v>116.383536487236</c:v>
                </c:pt>
                <c:pt idx="29">
                  <c:v>117.985121704492</c:v>
                </c:pt>
                <c:pt idx="30">
                  <c:v>118.140762764478</c:v>
                </c:pt>
                <c:pt idx="31">
                  <c:v>117.907141083529</c:v>
                </c:pt>
                <c:pt idx="32">
                  <c:v>118.119678561735</c:v>
                </c:pt>
                <c:pt idx="33">
                  <c:v>117.815175656603</c:v>
                </c:pt>
                <c:pt idx="34">
                  <c:v>117.497154341686</c:v>
                </c:pt>
                <c:pt idx="35">
                  <c:v>116.71934654074001</c:v>
                </c:pt>
                <c:pt idx="36">
                  <c:v>117.748668302901</c:v>
                </c:pt>
                <c:pt idx="37">
                  <c:v>117.020818055132</c:v>
                </c:pt>
                <c:pt idx="38">
                  <c:v>111.594792917245</c:v>
                </c:pt>
                <c:pt idx="39">
                  <c:v>88.923840910169801</c:v>
                </c:pt>
                <c:pt idx="40">
                  <c:v>87.251437877076498</c:v>
                </c:pt>
                <c:pt idx="41">
                  <c:v>94.572573780921005</c:v>
                </c:pt>
                <c:pt idx="42">
                  <c:v>100.091207097265</c:v>
                </c:pt>
                <c:pt idx="43">
                  <c:v>103.090732995728</c:v>
                </c:pt>
                <c:pt idx="44">
                  <c:v>105.727773572163</c:v>
                </c:pt>
                <c:pt idx="45">
                  <c:v>107.357074012985</c:v>
                </c:pt>
                <c:pt idx="46">
                  <c:v>108.912033545932</c:v>
                </c:pt>
                <c:pt idx="47">
                  <c:v>109.09935063555599</c:v>
                </c:pt>
                <c:pt idx="48">
                  <c:v>109.597365204181</c:v>
                </c:pt>
                <c:pt idx="49">
                  <c:v>108.65071060174</c:v>
                </c:pt>
                <c:pt idx="50">
                  <c:v>110.928243092752</c:v>
                </c:pt>
                <c:pt idx="51">
                  <c:v>112.249977926596</c:v>
                </c:pt>
                <c:pt idx="52">
                  <c:v>113.40393924954201</c:v>
                </c:pt>
                <c:pt idx="53">
                  <c:v>112.889651882786</c:v>
                </c:pt>
                <c:pt idx="54">
                  <c:v>113.19727000752199</c:v>
                </c:pt>
                <c:pt idx="55">
                  <c:v>113.297537984353</c:v>
                </c:pt>
                <c:pt idx="56">
                  <c:v>114.31447442621899</c:v>
                </c:pt>
                <c:pt idx="57">
                  <c:v>114.598134179913</c:v>
                </c:pt>
                <c:pt idx="58">
                  <c:v>115.507721959747</c:v>
                </c:pt>
                <c:pt idx="59">
                  <c:v>117.329476116555</c:v>
                </c:pt>
                <c:pt idx="60">
                  <c:v>117.903693382591</c:v>
                </c:pt>
                <c:pt idx="61">
                  <c:v>119.54605575091</c:v>
                </c:pt>
                <c:pt idx="62">
                  <c:v>120.395717558152</c:v>
                </c:pt>
                <c:pt idx="63">
                  <c:v>121.166534473496</c:v>
                </c:pt>
                <c:pt idx="64">
                  <c:v>120.40868981824499</c:v>
                </c:pt>
                <c:pt idx="65">
                  <c:v>120.57186285115399</c:v>
                </c:pt>
              </c:numCache>
            </c:numRef>
          </c:val>
          <c:extLst>
            <c:ext xmlns:c16="http://schemas.microsoft.com/office/drawing/2014/chart" uri="{C3380CC4-5D6E-409C-BE32-E72D297353CC}">
              <c16:uniqueId val="{00000000-760B-4892-B15C-A7FDD7462B90}"/>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'!$D$5:$D$70</c:f>
              <c:numCache>
                <c:formatCode>0.0</c:formatCode>
                <c:ptCount val="66"/>
                <c:pt idx="0">
                  <c:v>112.434307270434</c:v>
                </c:pt>
                <c:pt idx="1">
                  <c:v>112.668539749017</c:v>
                </c:pt>
                <c:pt idx="2">
                  <c:v>112.86176520345001</c:v>
                </c:pt>
                <c:pt idx="3">
                  <c:v>113.047812549364</c:v>
                </c:pt>
                <c:pt idx="4">
                  <c:v>113.249000642444</c:v>
                </c:pt>
                <c:pt idx="5">
                  <c:v>113.444091302584</c:v>
                </c:pt>
                <c:pt idx="6">
                  <c:v>113.650686737543</c:v>
                </c:pt>
                <c:pt idx="7">
                  <c:v>113.85373039887899</c:v>
                </c:pt>
                <c:pt idx="8">
                  <c:v>114.02955870259601</c:v>
                </c:pt>
                <c:pt idx="9">
                  <c:v>114.257430918835</c:v>
                </c:pt>
                <c:pt idx="10">
                  <c:v>114.56628383889201</c:v>
                </c:pt>
                <c:pt idx="11">
                  <c:v>114.925064052601</c:v>
                </c:pt>
                <c:pt idx="12">
                  <c:v>115.292693509914</c:v>
                </c:pt>
                <c:pt idx="13">
                  <c:v>115.628055862634</c:v>
                </c:pt>
                <c:pt idx="14">
                  <c:v>115.931910029878</c:v>
                </c:pt>
                <c:pt idx="15">
                  <c:v>116.243881777418</c:v>
                </c:pt>
                <c:pt idx="16">
                  <c:v>116.55979315840101</c:v>
                </c:pt>
                <c:pt idx="17">
                  <c:v>116.83745509289901</c:v>
                </c:pt>
                <c:pt idx="18">
                  <c:v>117.011272766251</c:v>
                </c:pt>
                <c:pt idx="19">
                  <c:v>117.040779180323</c:v>
                </c:pt>
                <c:pt idx="20">
                  <c:v>117.003703351781</c:v>
                </c:pt>
                <c:pt idx="21">
                  <c:v>116.91593162158</c:v>
                </c:pt>
                <c:pt idx="22">
                  <c:v>116.785318171995</c:v>
                </c:pt>
                <c:pt idx="23">
                  <c:v>116.641894340642</c:v>
                </c:pt>
                <c:pt idx="24">
                  <c:v>116.496541950305</c:v>
                </c:pt>
                <c:pt idx="25">
                  <c:v>116.41581226864101</c:v>
                </c:pt>
                <c:pt idx="26">
                  <c:v>116.43900103915099</c:v>
                </c:pt>
                <c:pt idx="27">
                  <c:v>116.60234986736199</c:v>
                </c:pt>
                <c:pt idx="28">
                  <c:v>116.91898202970501</c:v>
                </c:pt>
                <c:pt idx="29">
                  <c:v>117.35476505347501</c:v>
                </c:pt>
                <c:pt idx="30">
                  <c:v>117.74818095870999</c:v>
                </c:pt>
                <c:pt idx="31">
                  <c:v>117.975004318003</c:v>
                </c:pt>
                <c:pt idx="32">
                  <c:v>117.95327858096999</c:v>
                </c:pt>
                <c:pt idx="33">
                  <c:v>117.73482084566</c:v>
                </c:pt>
                <c:pt idx="34">
                  <c:v>117.483149165801</c:v>
                </c:pt>
                <c:pt idx="35">
                  <c:v>117.321844460577</c:v>
                </c:pt>
                <c:pt idx="36">
                  <c:v>117.32831522734701</c:v>
                </c:pt>
                <c:pt idx="37">
                  <c:v>117.48446896114</c:v>
                </c:pt>
                <c:pt idx="38">
                  <c:v>111.351451914557</c:v>
                </c:pt>
                <c:pt idx="39">
                  <c:v>102.14890091475699</c:v>
                </c:pt>
                <c:pt idx="40">
                  <c:v>102.561498816713</c:v>
                </c:pt>
                <c:pt idx="41">
                  <c:v>103.11442967107</c:v>
                </c:pt>
                <c:pt idx="42">
                  <c:v>103.87892041902499</c:v>
                </c:pt>
                <c:pt idx="43">
                  <c:v>104.863339230297</c:v>
                </c:pt>
                <c:pt idx="44">
                  <c:v>105.988707160019</c:v>
                </c:pt>
                <c:pt idx="45">
                  <c:v>107.139879474236</c:v>
                </c:pt>
                <c:pt idx="46">
                  <c:v>108.178327937877</c:v>
                </c:pt>
                <c:pt idx="47">
                  <c:v>109.080524828119</c:v>
                </c:pt>
                <c:pt idx="48">
                  <c:v>109.88061155998101</c:v>
                </c:pt>
                <c:pt idx="49">
                  <c:v>110.63247747721699</c:v>
                </c:pt>
                <c:pt idx="50">
                  <c:v>111.348414437031</c:v>
                </c:pt>
                <c:pt idx="51">
                  <c:v>112.011548612838</c:v>
                </c:pt>
                <c:pt idx="52">
                  <c:v>112.581544878724</c:v>
                </c:pt>
                <c:pt idx="53">
                  <c:v>113.002737043352</c:v>
                </c:pt>
                <c:pt idx="54">
                  <c:v>113.31846996927101</c:v>
                </c:pt>
                <c:pt idx="55">
                  <c:v>113.64973669976099</c:v>
                </c:pt>
                <c:pt idx="56">
                  <c:v>114.132260396733</c:v>
                </c:pt>
                <c:pt idx="57">
                  <c:v>114.85793627743099</c:v>
                </c:pt>
                <c:pt idx="58">
                  <c:v>115.861339055895</c:v>
                </c:pt>
                <c:pt idx="59">
                  <c:v>117.04209589836699</c:v>
                </c:pt>
                <c:pt idx="60">
                  <c:v>118.226641164686</c:v>
                </c:pt>
                <c:pt idx="61">
                  <c:v>119.269289172466</c:v>
                </c:pt>
                <c:pt idx="62">
                  <c:v>120.043497097306</c:v>
                </c:pt>
                <c:pt idx="63">
                  <c:v>120.519509233053</c:v>
                </c:pt>
                <c:pt idx="64">
                  <c:v>120.763756087096</c:v>
                </c:pt>
                <c:pt idx="65">
                  <c:v>120.92564273796501</c:v>
                </c:pt>
              </c:numCache>
            </c:numRef>
          </c:val>
          <c:smooth val="0"/>
          <c:extLst>
            <c:ext xmlns:c16="http://schemas.microsoft.com/office/drawing/2014/chart" uri="{C3380CC4-5D6E-409C-BE32-E72D297353CC}">
              <c16:uniqueId val="{00000001-760B-4892-B15C-A7FDD7462B90}"/>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'!$E$5:$E$70</c:f>
              <c:numCache>
                <c:formatCode>0.0</c:formatCode>
                <c:ptCount val="66"/>
                <c:pt idx="0">
                  <c:v>113.228332581876</c:v>
                </c:pt>
                <c:pt idx="1">
                  <c:v>112.504281642834</c:v>
                </c:pt>
                <c:pt idx="2">
                  <c:v>111.62852478172201</c:v>
                </c:pt>
                <c:pt idx="3">
                  <c:v>113.03515292123799</c:v>
                </c:pt>
                <c:pt idx="4">
                  <c:v>112.449412062791</c:v>
                </c:pt>
                <c:pt idx="5">
                  <c:v>112.78089971599201</c:v>
                </c:pt>
                <c:pt idx="6">
                  <c:v>113.167869646201</c:v>
                </c:pt>
                <c:pt idx="7">
                  <c:v>113.42363118419399</c:v>
                </c:pt>
                <c:pt idx="8">
                  <c:v>113.40882584926899</c:v>
                </c:pt>
                <c:pt idx="9">
                  <c:v>113.823418471943</c:v>
                </c:pt>
                <c:pt idx="10">
                  <c:v>114.15387749289</c:v>
                </c:pt>
                <c:pt idx="11">
                  <c:v>114.99572795167801</c:v>
                </c:pt>
                <c:pt idx="12">
                  <c:v>114.426528052542</c:v>
                </c:pt>
                <c:pt idx="13">
                  <c:v>115.116866162218</c:v>
                </c:pt>
                <c:pt idx="14">
                  <c:v>116.324384830421</c:v>
                </c:pt>
                <c:pt idx="15">
                  <c:v>114.95240054154699</c:v>
                </c:pt>
                <c:pt idx="16">
                  <c:v>116.27802671192801</c:v>
                </c:pt>
                <c:pt idx="17">
                  <c:v>116.05072280427299</c:v>
                </c:pt>
                <c:pt idx="18">
                  <c:v>117.019596676489</c:v>
                </c:pt>
                <c:pt idx="19">
                  <c:v>116.703646559045</c:v>
                </c:pt>
                <c:pt idx="20">
                  <c:v>116.747323855356</c:v>
                </c:pt>
                <c:pt idx="21">
                  <c:v>115.513567871367</c:v>
                </c:pt>
                <c:pt idx="22">
                  <c:v>116.139116833594</c:v>
                </c:pt>
                <c:pt idx="23">
                  <c:v>116.291014634763</c:v>
                </c:pt>
                <c:pt idx="24">
                  <c:v>116.218952567706</c:v>
                </c:pt>
                <c:pt idx="25">
                  <c:v>116.727127341006</c:v>
                </c:pt>
                <c:pt idx="26">
                  <c:v>115.55163910843601</c:v>
                </c:pt>
                <c:pt idx="27">
                  <c:v>115.27117252901201</c:v>
                </c:pt>
                <c:pt idx="28">
                  <c:v>115.907934349738</c:v>
                </c:pt>
                <c:pt idx="29">
                  <c:v>117.73541235577299</c:v>
                </c:pt>
                <c:pt idx="30">
                  <c:v>117.23429202250399</c:v>
                </c:pt>
                <c:pt idx="31">
                  <c:v>117.08550443825</c:v>
                </c:pt>
                <c:pt idx="32">
                  <c:v>116.625430750231</c:v>
                </c:pt>
                <c:pt idx="33">
                  <c:v>116.04620827085</c:v>
                </c:pt>
                <c:pt idx="34">
                  <c:v>116.740168531649</c:v>
                </c:pt>
                <c:pt idx="35">
                  <c:v>115.940630580884</c:v>
                </c:pt>
                <c:pt idx="36">
                  <c:v>116.812991079312</c:v>
                </c:pt>
                <c:pt idx="37">
                  <c:v>116.715527743221</c:v>
                </c:pt>
                <c:pt idx="38">
                  <c:v>112.187158413598</c:v>
                </c:pt>
                <c:pt idx="39">
                  <c:v>89.067549474524398</c:v>
                </c:pt>
                <c:pt idx="40">
                  <c:v>87.9605316426331</c:v>
                </c:pt>
                <c:pt idx="41">
                  <c:v>94.876863271097307</c:v>
                </c:pt>
                <c:pt idx="42">
                  <c:v>99.995780510315299</c:v>
                </c:pt>
                <c:pt idx="43">
                  <c:v>102.294936128168</c:v>
                </c:pt>
                <c:pt idx="44">
                  <c:v>105.331300625143</c:v>
                </c:pt>
                <c:pt idx="45">
                  <c:v>107.09953527540701</c:v>
                </c:pt>
                <c:pt idx="46">
                  <c:v>107.428625251824</c:v>
                </c:pt>
                <c:pt idx="47">
                  <c:v>107.281928826769</c:v>
                </c:pt>
                <c:pt idx="48">
                  <c:v>107.60027236628601</c:v>
                </c:pt>
                <c:pt idx="49">
                  <c:v>107.18427638330699</c:v>
                </c:pt>
                <c:pt idx="50">
                  <c:v>108.55870645591099</c:v>
                </c:pt>
                <c:pt idx="51">
                  <c:v>110.769588553581</c:v>
                </c:pt>
                <c:pt idx="52">
                  <c:v>111.042416142855</c:v>
                </c:pt>
                <c:pt idx="53">
                  <c:v>110.61649552367</c:v>
                </c:pt>
                <c:pt idx="54">
                  <c:v>110.771011738464</c:v>
                </c:pt>
                <c:pt idx="55">
                  <c:v>111.004734455991</c:v>
                </c:pt>
                <c:pt idx="56">
                  <c:v>112.0698597259</c:v>
                </c:pt>
                <c:pt idx="57">
                  <c:v>112.13503575092901</c:v>
                </c:pt>
                <c:pt idx="58">
                  <c:v>112.828156417489</c:v>
                </c:pt>
                <c:pt idx="59">
                  <c:v>114.611583602172</c:v>
                </c:pt>
                <c:pt idx="60">
                  <c:v>115.272569407482</c:v>
                </c:pt>
                <c:pt idx="61">
                  <c:v>116.47576790452599</c:v>
                </c:pt>
                <c:pt idx="62">
                  <c:v>117.069872494439</c:v>
                </c:pt>
                <c:pt idx="63">
                  <c:v>117.49990298014301</c:v>
                </c:pt>
                <c:pt idx="64">
                  <c:v>116.72809780938</c:v>
                </c:pt>
                <c:pt idx="65">
                  <c:v>116.453042958919</c:v>
                </c:pt>
              </c:numCache>
            </c:numRef>
          </c:val>
          <c:extLst>
            <c:ext xmlns:c16="http://schemas.microsoft.com/office/drawing/2014/chart" uri="{C3380CC4-5D6E-409C-BE32-E72D297353CC}">
              <c16:uniqueId val="{00000000-4F94-4086-BCFB-0F8AB99D59B0}"/>
            </c:ext>
          </c:extLst>
        </c:ser>
        <c:dLbls>
          <c:showLegendKey val="0"/>
          <c:showVal val="0"/>
          <c:showCatName val="0"/>
          <c:showSerName val="0"/>
          <c:showPercent val="0"/>
          <c:showBubbleSize val="0"/>
        </c:dLbls>
        <c:gapWidth val="10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'!$F$5:$F$70</c:f>
              <c:numCache>
                <c:formatCode>0.0</c:formatCode>
                <c:ptCount val="66"/>
                <c:pt idx="0">
                  <c:v>112.468515844574</c:v>
                </c:pt>
                <c:pt idx="1">
                  <c:v>112.5270351084</c:v>
                </c:pt>
                <c:pt idx="2">
                  <c:v>112.52850903472699</c:v>
                </c:pt>
                <c:pt idx="3">
                  <c:v>112.550879788174</c:v>
                </c:pt>
                <c:pt idx="4">
                  <c:v>112.645248529616</c:v>
                </c:pt>
                <c:pt idx="5">
                  <c:v>112.805260260878</c:v>
                </c:pt>
                <c:pt idx="6">
                  <c:v>113.04565937262301</c:v>
                </c:pt>
                <c:pt idx="7">
                  <c:v>113.320960525225</c:v>
                </c:pt>
                <c:pt idx="8">
                  <c:v>113.57880082371</c:v>
                </c:pt>
                <c:pt idx="9">
                  <c:v>113.877793213808</c:v>
                </c:pt>
                <c:pt idx="10">
                  <c:v>114.21700446785501</c:v>
                </c:pt>
                <c:pt idx="11">
                  <c:v>114.559122080688</c:v>
                </c:pt>
                <c:pt idx="12">
                  <c:v>114.887787322067</c:v>
                </c:pt>
                <c:pt idx="13">
                  <c:v>115.1952450811</c:v>
                </c:pt>
                <c:pt idx="14">
                  <c:v>115.487421621512</c:v>
                </c:pt>
                <c:pt idx="15">
                  <c:v>115.800845298727</c:v>
                </c:pt>
                <c:pt idx="16">
                  <c:v>116.113931434219</c:v>
                </c:pt>
                <c:pt idx="17">
                  <c:v>116.36357713301599</c:v>
                </c:pt>
                <c:pt idx="18">
                  <c:v>116.499784591642</c:v>
                </c:pt>
                <c:pt idx="19">
                  <c:v>116.498625528228</c:v>
                </c:pt>
                <c:pt idx="20">
                  <c:v>116.43041093269299</c:v>
                </c:pt>
                <c:pt idx="21">
                  <c:v>116.340029644499</c:v>
                </c:pt>
                <c:pt idx="22">
                  <c:v>116.242898140702</c:v>
                </c:pt>
                <c:pt idx="23">
                  <c:v>116.141249244793</c:v>
                </c:pt>
                <c:pt idx="24">
                  <c:v>116.034053933281</c:v>
                </c:pt>
                <c:pt idx="25">
                  <c:v>115.97411328293001</c:v>
                </c:pt>
                <c:pt idx="26">
                  <c:v>116.000160284581</c:v>
                </c:pt>
                <c:pt idx="27">
                  <c:v>116.15446840734199</c:v>
                </c:pt>
                <c:pt idx="28">
                  <c:v>116.401761331632</c:v>
                </c:pt>
                <c:pt idx="29">
                  <c:v>116.69436749985</c:v>
                </c:pt>
                <c:pt idx="30">
                  <c:v>116.896241426695</c:v>
                </c:pt>
                <c:pt idx="31">
                  <c:v>116.926093728688</c:v>
                </c:pt>
                <c:pt idx="32">
                  <c:v>116.780223464842</c:v>
                </c:pt>
                <c:pt idx="33">
                  <c:v>116.54139348638</c:v>
                </c:pt>
                <c:pt idx="34">
                  <c:v>116.37528385182701</c:v>
                </c:pt>
                <c:pt idx="35">
                  <c:v>116.380374592279</c:v>
                </c:pt>
                <c:pt idx="36">
                  <c:v>116.555247287081</c:v>
                </c:pt>
                <c:pt idx="37">
                  <c:v>116.813933547213</c:v>
                </c:pt>
                <c:pt idx="38">
                  <c:v>112.158846647804</c:v>
                </c:pt>
                <c:pt idx="39">
                  <c:v>102.35839790089901</c:v>
                </c:pt>
                <c:pt idx="40">
                  <c:v>102.70202973636199</c:v>
                </c:pt>
                <c:pt idx="41">
                  <c:v>103.1901982281</c:v>
                </c:pt>
                <c:pt idx="42">
                  <c:v>103.855565737308</c:v>
                </c:pt>
                <c:pt idx="43">
                  <c:v>104.690798048346</c:v>
                </c:pt>
                <c:pt idx="44">
                  <c:v>105.56818162435999</c:v>
                </c:pt>
                <c:pt idx="45">
                  <c:v>106.33603767453</c:v>
                </c:pt>
                <c:pt idx="46">
                  <c:v>106.911162667296</c:v>
                </c:pt>
                <c:pt idx="47">
                  <c:v>107.348928206816</c:v>
                </c:pt>
                <c:pt idx="48">
                  <c:v>107.775119274538</c:v>
                </c:pt>
                <c:pt idx="49">
                  <c:v>108.297224187061</c:v>
                </c:pt>
                <c:pt idx="50">
                  <c:v>108.93362167052599</c:v>
                </c:pt>
                <c:pt idx="51">
                  <c:v>109.62295555732901</c:v>
                </c:pt>
                <c:pt idx="52">
                  <c:v>110.259613217131</c:v>
                </c:pt>
                <c:pt idx="53">
                  <c:v>110.724229851966</c:v>
                </c:pt>
                <c:pt idx="54">
                  <c:v>111.039810808341</c:v>
                </c:pt>
                <c:pt idx="55">
                  <c:v>111.32700581701999</c:v>
                </c:pt>
                <c:pt idx="56">
                  <c:v>111.744388474049</c:v>
                </c:pt>
                <c:pt idx="57">
                  <c:v>112.408440789704</c:v>
                </c:pt>
                <c:pt idx="58">
                  <c:v>113.320322071559</c:v>
                </c:pt>
                <c:pt idx="59">
                  <c:v>114.36501424554901</c:v>
                </c:pt>
                <c:pt idx="60">
                  <c:v>115.37184595770501</c:v>
                </c:pt>
                <c:pt idx="61">
                  <c:v>116.20021611697599</c:v>
                </c:pt>
                <c:pt idx="62">
                  <c:v>116.732591847845</c:v>
                </c:pt>
                <c:pt idx="63">
                  <c:v>116.95857942743901</c:v>
                </c:pt>
                <c:pt idx="64">
                  <c:v>116.974231803981</c:v>
                </c:pt>
                <c:pt idx="65">
                  <c:v>116.956201974276</c:v>
                </c:pt>
              </c:numCache>
            </c:numRef>
          </c:val>
          <c:smooth val="0"/>
          <c:extLst>
            <c:ext xmlns:c16="http://schemas.microsoft.com/office/drawing/2014/chart" uri="{C3380CC4-5D6E-409C-BE32-E72D297353CC}">
              <c16:uniqueId val="{00000001-4F94-4086-BCFB-0F8AB99D59B0}"/>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'!$K$5:$K$70</c:f>
              <c:numCache>
                <c:formatCode>0.0</c:formatCode>
                <c:ptCount val="66"/>
                <c:pt idx="0">
                  <c:v>109.091968518774</c:v>
                </c:pt>
                <c:pt idx="1">
                  <c:v>115.02876866603</c:v>
                </c:pt>
                <c:pt idx="2">
                  <c:v>116.189801514762</c:v>
                </c:pt>
                <c:pt idx="3">
                  <c:v>116.491841714922</c:v>
                </c:pt>
                <c:pt idx="4">
                  <c:v>119.21266772887201</c:v>
                </c:pt>
                <c:pt idx="5">
                  <c:v>122.877038025678</c:v>
                </c:pt>
                <c:pt idx="6">
                  <c:v>119.862139492955</c:v>
                </c:pt>
                <c:pt idx="7">
                  <c:v>117.28719760251199</c:v>
                </c:pt>
                <c:pt idx="8">
                  <c:v>116.818323101389</c:v>
                </c:pt>
                <c:pt idx="9">
                  <c:v>116.19540068111699</c:v>
                </c:pt>
                <c:pt idx="10">
                  <c:v>115.754817051188</c:v>
                </c:pt>
                <c:pt idx="11">
                  <c:v>123.23341308668699</c:v>
                </c:pt>
                <c:pt idx="12">
                  <c:v>116.73254475518701</c:v>
                </c:pt>
                <c:pt idx="13">
                  <c:v>116.709028463607</c:v>
                </c:pt>
                <c:pt idx="14">
                  <c:v>124.926543181011</c:v>
                </c:pt>
                <c:pt idx="15">
                  <c:v>120.122433914683</c:v>
                </c:pt>
                <c:pt idx="16">
                  <c:v>120.044157178577</c:v>
                </c:pt>
                <c:pt idx="17">
                  <c:v>121.455921030817</c:v>
                </c:pt>
                <c:pt idx="18">
                  <c:v>119.284647843672</c:v>
                </c:pt>
                <c:pt idx="19">
                  <c:v>124.047217897997</c:v>
                </c:pt>
                <c:pt idx="20">
                  <c:v>122.89199096914901</c:v>
                </c:pt>
                <c:pt idx="21">
                  <c:v>119.812406534172</c:v>
                </c:pt>
                <c:pt idx="22">
                  <c:v>121.02446482642</c:v>
                </c:pt>
                <c:pt idx="23">
                  <c:v>119.401614972088</c:v>
                </c:pt>
                <c:pt idx="24">
                  <c:v>123.29018021652701</c:v>
                </c:pt>
                <c:pt idx="25">
                  <c:v>121.37578136506799</c:v>
                </c:pt>
                <c:pt idx="26">
                  <c:v>117.718306186832</c:v>
                </c:pt>
                <c:pt idx="27">
                  <c:v>124.078066121064</c:v>
                </c:pt>
                <c:pt idx="28">
                  <c:v>121.422652206243</c:v>
                </c:pt>
                <c:pt idx="29">
                  <c:v>121.497234376585</c:v>
                </c:pt>
                <c:pt idx="30">
                  <c:v>125.116318676948</c:v>
                </c:pt>
                <c:pt idx="31">
                  <c:v>125.126334174587</c:v>
                </c:pt>
                <c:pt idx="32">
                  <c:v>131.082269638887</c:v>
                </c:pt>
                <c:pt idx="33">
                  <c:v>130.622261087851</c:v>
                </c:pt>
                <c:pt idx="34">
                  <c:v>123.963023199124</c:v>
                </c:pt>
                <c:pt idx="35">
                  <c:v>122.99084377314701</c:v>
                </c:pt>
                <c:pt idx="36">
                  <c:v>125.685592008916</c:v>
                </c:pt>
                <c:pt idx="37">
                  <c:v>120.70217484304899</c:v>
                </c:pt>
                <c:pt idx="38">
                  <c:v>107.861388523812</c:v>
                </c:pt>
                <c:pt idx="39">
                  <c:v>86.995276944170797</c:v>
                </c:pt>
                <c:pt idx="40">
                  <c:v>81.238777836869801</c:v>
                </c:pt>
                <c:pt idx="41">
                  <c:v>91.427273665047906</c:v>
                </c:pt>
                <c:pt idx="42">
                  <c:v>101.43981702085399</c:v>
                </c:pt>
                <c:pt idx="43">
                  <c:v>110.317222753968</c:v>
                </c:pt>
                <c:pt idx="44">
                  <c:v>107.64867255468199</c:v>
                </c:pt>
                <c:pt idx="45">
                  <c:v>109.662236441084</c:v>
                </c:pt>
                <c:pt idx="46">
                  <c:v>122.928857328593</c:v>
                </c:pt>
                <c:pt idx="47">
                  <c:v>124.228571997567</c:v>
                </c:pt>
                <c:pt idx="48">
                  <c:v>127.592023348824</c:v>
                </c:pt>
                <c:pt idx="49">
                  <c:v>123.327235588137</c:v>
                </c:pt>
                <c:pt idx="50">
                  <c:v>132.23837924506199</c:v>
                </c:pt>
                <c:pt idx="51">
                  <c:v>125.399962027906</c:v>
                </c:pt>
                <c:pt idx="52">
                  <c:v>137.79694658026401</c:v>
                </c:pt>
                <c:pt idx="53">
                  <c:v>134.520757404927</c:v>
                </c:pt>
                <c:pt idx="54">
                  <c:v>136.85256784562799</c:v>
                </c:pt>
                <c:pt idx="55">
                  <c:v>132.33209210423701</c:v>
                </c:pt>
                <c:pt idx="56">
                  <c:v>132.77465889939899</c:v>
                </c:pt>
                <c:pt idx="57">
                  <c:v>135.58517387777101</c:v>
                </c:pt>
                <c:pt idx="58">
                  <c:v>137.44426311745801</c:v>
                </c:pt>
                <c:pt idx="59">
                  <c:v>141.30741028775901</c:v>
                </c:pt>
                <c:pt idx="60">
                  <c:v>140.55226735182899</c:v>
                </c:pt>
                <c:pt idx="61">
                  <c:v>149.80161806225701</c:v>
                </c:pt>
                <c:pt idx="62">
                  <c:v>151.70429284465601</c:v>
                </c:pt>
                <c:pt idx="63">
                  <c:v>154.49495963145199</c:v>
                </c:pt>
                <c:pt idx="64">
                  <c:v>155.75857168744199</c:v>
                </c:pt>
                <c:pt idx="65">
                  <c:v>162.18196136060899</c:v>
                </c:pt>
              </c:numCache>
            </c:numRef>
          </c:val>
          <c:extLst>
            <c:ext xmlns:c16="http://schemas.microsoft.com/office/drawing/2014/chart" uri="{C3380CC4-5D6E-409C-BE32-E72D297353CC}">
              <c16:uniqueId val="{00000000-FE02-40CF-A932-B5D8A6AE5070}"/>
            </c:ext>
          </c:extLst>
        </c:ser>
        <c:dLbls>
          <c:showLegendKey val="0"/>
          <c:showVal val="0"/>
          <c:showCatName val="0"/>
          <c:showSerName val="0"/>
          <c:showPercent val="0"/>
          <c:showBubbleSize val="0"/>
        </c:dLbls>
        <c:gapWidth val="10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'!$L$5:$L$70</c:f>
              <c:numCache>
                <c:formatCode>0.0</c:formatCode>
                <c:ptCount val="66"/>
                <c:pt idx="0">
                  <c:v>111.401519039091</c:v>
                </c:pt>
                <c:pt idx="1">
                  <c:v>113.443724002926</c:v>
                </c:pt>
                <c:pt idx="2">
                  <c:v>115.721371979213</c:v>
                </c:pt>
                <c:pt idx="3">
                  <c:v>117.74535586585</c:v>
                </c:pt>
                <c:pt idx="4">
                  <c:v>119.0798542596</c:v>
                </c:pt>
                <c:pt idx="5">
                  <c:v>119.538118003875</c:v>
                </c:pt>
                <c:pt idx="6">
                  <c:v>119.22281534974201</c:v>
                </c:pt>
                <c:pt idx="7">
                  <c:v>118.390165761926</c:v>
                </c:pt>
                <c:pt idx="8">
                  <c:v>117.376133712461</c:v>
                </c:pt>
                <c:pt idx="9">
                  <c:v>116.520924510238</c:v>
                </c:pt>
                <c:pt idx="10">
                  <c:v>116.21456288126799</c:v>
                </c:pt>
                <c:pt idx="11">
                  <c:v>116.559821527765</c:v>
                </c:pt>
                <c:pt idx="12">
                  <c:v>117.39876957619001</c:v>
                </c:pt>
                <c:pt idx="13">
                  <c:v>118.337136173091</c:v>
                </c:pt>
                <c:pt idx="14">
                  <c:v>119.204187630308</c:v>
                </c:pt>
                <c:pt idx="15">
                  <c:v>120.01230136255001</c:v>
                </c:pt>
                <c:pt idx="16">
                  <c:v>120.701861994071</c:v>
                </c:pt>
                <c:pt idx="17">
                  <c:v>121.25357275178899</c:v>
                </c:pt>
                <c:pt idx="18">
                  <c:v>121.544125069366</c:v>
                </c:pt>
                <c:pt idx="19">
                  <c:v>121.58969515431799</c:v>
                </c:pt>
                <c:pt idx="20">
                  <c:v>121.590433410006</c:v>
                </c:pt>
                <c:pt idx="21">
                  <c:v>121.452312506721</c:v>
                </c:pt>
                <c:pt idx="22">
                  <c:v>121.161030807302</c:v>
                </c:pt>
                <c:pt idx="23">
                  <c:v>120.919345898637</c:v>
                </c:pt>
                <c:pt idx="24">
                  <c:v>120.786341619531</c:v>
                </c:pt>
                <c:pt idx="25">
                  <c:v>120.81879302331301</c:v>
                </c:pt>
                <c:pt idx="26">
                  <c:v>120.966545050962</c:v>
                </c:pt>
                <c:pt idx="27">
                  <c:v>121.229510410317</c:v>
                </c:pt>
                <c:pt idx="28">
                  <c:v>122.004235027044</c:v>
                </c:pt>
                <c:pt idx="29">
                  <c:v>123.44526196922899</c:v>
                </c:pt>
                <c:pt idx="30">
                  <c:v>125.18140119504901</c:v>
                </c:pt>
                <c:pt idx="31">
                  <c:v>126.73986467089701</c:v>
                </c:pt>
                <c:pt idx="32">
                  <c:v>127.68696198945</c:v>
                </c:pt>
                <c:pt idx="33">
                  <c:v>127.80191852560399</c:v>
                </c:pt>
                <c:pt idx="34">
                  <c:v>126.92647472553701</c:v>
                </c:pt>
                <c:pt idx="35">
                  <c:v>124.91052717989</c:v>
                </c:pt>
                <c:pt idx="36">
                  <c:v>122.01941029554899</c:v>
                </c:pt>
                <c:pt idx="37">
                  <c:v>118.64481349660799</c:v>
                </c:pt>
                <c:pt idx="38">
                  <c:v>115.30188963383701</c:v>
                </c:pt>
                <c:pt idx="39">
                  <c:v>112.45607728992999</c:v>
                </c:pt>
                <c:pt idx="40">
                  <c:v>110.286060035044</c:v>
                </c:pt>
                <c:pt idx="41">
                  <c:v>109.21802834644301</c:v>
                </c:pt>
                <c:pt idx="42">
                  <c:v>109.62839983274201</c:v>
                </c:pt>
                <c:pt idx="43">
                  <c:v>111.51072220195999</c:v>
                </c:pt>
                <c:pt idx="44">
                  <c:v>114.37602434403</c:v>
                </c:pt>
                <c:pt idx="45">
                  <c:v>117.78702204123999</c:v>
                </c:pt>
                <c:pt idx="46">
                  <c:v>121.291125027188</c:v>
                </c:pt>
                <c:pt idx="47">
                  <c:v>124.642381463804</c:v>
                </c:pt>
                <c:pt idx="48">
                  <c:v>127.647400879361</c:v>
                </c:pt>
                <c:pt idx="49">
                  <c:v>130.27128510564299</c:v>
                </c:pt>
                <c:pt idx="50">
                  <c:v>132.43692166319701</c:v>
                </c:pt>
                <c:pt idx="51">
                  <c:v>134.02918546484199</c:v>
                </c:pt>
                <c:pt idx="52">
                  <c:v>135.00507108841899</c:v>
                </c:pt>
                <c:pt idx="53">
                  <c:v>135.274231840097</c:v>
                </c:pt>
                <c:pt idx="54">
                  <c:v>135.00667302124899</c:v>
                </c:pt>
                <c:pt idx="55">
                  <c:v>134.552839683027</c:v>
                </c:pt>
                <c:pt idx="56">
                  <c:v>134.48824942278301</c:v>
                </c:pt>
                <c:pt idx="57">
                  <c:v>135.38286164238801</c:v>
                </c:pt>
                <c:pt idx="58">
                  <c:v>137.399592934396</c:v>
                </c:pt>
                <c:pt idx="59">
                  <c:v>140.32295173590799</c:v>
                </c:pt>
                <c:pt idx="60">
                  <c:v>143.77649700734401</c:v>
                </c:pt>
                <c:pt idx="61">
                  <c:v>147.44315793975801</c:v>
                </c:pt>
                <c:pt idx="62">
                  <c:v>151.04811912565501</c:v>
                </c:pt>
                <c:pt idx="63">
                  <c:v>154.52099891879701</c:v>
                </c:pt>
                <c:pt idx="64">
                  <c:v>157.66713120945201</c:v>
                </c:pt>
                <c:pt idx="65">
                  <c:v>160.300526873102</c:v>
                </c:pt>
              </c:numCache>
            </c:numRef>
          </c:val>
          <c:smooth val="0"/>
          <c:extLst>
            <c:ext xmlns:c16="http://schemas.microsoft.com/office/drawing/2014/chart" uri="{C3380CC4-5D6E-409C-BE32-E72D297353CC}">
              <c16:uniqueId val="{00000001-FE02-40CF-A932-B5D8A6AE5070}"/>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7366-63A6-4C25-BCF1-030F6DD9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1764</Words>
  <Characters>9704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31</cp:revision>
  <cp:lastPrinted>2022-08-03T15:38:00Z</cp:lastPrinted>
  <dcterms:created xsi:type="dcterms:W3CDTF">2022-09-05T14:53:00Z</dcterms:created>
  <dcterms:modified xsi:type="dcterms:W3CDTF">2022-09-05T22:25:00Z</dcterms:modified>
</cp:coreProperties>
</file>