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76FCBAB4" w:rsidR="00F624CF" w:rsidRDefault="00A433AC" w:rsidP="00F624CF">
      <w:pPr>
        <w:ind w:right="-1"/>
        <w:jc w:val="center"/>
        <w:rPr>
          <w:rFonts w:ascii="Arial" w:eastAsia="MS Mincho" w:hAnsi="Arial" w:cs="Arial"/>
          <w:b/>
          <w:bCs/>
          <w:lang w:val="es-MX" w:eastAsia="ja-JP"/>
        </w:rPr>
      </w:pPr>
      <w:r w:rsidRPr="00A433AC">
        <w:rPr>
          <w:rFonts w:ascii="Arial" w:eastAsia="MS Mincho" w:hAnsi="Arial" w:cs="Arial"/>
          <w:b/>
          <w:bCs/>
          <w:lang w:val="es-MX" w:eastAsia="ja-JP"/>
        </w:rPr>
        <w:t xml:space="preserve">INDICADOR MENSUAL OPORTUNO DE LA ACTIVIDAD MANUFACTURERA </w:t>
      </w:r>
    </w:p>
    <w:p w14:paraId="3B931AE3" w14:textId="28589235" w:rsidR="00A216CA" w:rsidRPr="00F17ABB" w:rsidRDefault="00D51007" w:rsidP="00F624CF">
      <w:pPr>
        <w:ind w:right="-1"/>
        <w:jc w:val="center"/>
        <w:rPr>
          <w:rFonts w:ascii="Arial" w:hAnsi="Arial" w:cs="Arial"/>
          <w:lang w:val="es-MX"/>
        </w:rPr>
      </w:pPr>
      <w:r>
        <w:rPr>
          <w:rFonts w:ascii="Arial" w:eastAsia="MS Mincho" w:hAnsi="Arial" w:cs="Arial"/>
          <w:b/>
          <w:bCs/>
          <w:lang w:val="es-MX" w:eastAsia="ja-JP"/>
        </w:rPr>
        <w:t>DIC</w:t>
      </w:r>
      <w:r w:rsidR="00BD4111">
        <w:rPr>
          <w:rFonts w:ascii="Arial" w:eastAsia="MS Mincho" w:hAnsi="Arial" w:cs="Arial"/>
          <w:b/>
          <w:bCs/>
          <w:lang w:val="es-MX" w:eastAsia="ja-JP"/>
        </w:rPr>
        <w:t>IEMBRE</w:t>
      </w:r>
      <w:r w:rsidR="00A433AC"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00A433AC" w:rsidRPr="00A433AC">
        <w:rPr>
          <w:rFonts w:ascii="Arial" w:eastAsia="MS Mincho" w:hAnsi="Arial" w:cs="Arial"/>
          <w:b/>
          <w:bCs/>
          <w:lang w:val="es-MX" w:eastAsia="ja-JP"/>
        </w:rPr>
        <w:t>2021</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594BB2D6" w14:textId="67C8144A" w:rsidR="00EB73A2" w:rsidRPr="0055097C" w:rsidRDefault="00D630D2" w:rsidP="00EB73A2">
      <w:pPr>
        <w:pStyle w:val="Prrafodelista"/>
        <w:numPr>
          <w:ilvl w:val="0"/>
          <w:numId w:val="1"/>
        </w:numPr>
        <w:ind w:left="851" w:right="333" w:hanging="284"/>
        <w:jc w:val="both"/>
        <w:rPr>
          <w:rFonts w:ascii="Arial" w:eastAsia="MS Mincho" w:hAnsi="Arial" w:cs="Arial"/>
          <w:bCs/>
          <w:lang w:val="es-MX" w:eastAsia="ja-JP"/>
        </w:rPr>
      </w:pPr>
      <w:r>
        <w:rPr>
          <w:rFonts w:ascii="Arial" w:eastAsia="MS Mincho" w:hAnsi="Arial" w:cs="Arial"/>
          <w:bCs/>
          <w:lang w:val="es-MX" w:eastAsia="ja-JP"/>
        </w:rPr>
        <w:t>En diciembre de 2021</w:t>
      </w:r>
      <w:r w:rsidR="00EB73A2">
        <w:rPr>
          <w:rFonts w:ascii="Arial" w:eastAsia="MS Mincho" w:hAnsi="Arial" w:cs="Arial"/>
          <w:bCs/>
          <w:lang w:val="es-MX" w:eastAsia="ja-JP"/>
        </w:rPr>
        <w:t>,</w:t>
      </w:r>
      <w:r>
        <w:rPr>
          <w:rFonts w:ascii="Arial" w:eastAsia="MS Mincho" w:hAnsi="Arial" w:cs="Arial"/>
          <w:bCs/>
          <w:lang w:val="es-MX" w:eastAsia="ja-JP"/>
        </w:rPr>
        <w:t xml:space="preserve"> e</w:t>
      </w:r>
      <w:r w:rsidR="004A6635">
        <w:rPr>
          <w:rFonts w:ascii="Arial" w:eastAsia="MS Mincho" w:hAnsi="Arial" w:cs="Arial"/>
          <w:bCs/>
          <w:lang w:val="es-MX" w:eastAsia="ja-JP"/>
        </w:rPr>
        <w:t xml:space="preserve">l Indicador Mensual Oportuno de la Actividad Manufacturera (IMOAM) estima anticipadamente, con cifras sin ajuste estacional, </w:t>
      </w:r>
      <w:r w:rsidR="00EB73A2">
        <w:rPr>
          <w:rFonts w:ascii="Arial" w:eastAsia="MS Mincho" w:hAnsi="Arial" w:cs="Arial"/>
          <w:bCs/>
          <w:lang w:val="es-MX" w:eastAsia="ja-JP"/>
        </w:rPr>
        <w:t xml:space="preserve">un </w:t>
      </w:r>
      <w:r w:rsidR="00EB73A2" w:rsidRPr="0055097C">
        <w:rPr>
          <w:rFonts w:ascii="Arial" w:eastAsia="MS Mincho" w:hAnsi="Arial" w:cs="Arial"/>
          <w:bCs/>
          <w:lang w:val="es-MX" w:eastAsia="ja-JP"/>
        </w:rPr>
        <w:t xml:space="preserve">nivel del </w:t>
      </w:r>
      <w:r w:rsidR="00EB73A2">
        <w:rPr>
          <w:rFonts w:ascii="Arial" w:eastAsia="MS Mincho" w:hAnsi="Arial" w:cs="Arial"/>
          <w:bCs/>
          <w:lang w:val="es-MX" w:eastAsia="ja-JP"/>
        </w:rPr>
        <w:t>s</w:t>
      </w:r>
      <w:r w:rsidR="00EB73A2" w:rsidRPr="0055097C">
        <w:rPr>
          <w:rFonts w:ascii="Arial" w:eastAsia="MS Mincho" w:hAnsi="Arial" w:cs="Arial"/>
          <w:bCs/>
          <w:lang w:val="es-MX" w:eastAsia="ja-JP"/>
        </w:rPr>
        <w:t xml:space="preserve">ector </w:t>
      </w:r>
      <w:r w:rsidR="00EB73A2">
        <w:rPr>
          <w:rFonts w:ascii="Arial" w:eastAsia="MS Mincho" w:hAnsi="Arial" w:cs="Arial"/>
          <w:bCs/>
          <w:lang w:val="es-MX" w:eastAsia="ja-JP"/>
        </w:rPr>
        <w:t>m</w:t>
      </w:r>
      <w:r w:rsidR="00EB73A2" w:rsidRPr="0055097C">
        <w:rPr>
          <w:rFonts w:ascii="Arial" w:eastAsia="MS Mincho" w:hAnsi="Arial" w:cs="Arial"/>
          <w:bCs/>
          <w:lang w:val="es-MX" w:eastAsia="ja-JP"/>
        </w:rPr>
        <w:t>anufacturero de 11</w:t>
      </w:r>
      <w:r w:rsidR="00EB73A2">
        <w:rPr>
          <w:rFonts w:ascii="Arial" w:eastAsia="MS Mincho" w:hAnsi="Arial" w:cs="Arial"/>
          <w:bCs/>
          <w:lang w:val="es-MX" w:eastAsia="ja-JP"/>
        </w:rPr>
        <w:t>1</w:t>
      </w:r>
      <w:r w:rsidR="00EB73A2" w:rsidRPr="0055097C">
        <w:rPr>
          <w:rFonts w:ascii="Arial" w:eastAsia="MS Mincho" w:hAnsi="Arial" w:cs="Arial"/>
          <w:bCs/>
          <w:lang w:val="es-MX" w:eastAsia="ja-JP"/>
        </w:rPr>
        <w:t>.</w:t>
      </w:r>
      <w:r w:rsidR="00EB73A2">
        <w:rPr>
          <w:rFonts w:ascii="Arial" w:eastAsia="MS Mincho" w:hAnsi="Arial" w:cs="Arial"/>
          <w:bCs/>
          <w:lang w:val="es-MX" w:eastAsia="ja-JP"/>
        </w:rPr>
        <w:t>5.</w:t>
      </w:r>
    </w:p>
    <w:p w14:paraId="779739BA" w14:textId="4518275A" w:rsidR="004A6635" w:rsidRDefault="00EB73A2" w:rsidP="00364C64">
      <w:pPr>
        <w:pStyle w:val="Prrafodelista"/>
        <w:numPr>
          <w:ilvl w:val="0"/>
          <w:numId w:val="1"/>
        </w:numPr>
        <w:ind w:left="851" w:right="333" w:hanging="284"/>
        <w:jc w:val="both"/>
        <w:rPr>
          <w:rFonts w:ascii="Arial" w:eastAsia="MS Mincho" w:hAnsi="Arial" w:cs="Arial"/>
          <w:bCs/>
          <w:lang w:val="es-MX" w:eastAsia="ja-JP"/>
        </w:rPr>
      </w:pPr>
      <w:r w:rsidRPr="00EB73A2">
        <w:rPr>
          <w:rFonts w:ascii="Arial" w:eastAsia="MS Mincho" w:hAnsi="Arial" w:cs="Arial"/>
          <w:bCs/>
          <w:lang w:val="es-MX" w:eastAsia="ja-JP"/>
        </w:rPr>
        <w:t>En diciembre de 2021,</w:t>
      </w:r>
      <w:r>
        <w:rPr>
          <w:rFonts w:ascii="Arial" w:eastAsia="MS Mincho" w:hAnsi="Arial" w:cs="Arial"/>
          <w:bCs/>
          <w:lang w:val="es-MX" w:eastAsia="ja-JP"/>
        </w:rPr>
        <w:t xml:space="preserve"> se estima </w:t>
      </w:r>
      <w:r w:rsidR="004A6635">
        <w:rPr>
          <w:rFonts w:ascii="Arial" w:eastAsia="MS Mincho" w:hAnsi="Arial" w:cs="Arial"/>
          <w:bCs/>
          <w:lang w:val="es-MX" w:eastAsia="ja-JP"/>
        </w:rPr>
        <w:t xml:space="preserve">una variación anual del sector manufacturero de </w:t>
      </w:r>
      <w:r w:rsidR="00D51007">
        <w:rPr>
          <w:rFonts w:ascii="Arial" w:eastAsia="MS Mincho" w:hAnsi="Arial" w:cs="Arial"/>
          <w:bCs/>
          <w:lang w:val="es-MX" w:eastAsia="ja-JP"/>
        </w:rPr>
        <w:t>4.5</w:t>
      </w:r>
      <w:r w:rsidR="00D630D2">
        <w:rPr>
          <w:rFonts w:ascii="Arial" w:eastAsia="MS Mincho" w:hAnsi="Arial" w:cs="Arial"/>
          <w:bCs/>
          <w:lang w:val="es-MX" w:eastAsia="ja-JP"/>
        </w:rPr>
        <w:t xml:space="preserve"> por ciento</w:t>
      </w:r>
      <w:r w:rsidR="004A6635">
        <w:rPr>
          <w:rFonts w:ascii="Arial" w:eastAsia="MS Mincho" w:hAnsi="Arial" w:cs="Arial"/>
          <w:bCs/>
          <w:lang w:val="es-MX" w:eastAsia="ja-JP"/>
        </w:rPr>
        <w:t>.</w:t>
      </w:r>
    </w:p>
    <w:p w14:paraId="5089A88D" w14:textId="77777777" w:rsidR="00005A5A" w:rsidRPr="0055097C" w:rsidRDefault="00005A5A" w:rsidP="00364C64">
      <w:pPr>
        <w:pStyle w:val="Prrafodelista"/>
        <w:ind w:left="851" w:right="333"/>
        <w:jc w:val="both"/>
        <w:rPr>
          <w:rFonts w:ascii="Arial" w:eastAsia="MS Mincho" w:hAnsi="Arial" w:cs="Arial"/>
          <w:bCs/>
          <w:lang w:val="es-MX" w:eastAsia="ja-JP"/>
        </w:rPr>
      </w:pPr>
    </w:p>
    <w:p w14:paraId="607F5CB6" w14:textId="7FBAB577" w:rsidR="00F624CF" w:rsidRPr="00EB73A2" w:rsidRDefault="00A0634F" w:rsidP="00EB73A2">
      <w:pPr>
        <w:jc w:val="both"/>
        <w:rPr>
          <w:rFonts w:ascii="Arial" w:hAnsi="Arial" w:cs="Arial"/>
          <w:lang w:val="es-MX"/>
        </w:rPr>
      </w:pPr>
      <w:r w:rsidRPr="00EB73A2">
        <w:rPr>
          <w:rFonts w:ascii="Arial" w:hAnsi="Arial" w:cs="Arial"/>
          <w:lang w:val="es-MX"/>
        </w:rPr>
        <w:t>El Instituto Nacional de Estadística y Geografía (INEGI) informa que el Indicador Mensual Oportuno de la Actividad Manufacturera (IMOAM) estima</w:t>
      </w:r>
      <w:r w:rsidR="00005A5A" w:rsidRPr="00EB73A2">
        <w:rPr>
          <w:rFonts w:ascii="Arial" w:hAnsi="Arial" w:cs="Arial"/>
          <w:lang w:val="es-MX"/>
        </w:rPr>
        <w:t xml:space="preserve"> que, a partir de series sin ajuste estacional, el Indicador Mensual de la Actividad Industrial (IMAI) del sector manufacturero</w:t>
      </w:r>
      <w:r w:rsidR="00D72D5B" w:rsidRPr="00EB73A2">
        <w:rPr>
          <w:rFonts w:ascii="Arial" w:hAnsi="Arial" w:cs="Arial"/>
          <w:lang w:val="es-MX"/>
        </w:rPr>
        <w:t xml:space="preserve"> alcanzó un nivel de 111.</w:t>
      </w:r>
      <w:r w:rsidR="00D51007" w:rsidRPr="00EB73A2">
        <w:rPr>
          <w:rFonts w:ascii="Arial" w:hAnsi="Arial" w:cs="Arial"/>
          <w:lang w:val="es-MX"/>
        </w:rPr>
        <w:t>5</w:t>
      </w:r>
      <w:r w:rsidR="00D72D5B" w:rsidRPr="00EB73A2">
        <w:rPr>
          <w:rFonts w:ascii="Arial" w:hAnsi="Arial" w:cs="Arial"/>
          <w:lang w:val="es-MX"/>
        </w:rPr>
        <w:t xml:space="preserve"> puntos en </w:t>
      </w:r>
      <w:r w:rsidR="00D51007" w:rsidRPr="00EB73A2">
        <w:rPr>
          <w:rFonts w:ascii="Arial" w:hAnsi="Arial" w:cs="Arial"/>
          <w:lang w:val="es-MX"/>
        </w:rPr>
        <w:t>dic</w:t>
      </w:r>
      <w:r w:rsidR="00D72D5B" w:rsidRPr="00EB73A2">
        <w:rPr>
          <w:rFonts w:ascii="Arial" w:hAnsi="Arial" w:cs="Arial"/>
          <w:lang w:val="es-MX"/>
        </w:rPr>
        <w:t xml:space="preserve">iembre de 2021. Ello corresponde a una variación anual de </w:t>
      </w:r>
      <w:r w:rsidR="00D51007" w:rsidRPr="00EB73A2">
        <w:rPr>
          <w:rFonts w:ascii="Arial" w:hAnsi="Arial" w:cs="Arial"/>
          <w:lang w:val="es-MX"/>
        </w:rPr>
        <w:t>4</w:t>
      </w:r>
      <w:r w:rsidR="00D72D5B" w:rsidRPr="00EB73A2">
        <w:rPr>
          <w:rFonts w:ascii="Arial" w:hAnsi="Arial" w:cs="Arial"/>
          <w:lang w:val="es-MX"/>
        </w:rPr>
        <w:t>.</w:t>
      </w:r>
      <w:r w:rsidR="00D51007" w:rsidRPr="00EB73A2">
        <w:rPr>
          <w:rFonts w:ascii="Arial" w:hAnsi="Arial" w:cs="Arial"/>
          <w:lang w:val="es-MX"/>
        </w:rPr>
        <w:t>5</w:t>
      </w:r>
      <w:r w:rsidR="00A36413" w:rsidRPr="00EB73A2">
        <w:rPr>
          <w:rFonts w:ascii="Arial" w:hAnsi="Arial" w:cs="Arial"/>
          <w:lang w:val="es-MX"/>
        </w:rPr>
        <w:t xml:space="preserve"> por ciento</w:t>
      </w:r>
      <w:r w:rsidR="00D72D5B" w:rsidRPr="00EB73A2">
        <w:rPr>
          <w:rFonts w:ascii="Arial" w:hAnsi="Arial" w:cs="Arial"/>
          <w:lang w:val="es-MX"/>
        </w:rPr>
        <w:t>.</w:t>
      </w:r>
    </w:p>
    <w:p w14:paraId="5B65718B" w14:textId="77777777" w:rsidR="00A0634F" w:rsidRPr="00F17ABB" w:rsidRDefault="00A0634F" w:rsidP="00A216CA">
      <w:pPr>
        <w:jc w:val="both"/>
        <w:rPr>
          <w:rFonts w:ascii="Arial" w:hAnsi="Arial" w:cs="Arial"/>
          <w:lang w:val="es-MX"/>
        </w:rPr>
      </w:pPr>
    </w:p>
    <w:p w14:paraId="004EDD92" w14:textId="3D7A9F65" w:rsidR="00A216CA" w:rsidRPr="00F17ABB" w:rsidRDefault="00BD4111" w:rsidP="00A216CA">
      <w:pPr>
        <w:jc w:val="both"/>
        <w:rPr>
          <w:rFonts w:ascii="Arial" w:hAnsi="Arial" w:cs="Arial"/>
          <w:lang w:val="es-MX"/>
        </w:rPr>
      </w:pPr>
      <w:r w:rsidRPr="00A0634F">
        <w:rPr>
          <w:rFonts w:ascii="Arial" w:hAnsi="Arial" w:cs="Arial"/>
          <w:lang w:val="es-MX"/>
        </w:rPr>
        <w:t xml:space="preserve">Las </w:t>
      </w:r>
      <w:r>
        <w:rPr>
          <w:rFonts w:ascii="Arial" w:hAnsi="Arial" w:cs="Arial"/>
          <w:lang w:val="es-MX"/>
        </w:rPr>
        <w:t>estimaciones</w:t>
      </w:r>
      <w:r w:rsidRPr="00A0634F">
        <w:rPr>
          <w:rFonts w:ascii="Arial" w:hAnsi="Arial" w:cs="Arial"/>
          <w:lang w:val="es-MX"/>
        </w:rPr>
        <w:t xml:space="preserve"> consideradas presentan sus respectivos intervalos de confianza a 95 por ciento</w:t>
      </w:r>
      <w:r>
        <w:rPr>
          <w:rFonts w:ascii="Arial" w:hAnsi="Arial" w:cs="Arial"/>
          <w:lang w:val="es-MX"/>
        </w:rPr>
        <w:t xml:space="preserve">. </w:t>
      </w:r>
      <w:r w:rsidR="008661D4">
        <w:rPr>
          <w:rFonts w:ascii="Arial" w:hAnsi="Arial" w:cs="Arial"/>
          <w:lang w:val="es-MX"/>
        </w:rPr>
        <w:t xml:space="preserve">La siguiente tabla resume </w:t>
      </w:r>
      <w:r w:rsidR="00700FEF">
        <w:rPr>
          <w:rFonts w:ascii="Arial" w:hAnsi="Arial" w:cs="Arial"/>
          <w:lang w:val="es-MX"/>
        </w:rPr>
        <w:t>dichas estimaciones</w:t>
      </w:r>
      <w:r w:rsidR="008661D4">
        <w:rPr>
          <w:rFonts w:ascii="Arial" w:hAnsi="Arial" w:cs="Arial"/>
          <w:lang w:val="es-MX"/>
        </w:rPr>
        <w:t>, junto con los correspondie</w:t>
      </w:r>
      <w:r w:rsidR="00C34960">
        <w:rPr>
          <w:rFonts w:ascii="Arial" w:hAnsi="Arial" w:cs="Arial"/>
          <w:lang w:val="es-MX"/>
        </w:rPr>
        <w:t>ntes</w:t>
      </w:r>
      <w:r w:rsidR="008661D4">
        <w:rPr>
          <w:rFonts w:ascii="Arial" w:hAnsi="Arial" w:cs="Arial"/>
          <w:lang w:val="es-MX"/>
        </w:rPr>
        <w:t xml:space="preserve"> límites</w:t>
      </w:r>
      <w:r w:rsidR="00C34960">
        <w:rPr>
          <w:rFonts w:ascii="Arial" w:hAnsi="Arial" w:cs="Arial"/>
          <w:lang w:val="es-MX"/>
        </w:rPr>
        <w:t xml:space="preserve"> de los intervalos de confianza</w:t>
      </w:r>
      <w:r w:rsidR="00A216CA" w:rsidRPr="00F17ABB">
        <w:rPr>
          <w:rFonts w:ascii="Arial" w:hAnsi="Arial" w:cs="Arial"/>
          <w:lang w:val="es-MX"/>
        </w:rPr>
        <w:t>:</w:t>
      </w:r>
    </w:p>
    <w:p w14:paraId="6C96DB6A" w14:textId="686DBA7F" w:rsidR="00A216CA" w:rsidRDefault="00A216CA" w:rsidP="00A216CA">
      <w:pPr>
        <w:jc w:val="both"/>
        <w:rPr>
          <w:rFonts w:ascii="Arial" w:hAnsi="Arial" w:cs="Arial"/>
          <w:lang w:val="es-MX"/>
        </w:rPr>
      </w:pPr>
    </w:p>
    <w:p w14:paraId="549880DD" w14:textId="7E1DD6ED" w:rsidR="00364C64" w:rsidRPr="00D630D2" w:rsidRDefault="00364C64" w:rsidP="00D630D2">
      <w:pPr>
        <w:jc w:val="center"/>
        <w:rPr>
          <w:rFonts w:ascii="Arial" w:hAnsi="Arial" w:cs="Arial"/>
          <w:b/>
          <w:smallCaps/>
          <w:sz w:val="22"/>
          <w:szCs w:val="22"/>
          <w:lang w:val="es-MX"/>
        </w:rPr>
      </w:pPr>
      <w:r w:rsidRPr="00D630D2">
        <w:rPr>
          <w:rFonts w:ascii="Arial" w:hAnsi="Arial" w:cs="Arial"/>
          <w:b/>
          <w:smallCaps/>
          <w:sz w:val="22"/>
          <w:szCs w:val="22"/>
          <w:lang w:val="es-MX"/>
        </w:rPr>
        <w:t>Estimaciones del IMAI del Sector Manufacturero</w:t>
      </w:r>
      <w:r w:rsidR="00D630D2" w:rsidRPr="00D630D2">
        <w:rPr>
          <w:rFonts w:ascii="Arial" w:hAnsi="Arial" w:cs="Arial"/>
          <w:b/>
          <w:smallCaps/>
          <w:sz w:val="22"/>
          <w:szCs w:val="22"/>
          <w:lang w:val="es-MX"/>
        </w:rPr>
        <w:t xml:space="preserve"> generadas por el IMOAM</w:t>
      </w:r>
    </w:p>
    <w:p w14:paraId="44430610" w14:textId="59CB50C3" w:rsidR="00364C64" w:rsidRPr="00D630D2" w:rsidRDefault="00364C64" w:rsidP="00D630D2">
      <w:pPr>
        <w:jc w:val="center"/>
        <w:rPr>
          <w:rFonts w:ascii="Arial" w:hAnsi="Arial" w:cs="Arial"/>
          <w:b/>
          <w:smallCaps/>
          <w:sz w:val="22"/>
          <w:szCs w:val="22"/>
          <w:lang w:val="es-MX"/>
        </w:rPr>
      </w:pPr>
      <w:r w:rsidRPr="00D630D2">
        <w:rPr>
          <w:rFonts w:ascii="Arial" w:hAnsi="Arial" w:cs="Arial"/>
          <w:b/>
          <w:smallCaps/>
          <w:sz w:val="22"/>
          <w:szCs w:val="22"/>
          <w:lang w:val="es-MX"/>
        </w:rPr>
        <w:t>Diciembre  2021</w:t>
      </w:r>
    </w:p>
    <w:p w14:paraId="67E61CAF" w14:textId="0F415769" w:rsidR="00D630D2" w:rsidRDefault="00D630D2" w:rsidP="00D630D2">
      <w:pPr>
        <w:jc w:val="center"/>
        <w:rPr>
          <w:rFonts w:ascii="Arial" w:hAnsi="Arial" w:cs="Arial"/>
          <w:sz w:val="18"/>
          <w:szCs w:val="18"/>
          <w:lang w:val="es-MX"/>
        </w:rPr>
      </w:pPr>
      <w:r w:rsidRPr="00D630D2">
        <w:rPr>
          <w:rFonts w:ascii="Arial" w:hAnsi="Arial" w:cs="Arial"/>
          <w:sz w:val="18"/>
          <w:szCs w:val="18"/>
          <w:lang w:val="es-MX"/>
        </w:rPr>
        <w:t>(Cifras originales)</w:t>
      </w:r>
    </w:p>
    <w:p w14:paraId="58C32272" w14:textId="77777777" w:rsidR="00D630D2" w:rsidRPr="00D630D2" w:rsidRDefault="00D630D2" w:rsidP="00D630D2">
      <w:pPr>
        <w:jc w:val="center"/>
        <w:rPr>
          <w:rFonts w:ascii="Arial" w:hAnsi="Arial" w:cs="Arial"/>
          <w:sz w:val="18"/>
          <w:szCs w:val="18"/>
          <w:lang w:val="es-MX"/>
        </w:rPr>
      </w:pPr>
    </w:p>
    <w:tbl>
      <w:tblPr>
        <w:tblW w:w="8320" w:type="dxa"/>
        <w:tblInd w:w="813"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3EAD46A0" w14:textId="77777777" w:rsidTr="00D630D2">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2441BBF0"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 95%</w:t>
            </w:r>
          </w:p>
        </w:tc>
      </w:tr>
      <w:tr w:rsidR="00521756" w:rsidRPr="00F17ABB" w14:paraId="52D3F30D" w14:textId="77777777" w:rsidTr="00D630D2">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865339B"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i</w:t>
            </w:r>
            <w:r w:rsidRPr="00F17ABB">
              <w:rPr>
                <w:rFonts w:ascii="Arial" w:eastAsia="Calibri" w:hAnsi="Arial" w:cs="Arial"/>
                <w:color w:val="000000"/>
                <w:lang w:val="es-MX" w:eastAsia="es-MX"/>
              </w:rPr>
              <w:t>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22A87446"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s</w:t>
            </w:r>
            <w:r w:rsidRPr="00F17ABB">
              <w:rPr>
                <w:rFonts w:ascii="Arial" w:eastAsia="Calibri" w:hAnsi="Arial" w:cs="Arial"/>
                <w:color w:val="000000"/>
                <w:lang w:val="es-MX" w:eastAsia="es-MX"/>
              </w:rPr>
              <w:t>uperior</w:t>
            </w:r>
          </w:p>
        </w:tc>
      </w:tr>
      <w:tr w:rsidR="00521756" w:rsidRPr="00C34960" w14:paraId="40319E79" w14:textId="77777777" w:rsidTr="00D630D2">
        <w:trPr>
          <w:trHeight w:val="300"/>
        </w:trPr>
        <w:tc>
          <w:tcPr>
            <w:tcW w:w="2079" w:type="dxa"/>
            <w:tcBorders>
              <w:top w:val="nil"/>
              <w:left w:val="single" w:sz="8" w:space="0" w:color="auto"/>
              <w:bottom w:val="nil"/>
              <w:right w:val="single" w:sz="8" w:space="0" w:color="auto"/>
            </w:tcBorders>
            <w:shd w:val="clear" w:color="auto" w:fill="A6A6A6"/>
          </w:tcPr>
          <w:p w14:paraId="28202B64"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Índice</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5737565E"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700FEF">
              <w:rPr>
                <w:rFonts w:ascii="Arial" w:hAnsi="Arial" w:cs="Arial"/>
                <w:color w:val="000000"/>
                <w:lang w:val="es-MX" w:eastAsia="es-MX"/>
              </w:rPr>
              <w:t>1</w:t>
            </w:r>
            <w:r>
              <w:rPr>
                <w:rFonts w:ascii="Arial" w:hAnsi="Arial" w:cs="Arial"/>
                <w:color w:val="000000"/>
                <w:lang w:val="es-MX" w:eastAsia="es-MX"/>
              </w:rPr>
              <w:t>.</w:t>
            </w:r>
            <w:r w:rsidR="00D51007">
              <w:rPr>
                <w:rFonts w:ascii="Arial" w:hAnsi="Arial" w:cs="Arial"/>
                <w:color w:val="000000"/>
                <w:lang w:val="es-MX" w:eastAsia="es-MX"/>
              </w:rPr>
              <w:t>5</w:t>
            </w:r>
          </w:p>
        </w:tc>
        <w:tc>
          <w:tcPr>
            <w:tcW w:w="1915" w:type="dxa"/>
            <w:tcBorders>
              <w:top w:val="nil"/>
              <w:left w:val="nil"/>
              <w:bottom w:val="nil"/>
              <w:right w:val="single" w:sz="8" w:space="0" w:color="auto"/>
            </w:tcBorders>
            <w:shd w:val="clear" w:color="auto" w:fill="A6A6A6"/>
            <w:vAlign w:val="center"/>
            <w:hideMark/>
          </w:tcPr>
          <w:p w14:paraId="695CC22A" w14:textId="10D5FA83"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108.</w:t>
            </w:r>
            <w:r w:rsidR="001541CD">
              <w:rPr>
                <w:rFonts w:ascii="Arial" w:hAnsi="Arial" w:cs="Arial"/>
                <w:color w:val="000000"/>
                <w:lang w:val="es-MX" w:eastAsia="es-MX"/>
              </w:rPr>
              <w:t>5</w:t>
            </w:r>
          </w:p>
        </w:tc>
        <w:tc>
          <w:tcPr>
            <w:tcW w:w="1881" w:type="dxa"/>
            <w:tcBorders>
              <w:top w:val="nil"/>
              <w:left w:val="nil"/>
              <w:bottom w:val="nil"/>
              <w:right w:val="single" w:sz="8" w:space="0" w:color="auto"/>
            </w:tcBorders>
            <w:shd w:val="clear" w:color="auto" w:fill="A6A6A6"/>
            <w:vAlign w:val="center"/>
            <w:hideMark/>
          </w:tcPr>
          <w:p w14:paraId="2691BDF8" w14:textId="7C1630CA"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114.</w:t>
            </w:r>
            <w:r w:rsidR="001541CD">
              <w:rPr>
                <w:rFonts w:ascii="Arial" w:hAnsi="Arial" w:cs="Arial"/>
                <w:color w:val="000000"/>
                <w:lang w:val="es-MX" w:eastAsia="es-MX"/>
              </w:rPr>
              <w:t>5</w:t>
            </w:r>
          </w:p>
        </w:tc>
      </w:tr>
      <w:tr w:rsidR="00521756" w:rsidRPr="00C34960" w14:paraId="6AB50131" w14:textId="77777777" w:rsidTr="00D630D2">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6E2A7788" w:rsidR="00521756" w:rsidRPr="00C34960" w:rsidRDefault="001541CD" w:rsidP="008838B3">
            <w:pPr>
              <w:jc w:val="center"/>
              <w:rPr>
                <w:rFonts w:ascii="Arial" w:hAnsi="Arial" w:cs="Arial"/>
                <w:color w:val="000000"/>
                <w:lang w:val="es-MX" w:eastAsia="es-MX"/>
              </w:rPr>
            </w:pPr>
            <w:r>
              <w:rPr>
                <w:rFonts w:ascii="Arial" w:hAnsi="Arial" w:cs="Arial"/>
                <w:color w:val="000000"/>
                <w:lang w:val="es-MX" w:eastAsia="es-MX"/>
              </w:rPr>
              <w:t>4.5</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55A77B20" w:rsidR="00521756" w:rsidRPr="00C34960" w:rsidRDefault="007A6161" w:rsidP="008838B3">
            <w:pPr>
              <w:jc w:val="center"/>
              <w:rPr>
                <w:rFonts w:ascii="Arial" w:hAnsi="Arial" w:cs="Arial"/>
                <w:color w:val="000000"/>
                <w:lang w:val="es-MX" w:eastAsia="es-MX"/>
              </w:rPr>
            </w:pPr>
            <w:r>
              <w:rPr>
                <w:rFonts w:ascii="Arial" w:hAnsi="Arial" w:cs="Arial"/>
                <w:color w:val="000000"/>
                <w:lang w:val="es-MX" w:eastAsia="es-MX"/>
              </w:rPr>
              <w:t>1</w:t>
            </w:r>
            <w:r w:rsidR="008838B3">
              <w:rPr>
                <w:rFonts w:ascii="Arial" w:hAnsi="Arial" w:cs="Arial"/>
                <w:color w:val="000000"/>
                <w:lang w:val="es-MX" w:eastAsia="es-MX"/>
              </w:rPr>
              <w:t>.</w:t>
            </w:r>
            <w:r w:rsidR="001541CD">
              <w:rPr>
                <w:rFonts w:ascii="Arial" w:hAnsi="Arial" w:cs="Arial"/>
                <w:color w:val="000000"/>
                <w:lang w:val="es-MX" w:eastAsia="es-MX"/>
              </w:rPr>
              <w:t>7</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2639868E" w:rsidR="00521756" w:rsidRPr="00C34960" w:rsidRDefault="001541CD" w:rsidP="008838B3">
            <w:pPr>
              <w:jc w:val="center"/>
              <w:rPr>
                <w:rFonts w:ascii="Arial" w:hAnsi="Arial" w:cs="Arial"/>
                <w:color w:val="000000"/>
                <w:lang w:val="es-MX" w:eastAsia="es-MX"/>
              </w:rPr>
            </w:pPr>
            <w:r>
              <w:rPr>
                <w:rFonts w:ascii="Arial" w:hAnsi="Arial" w:cs="Arial"/>
                <w:color w:val="000000"/>
                <w:lang w:val="es-MX" w:eastAsia="es-MX"/>
              </w:rPr>
              <w:t>7</w:t>
            </w:r>
            <w:r w:rsidR="008838B3">
              <w:rPr>
                <w:rFonts w:ascii="Arial" w:hAnsi="Arial" w:cs="Arial"/>
                <w:color w:val="000000"/>
                <w:lang w:val="es-MX" w:eastAsia="es-MX"/>
              </w:rPr>
              <w:t>.</w:t>
            </w:r>
            <w:r>
              <w:rPr>
                <w:rFonts w:ascii="Arial" w:hAnsi="Arial" w:cs="Arial"/>
                <w:color w:val="000000"/>
                <w:lang w:val="es-MX" w:eastAsia="es-MX"/>
              </w:rPr>
              <w:t>3</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611ABE7A" w14:textId="77777777" w:rsidR="00A36413" w:rsidRDefault="00A36413" w:rsidP="00A36413">
      <w:pPr>
        <w:ind w:right="-1"/>
        <w:jc w:val="center"/>
        <w:rPr>
          <w:rFonts w:ascii="Arial" w:hAnsi="Arial" w:cs="Arial"/>
          <w:lang w:val="es-MX"/>
        </w:rPr>
      </w:pPr>
    </w:p>
    <w:p w14:paraId="729A06D3" w14:textId="77777777"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42E0BA00" w14:textId="77777777"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5A0A3665" w14:textId="1A04BD59"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1"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54D5A5FE"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234DF14B"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p>
    <w:p w14:paraId="002E92EE" w14:textId="77777777" w:rsidR="00A36413" w:rsidRPr="0055097C" w:rsidRDefault="00A36413" w:rsidP="00A36413">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15C76F48" w14:textId="77777777" w:rsidR="00A36413" w:rsidRPr="0055097C" w:rsidRDefault="00A36413" w:rsidP="00A36413">
      <w:pPr>
        <w:ind w:left="-426" w:right="-518"/>
        <w:contextualSpacing/>
        <w:jc w:val="center"/>
        <w:rPr>
          <w:rFonts w:ascii="Arial" w:hAnsi="Arial" w:cs="Arial"/>
          <w:sz w:val="20"/>
          <w:szCs w:val="20"/>
        </w:rPr>
      </w:pPr>
    </w:p>
    <w:p w14:paraId="1F04E730" w14:textId="77777777" w:rsidR="00A36413" w:rsidRDefault="00A36413" w:rsidP="00A36413">
      <w:pPr>
        <w:rPr>
          <w:noProof/>
          <w:sz w:val="20"/>
          <w:lang w:eastAsia="es-MX"/>
        </w:rPr>
        <w:sectPr w:rsidR="00A36413" w:rsidSect="00A36413">
          <w:headerReference w:type="default" r:id="rId12"/>
          <w:footerReference w:type="default" r:id="rId13"/>
          <w:type w:val="continuous"/>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1A25EFF7" wp14:editId="3C73A661">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3BC2B44D" wp14:editId="378BB861">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062D22E1" wp14:editId="0C9FC9B7">
            <wp:extent cx="321276" cy="324093"/>
            <wp:effectExtent l="0" t="0" r="3175" b="0"/>
            <wp:docPr id="7" name="Imagen 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0A18E4" wp14:editId="4369D17F">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4D96D9D7" wp14:editId="2F2FEBBE">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F8AD7B" w14:textId="77777777" w:rsidR="00A36413" w:rsidRDefault="00A36413">
      <w:pPr>
        <w:spacing w:after="160" w:line="259" w:lineRule="auto"/>
        <w:rPr>
          <w:rFonts w:ascii="Arial" w:eastAsia="MS Mincho" w:hAnsi="Arial" w:cs="Arial"/>
          <w:b/>
          <w:bCs/>
          <w:lang w:val="es-MX" w:eastAsia="ja-JP"/>
        </w:rPr>
        <w:sectPr w:rsidR="00A36413" w:rsidSect="0055097C">
          <w:headerReference w:type="default" r:id="rId24"/>
          <w:type w:val="continuous"/>
          <w:pgSz w:w="12240" w:h="15840"/>
          <w:pgMar w:top="1774" w:right="1134" w:bottom="1134" w:left="1134" w:header="709" w:footer="697" w:gutter="0"/>
          <w:cols w:space="708"/>
          <w:docGrid w:linePitch="360"/>
        </w:sectPr>
      </w:pPr>
    </w:p>
    <w:p w14:paraId="6AA517C6" w14:textId="17B467A4" w:rsidR="004A6635" w:rsidRDefault="004A6635">
      <w:pPr>
        <w:spacing w:after="160" w:line="259" w:lineRule="auto"/>
        <w:rPr>
          <w:rFonts w:ascii="Arial" w:eastAsia="MS Mincho" w:hAnsi="Arial" w:cs="Arial"/>
          <w:b/>
          <w:bCs/>
          <w:lang w:val="es-MX" w:eastAsia="ja-JP"/>
        </w:rPr>
      </w:pPr>
    </w:p>
    <w:p w14:paraId="296AD6EF" w14:textId="07420CE5" w:rsidR="00D72D5B" w:rsidRDefault="00D72D5B" w:rsidP="00A36413">
      <w:pPr>
        <w:rPr>
          <w:rFonts w:ascii="Arial" w:eastAsia="MS Mincho" w:hAnsi="Arial" w:cs="Arial"/>
          <w:b/>
          <w:bCs/>
          <w:lang w:val="es-MX" w:eastAsia="ja-JP"/>
        </w:rPr>
      </w:pPr>
    </w:p>
    <w:p w14:paraId="0BF55103" w14:textId="77777777" w:rsidR="006C1DED" w:rsidRDefault="006C1DED" w:rsidP="00A36413">
      <w:pPr>
        <w:rPr>
          <w:rFonts w:ascii="Arial" w:eastAsia="MS Mincho" w:hAnsi="Arial" w:cs="Arial"/>
          <w:b/>
          <w:bCs/>
          <w:lang w:val="es-MX" w:eastAsia="ja-JP"/>
        </w:rPr>
      </w:pPr>
    </w:p>
    <w:p w14:paraId="6F5DBC3B" w14:textId="77956F37" w:rsidR="00320845" w:rsidRDefault="00320845" w:rsidP="00320845">
      <w:pPr>
        <w:jc w:val="center"/>
        <w:rPr>
          <w:rFonts w:ascii="Arial" w:eastAsia="MS Mincho" w:hAnsi="Arial" w:cs="Arial"/>
          <w:b/>
          <w:bCs/>
          <w:lang w:val="es-MX" w:eastAsia="ja-JP"/>
        </w:rPr>
      </w:pPr>
      <w:r>
        <w:rPr>
          <w:rFonts w:ascii="Arial" w:eastAsia="MS Mincho" w:hAnsi="Arial" w:cs="Arial"/>
          <w:b/>
          <w:bCs/>
          <w:lang w:val="es-MX" w:eastAsia="ja-JP"/>
        </w:rPr>
        <w:t>ANEXO</w:t>
      </w:r>
    </w:p>
    <w:p w14:paraId="3AD8778F" w14:textId="77777777" w:rsidR="00320845" w:rsidRDefault="00320845" w:rsidP="00320845">
      <w:pPr>
        <w:jc w:val="center"/>
        <w:rPr>
          <w:rFonts w:ascii="Arial" w:eastAsia="MS Mincho" w:hAnsi="Arial" w:cs="Arial"/>
          <w:b/>
          <w:bCs/>
          <w:lang w:val="es-MX" w:eastAsia="ja-JP"/>
        </w:rPr>
      </w:pPr>
    </w:p>
    <w:p w14:paraId="4B5326E5" w14:textId="2F4118B6"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61853772" w14:textId="77777777" w:rsidR="0055097C"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 xml:space="preserve">INDICADOR MENSUAL OPORTUNO DE LA ACTIVIDAD MANUFACTURERA (IMOAM) </w:t>
      </w:r>
    </w:p>
    <w:p w14:paraId="5007F3DC" w14:textId="19820D15" w:rsidR="00340060" w:rsidRPr="00340060" w:rsidRDefault="0055097C" w:rsidP="00340060">
      <w:pPr>
        <w:jc w:val="center"/>
        <w:rPr>
          <w:rFonts w:ascii="Arial" w:eastAsia="MS Mincho" w:hAnsi="Arial" w:cs="Arial"/>
          <w:b/>
          <w:bCs/>
          <w:lang w:val="es-MX" w:eastAsia="ja-JP"/>
        </w:rPr>
      </w:pPr>
      <w:r>
        <w:rPr>
          <w:rFonts w:ascii="Arial" w:eastAsia="MS Mincho" w:hAnsi="Arial" w:cs="Arial"/>
          <w:b/>
          <w:bCs/>
          <w:lang w:val="es-MX" w:eastAsia="ja-JP"/>
        </w:rPr>
        <w:t>A</w:t>
      </w:r>
      <w:r w:rsidR="00340060" w:rsidRPr="00340060">
        <w:rPr>
          <w:rFonts w:ascii="Arial" w:eastAsia="MS Mincho" w:hAnsi="Arial" w:cs="Arial"/>
          <w:b/>
          <w:bCs/>
          <w:lang w:val="es-MX" w:eastAsia="ja-JP"/>
        </w:rPr>
        <w:t xml:space="preserve"> </w:t>
      </w:r>
      <w:r w:rsidR="001541CD">
        <w:rPr>
          <w:rFonts w:ascii="Arial" w:eastAsia="MS Mincho" w:hAnsi="Arial" w:cs="Arial"/>
          <w:b/>
          <w:bCs/>
          <w:lang w:val="es-MX" w:eastAsia="ja-JP"/>
        </w:rPr>
        <w:t>DIC</w:t>
      </w:r>
      <w:r w:rsidR="00700FEF">
        <w:rPr>
          <w:rFonts w:ascii="Arial" w:eastAsia="MS Mincho" w:hAnsi="Arial" w:cs="Arial"/>
          <w:b/>
          <w:bCs/>
          <w:lang w:val="es-MX" w:eastAsia="ja-JP"/>
        </w:rPr>
        <w:t>IEMBRE</w:t>
      </w:r>
      <w:r w:rsidR="00340060" w:rsidRPr="00340060">
        <w:rPr>
          <w:rFonts w:ascii="Arial" w:eastAsia="MS Mincho" w:hAnsi="Arial" w:cs="Arial"/>
          <w:b/>
          <w:bCs/>
          <w:lang w:val="es-MX" w:eastAsia="ja-JP"/>
        </w:rPr>
        <w:t xml:space="preserve"> DE 2021</w:t>
      </w:r>
    </w:p>
    <w:p w14:paraId="5C232280" w14:textId="77777777" w:rsidR="00340060" w:rsidRPr="00052B5B" w:rsidRDefault="00340060" w:rsidP="00340060">
      <w:pPr>
        <w:jc w:val="both"/>
        <w:rPr>
          <w:lang w:val="es-MX"/>
        </w:rPr>
      </w:pPr>
    </w:p>
    <w:p w14:paraId="4AEF71B3" w14:textId="08D39C4A"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DA7591">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concernientes a la evolución de la economía nacional.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usando variables obtenidas del aprovechamiento de registros administrativos provenientes</w:t>
      </w:r>
      <w:r w:rsidR="00676132">
        <w:rPr>
          <w:rFonts w:ascii="Arial" w:hAnsi="Arial" w:cs="Arial"/>
          <w:lang w:val="es-MX"/>
        </w:rPr>
        <w:t>,</w:t>
      </w:r>
      <w:r w:rsidRPr="00340060">
        <w:rPr>
          <w:rFonts w:ascii="Arial" w:hAnsi="Arial" w:cs="Arial"/>
          <w:lang w:val="es-MX"/>
        </w:rPr>
        <w:t xml:space="preserve"> principalmente</w:t>
      </w:r>
      <w:r w:rsidR="00676132">
        <w:rPr>
          <w:rFonts w:ascii="Arial" w:hAnsi="Arial" w:cs="Arial"/>
          <w:lang w:val="es-MX"/>
        </w:rPr>
        <w:t>,</w:t>
      </w:r>
      <w:r w:rsidRPr="00340060">
        <w:rPr>
          <w:rFonts w:ascii="Arial" w:hAnsi="Arial" w:cs="Arial"/>
          <w:lang w:val="es-MX"/>
        </w:rPr>
        <w:t xml:space="preserv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680CB938" w:rsidR="00340060" w:rsidRP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w:t>
      </w:r>
      <w:r w:rsidR="00CC4160">
        <w:rPr>
          <w:rFonts w:ascii="Arial" w:hAnsi="Arial" w:cs="Arial"/>
          <w:lang w:val="es-MX"/>
        </w:rPr>
        <w:t>gráfica</w:t>
      </w:r>
      <w:r w:rsidRPr="00340060">
        <w:rPr>
          <w:rFonts w:ascii="Arial" w:hAnsi="Arial" w:cs="Arial"/>
          <w:lang w:val="es-MX"/>
        </w:rPr>
        <w:t xml:space="preserve"> 1 muestra las estimaciones IMOAM </w:t>
      </w:r>
      <w:r w:rsidR="006C001C">
        <w:rPr>
          <w:rFonts w:ascii="Arial" w:hAnsi="Arial" w:cs="Arial"/>
          <w:lang w:val="es-MX"/>
        </w:rPr>
        <w:t>para el</w:t>
      </w:r>
      <w:r w:rsidRPr="00340060">
        <w:rPr>
          <w:rFonts w:ascii="Arial" w:hAnsi="Arial" w:cs="Arial"/>
          <w:lang w:val="es-MX"/>
        </w:rPr>
        <w:t xml:space="preserve"> índice IMAI </w:t>
      </w:r>
      <w:r w:rsidR="00DA7591">
        <w:rPr>
          <w:rFonts w:ascii="Arial" w:hAnsi="Arial" w:cs="Arial"/>
          <w:lang w:val="es-MX"/>
        </w:rPr>
        <w:t>sector manufacturero</w:t>
      </w:r>
      <w:r w:rsidRPr="00340060">
        <w:rPr>
          <w:rFonts w:ascii="Arial" w:hAnsi="Arial" w:cs="Arial"/>
          <w:lang w:val="es-MX"/>
        </w:rPr>
        <w:t xml:space="preserve">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 xml:space="preserve">valores oficiales del IMAI </w:t>
      </w:r>
      <w:r w:rsidR="00DA7591">
        <w:rPr>
          <w:rFonts w:ascii="Arial" w:hAnsi="Arial" w:cs="Arial"/>
          <w:lang w:val="es-MX"/>
        </w:rPr>
        <w:t>sector manufacturero</w:t>
      </w:r>
      <w:r w:rsidRPr="00340060">
        <w:rPr>
          <w:rFonts w:ascii="Arial" w:hAnsi="Arial" w:cs="Arial"/>
          <w:lang w:val="es-MX"/>
        </w:rPr>
        <w:t xml:space="preserve"> (línea sólida)</w:t>
      </w:r>
      <w:r w:rsidR="00134E4A">
        <w:rPr>
          <w:rFonts w:ascii="Arial" w:hAnsi="Arial" w:cs="Arial"/>
          <w:lang w:val="es-MX"/>
        </w:rPr>
        <w:t>.</w:t>
      </w:r>
      <w:r w:rsidR="00676132">
        <w:rPr>
          <w:rFonts w:ascii="Arial" w:hAnsi="Arial" w:cs="Arial"/>
          <w:lang w:val="es-MX"/>
        </w:rPr>
        <w:t xml:space="preserve"> L</w:t>
      </w:r>
      <w:r w:rsidRPr="00340060">
        <w:rPr>
          <w:rFonts w:ascii="Arial" w:hAnsi="Arial" w:cs="Arial"/>
          <w:lang w:val="es-MX"/>
        </w:rPr>
        <w:t xml:space="preserve">a </w:t>
      </w:r>
      <w:r w:rsidR="00CC4160">
        <w:rPr>
          <w:rFonts w:ascii="Arial" w:hAnsi="Arial" w:cs="Arial"/>
          <w:lang w:val="es-MX"/>
        </w:rPr>
        <w:t>gráfica</w:t>
      </w:r>
      <w:r w:rsidRPr="00340060">
        <w:rPr>
          <w:rFonts w:ascii="Arial" w:hAnsi="Arial" w:cs="Arial"/>
          <w:lang w:val="es-MX"/>
        </w:rPr>
        <w:t xml:space="preserve"> 2 muestra las estimaciones de las variaciones porcentuales anuales del IMAI </w:t>
      </w:r>
      <w:r w:rsidR="00DA7591">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0B810F5F" w14:textId="31B2E7DB" w:rsidR="00340060" w:rsidRDefault="00340060" w:rsidP="00340060"/>
    <w:p w14:paraId="64FA8269" w14:textId="7969E410"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1</w:t>
      </w:r>
      <w:r w:rsidRPr="00364C64">
        <w:rPr>
          <w:rFonts w:ascii="Arial" w:hAnsi="Arial" w:cs="Arial"/>
          <w:sz w:val="20"/>
          <w:szCs w:val="20"/>
          <w:lang w:val="es-MX"/>
        </w:rPr>
        <w:t>.</w:t>
      </w:r>
    </w:p>
    <w:p w14:paraId="31ECFD33" w14:textId="3F63932C" w:rsidR="00364C64" w:rsidRPr="00364C64" w:rsidRDefault="00366E1A" w:rsidP="00364C64">
      <w:pPr>
        <w:jc w:val="center"/>
        <w:rPr>
          <w:rFonts w:ascii="Arial" w:hAnsi="Arial" w:cs="Arial"/>
          <w:b/>
          <w:smallCaps/>
          <w:sz w:val="20"/>
          <w:szCs w:val="20"/>
          <w:lang w:val="es-MX"/>
        </w:rPr>
      </w:pPr>
      <w:r>
        <w:rPr>
          <w:rFonts w:ascii="Arial" w:hAnsi="Arial" w:cs="Arial"/>
          <w:b/>
          <w:smallCaps/>
          <w:sz w:val="20"/>
          <w:szCs w:val="20"/>
          <w:lang w:val="es-MX"/>
        </w:rPr>
        <w:t>Estimaciones</w:t>
      </w:r>
      <w:r w:rsidR="00364C64" w:rsidRPr="00364C64">
        <w:rPr>
          <w:rFonts w:ascii="Arial" w:hAnsi="Arial" w:cs="Arial"/>
          <w:b/>
          <w:smallCaps/>
          <w:sz w:val="20"/>
          <w:szCs w:val="20"/>
          <w:lang w:val="es-MX"/>
        </w:rPr>
        <w:t xml:space="preserve"> </w:t>
      </w:r>
      <w:r w:rsidR="00364C64">
        <w:rPr>
          <w:rFonts w:ascii="Arial" w:hAnsi="Arial" w:cs="Arial"/>
          <w:b/>
          <w:smallCaps/>
          <w:sz w:val="20"/>
          <w:szCs w:val="20"/>
          <w:lang w:val="es-MX"/>
        </w:rPr>
        <w:t>IMOAM</w:t>
      </w:r>
      <w:r>
        <w:rPr>
          <w:rFonts w:ascii="Arial" w:hAnsi="Arial" w:cs="Arial"/>
          <w:b/>
          <w:smallCaps/>
          <w:sz w:val="20"/>
          <w:szCs w:val="20"/>
          <w:lang w:val="es-MX"/>
        </w:rPr>
        <w:t xml:space="preserve"> para </w:t>
      </w:r>
      <w:r w:rsidR="00BE5102">
        <w:rPr>
          <w:rFonts w:ascii="Arial" w:hAnsi="Arial" w:cs="Arial"/>
          <w:b/>
          <w:smallCaps/>
          <w:sz w:val="20"/>
          <w:szCs w:val="20"/>
          <w:lang w:val="es-MX"/>
        </w:rPr>
        <w:t>el índice IMAI sector manufacturero</w:t>
      </w:r>
    </w:p>
    <w:p w14:paraId="507EFA2D" w14:textId="038663E8" w:rsidR="00271894" w:rsidRDefault="00271894" w:rsidP="00340060"/>
    <w:p w14:paraId="1DC2A990" w14:textId="368D2F94" w:rsidR="006C1DED" w:rsidRDefault="006C1DED" w:rsidP="006C1DED">
      <w:pPr>
        <w:jc w:val="center"/>
      </w:pPr>
      <w:r w:rsidRPr="006C1DED">
        <w:rPr>
          <w:noProof/>
        </w:rPr>
        <w:drawing>
          <wp:inline distT="0" distB="0" distL="0" distR="0" wp14:anchorId="00ECE358" wp14:editId="5506F717">
            <wp:extent cx="5971429" cy="275576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7079" cy="2758375"/>
                    </a:xfrm>
                    <a:prstGeom prst="rect">
                      <a:avLst/>
                    </a:prstGeom>
                    <a:noFill/>
                    <a:ln>
                      <a:noFill/>
                    </a:ln>
                  </pic:spPr>
                </pic:pic>
              </a:graphicData>
            </a:graphic>
          </wp:inline>
        </w:drawing>
      </w:r>
    </w:p>
    <w:p w14:paraId="081FA3A9" w14:textId="5D318CD2" w:rsidR="00340060" w:rsidRDefault="00340060" w:rsidP="00340060">
      <w:pPr>
        <w:rPr>
          <w:rFonts w:ascii="Arial" w:hAnsi="Arial" w:cs="Arial"/>
          <w:b/>
          <w:bCs/>
          <w:sz w:val="20"/>
          <w:szCs w:val="20"/>
          <w:lang w:val="es-MX"/>
        </w:rPr>
      </w:pPr>
    </w:p>
    <w:p w14:paraId="395D0BA9" w14:textId="77777777" w:rsidR="00700FEF" w:rsidRDefault="00700FEF" w:rsidP="00340060">
      <w:pPr>
        <w:rPr>
          <w:rFonts w:ascii="Arial" w:hAnsi="Arial" w:cs="Arial"/>
          <w:b/>
          <w:bCs/>
          <w:sz w:val="20"/>
          <w:szCs w:val="20"/>
          <w:lang w:val="es-MX"/>
        </w:rPr>
      </w:pPr>
    </w:p>
    <w:p w14:paraId="1E14278F" w14:textId="063E4CE1" w:rsidR="00340060" w:rsidRDefault="00340060" w:rsidP="00340060">
      <w:pPr>
        <w:rPr>
          <w:rFonts w:ascii="Arial" w:hAnsi="Arial" w:cs="Arial"/>
          <w:sz w:val="20"/>
          <w:szCs w:val="20"/>
          <w:lang w:val="es-MX"/>
        </w:rPr>
      </w:pPr>
    </w:p>
    <w:p w14:paraId="055C45A4" w14:textId="3FE85FB2"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2</w:t>
      </w:r>
      <w:r w:rsidRPr="00364C64">
        <w:rPr>
          <w:rFonts w:ascii="Arial" w:hAnsi="Arial" w:cs="Arial"/>
          <w:sz w:val="20"/>
          <w:szCs w:val="20"/>
          <w:lang w:val="es-MX"/>
        </w:rPr>
        <w:t>.</w:t>
      </w:r>
    </w:p>
    <w:p w14:paraId="07486DAC" w14:textId="54677BF9" w:rsidR="00340060" w:rsidRDefault="00364C64" w:rsidP="00364C64">
      <w:pPr>
        <w:jc w:val="center"/>
        <w:rPr>
          <w:rFonts w:ascii="Arial" w:hAnsi="Arial" w:cs="Arial"/>
          <w:b/>
          <w:smallCaps/>
          <w:sz w:val="22"/>
          <w:szCs w:val="22"/>
          <w:lang w:val="es-MX"/>
        </w:rPr>
      </w:pPr>
      <w:r w:rsidRPr="00364C64">
        <w:rPr>
          <w:rFonts w:ascii="Arial" w:hAnsi="Arial" w:cs="Arial"/>
          <w:b/>
          <w:smallCaps/>
          <w:sz w:val="22"/>
          <w:szCs w:val="22"/>
          <w:lang w:val="es-MX"/>
        </w:rPr>
        <w:t xml:space="preserve">Estimaciones IMOAM </w:t>
      </w:r>
      <w:r w:rsidR="004F7C37">
        <w:rPr>
          <w:rFonts w:ascii="Arial" w:hAnsi="Arial" w:cs="Arial"/>
          <w:b/>
          <w:smallCaps/>
          <w:sz w:val="22"/>
          <w:szCs w:val="22"/>
          <w:lang w:val="es-MX"/>
        </w:rPr>
        <w:t xml:space="preserve"> para las variaciones porcentuales del IMAI sector manufacturero</w:t>
      </w:r>
    </w:p>
    <w:p w14:paraId="210BE151" w14:textId="5FCF9C71" w:rsidR="004952F9" w:rsidRDefault="004952F9" w:rsidP="00364C64">
      <w:pPr>
        <w:jc w:val="center"/>
        <w:rPr>
          <w:rFonts w:ascii="Arial" w:hAnsi="Arial" w:cs="Arial"/>
          <w:b/>
          <w:smallCaps/>
          <w:sz w:val="22"/>
          <w:szCs w:val="22"/>
          <w:lang w:val="es-MX"/>
        </w:rPr>
      </w:pPr>
    </w:p>
    <w:p w14:paraId="5DD2CCAE" w14:textId="26CDDE88" w:rsidR="004F7C37" w:rsidRPr="00364C64" w:rsidRDefault="004F7C37" w:rsidP="00364C64">
      <w:pPr>
        <w:jc w:val="center"/>
        <w:rPr>
          <w:rFonts w:ascii="Arial" w:hAnsi="Arial" w:cs="Arial"/>
          <w:b/>
          <w:smallCaps/>
          <w:sz w:val="22"/>
          <w:szCs w:val="22"/>
          <w:lang w:val="es-MX"/>
        </w:rPr>
      </w:pPr>
      <w:r w:rsidRPr="004F7C37">
        <w:rPr>
          <w:noProof/>
        </w:rPr>
        <w:drawing>
          <wp:inline distT="0" distB="0" distL="0" distR="0" wp14:anchorId="53A38D6D" wp14:editId="4A1CA494">
            <wp:extent cx="6332220" cy="286448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32220" cy="2864485"/>
                    </a:xfrm>
                    <a:prstGeom prst="rect">
                      <a:avLst/>
                    </a:prstGeom>
                    <a:noFill/>
                    <a:ln>
                      <a:noFill/>
                    </a:ln>
                  </pic:spPr>
                </pic:pic>
              </a:graphicData>
            </a:graphic>
          </wp:inline>
        </w:drawing>
      </w:r>
    </w:p>
    <w:p w14:paraId="307584AE" w14:textId="77777777" w:rsidR="00340060" w:rsidRPr="00340060" w:rsidRDefault="00340060" w:rsidP="00340060">
      <w:pPr>
        <w:rPr>
          <w:rFonts w:ascii="Arial" w:hAnsi="Arial" w:cs="Arial"/>
          <w:sz w:val="20"/>
          <w:szCs w:val="20"/>
          <w:lang w:val="es-MX"/>
        </w:rPr>
      </w:pPr>
    </w:p>
    <w:p w14:paraId="77EB3267" w14:textId="2E7B9ADE" w:rsidR="00340060" w:rsidRPr="006361A1" w:rsidRDefault="00340060" w:rsidP="00340060">
      <w:pPr>
        <w:rPr>
          <w:lang w:val="es-MX"/>
        </w:rPr>
      </w:pPr>
    </w:p>
    <w:p w14:paraId="77A72362" w14:textId="77777777" w:rsidR="00340060" w:rsidRDefault="00340060" w:rsidP="00340060">
      <w:pPr>
        <w:rPr>
          <w:rFonts w:ascii="Arial" w:hAnsi="Arial" w:cs="Arial"/>
          <w:b/>
          <w:bCs/>
          <w:sz w:val="20"/>
          <w:szCs w:val="20"/>
          <w:lang w:val="es-MX"/>
        </w:rPr>
      </w:pPr>
    </w:p>
    <w:p w14:paraId="1D9A8909" w14:textId="37A9C4DD" w:rsidR="00340060" w:rsidRDefault="00340060" w:rsidP="003C3183">
      <w:pPr>
        <w:ind w:right="-1"/>
        <w:jc w:val="center"/>
        <w:rPr>
          <w:rFonts w:ascii="Arial" w:hAnsi="Arial" w:cs="Arial"/>
          <w:sz w:val="20"/>
          <w:szCs w:val="20"/>
          <w:lang w:val="es-MX"/>
        </w:rPr>
      </w:pPr>
    </w:p>
    <w:p w14:paraId="06F2223D" w14:textId="12182A5F" w:rsidR="00073292" w:rsidRDefault="00073292" w:rsidP="003C3183">
      <w:pPr>
        <w:ind w:right="-1"/>
        <w:jc w:val="center"/>
        <w:rPr>
          <w:rFonts w:ascii="Arial" w:hAnsi="Arial" w:cs="Arial"/>
          <w:sz w:val="20"/>
          <w:szCs w:val="20"/>
          <w:lang w:val="es-MX"/>
        </w:rPr>
      </w:pPr>
    </w:p>
    <w:p w14:paraId="441E386E" w14:textId="5667BD75" w:rsidR="00073292" w:rsidRDefault="00073292" w:rsidP="003C3183">
      <w:pPr>
        <w:ind w:right="-1"/>
        <w:jc w:val="center"/>
        <w:rPr>
          <w:rFonts w:ascii="Arial" w:hAnsi="Arial" w:cs="Arial"/>
          <w:sz w:val="20"/>
          <w:szCs w:val="20"/>
          <w:lang w:val="es-MX"/>
        </w:rPr>
      </w:pPr>
    </w:p>
    <w:p w14:paraId="64DC281D" w14:textId="6CFBCEFA" w:rsidR="00073292" w:rsidRDefault="00073292" w:rsidP="003C3183">
      <w:pPr>
        <w:ind w:right="-1"/>
        <w:jc w:val="center"/>
        <w:rPr>
          <w:rFonts w:ascii="Arial" w:hAnsi="Arial" w:cs="Arial"/>
          <w:sz w:val="20"/>
          <w:szCs w:val="20"/>
          <w:lang w:val="es-MX"/>
        </w:rPr>
      </w:pPr>
    </w:p>
    <w:p w14:paraId="134042FC" w14:textId="23568242" w:rsidR="00073292" w:rsidRDefault="00073292" w:rsidP="003C3183">
      <w:pPr>
        <w:ind w:right="-1"/>
        <w:jc w:val="center"/>
        <w:rPr>
          <w:rFonts w:ascii="Arial" w:hAnsi="Arial" w:cs="Arial"/>
          <w:sz w:val="20"/>
          <w:szCs w:val="20"/>
          <w:lang w:val="es-MX"/>
        </w:rPr>
      </w:pPr>
    </w:p>
    <w:p w14:paraId="48CFE71B" w14:textId="6AE1DB6F" w:rsidR="00073292" w:rsidRDefault="00073292" w:rsidP="003C3183">
      <w:pPr>
        <w:ind w:right="-1"/>
        <w:jc w:val="center"/>
        <w:rPr>
          <w:rFonts w:ascii="Arial" w:hAnsi="Arial" w:cs="Arial"/>
          <w:sz w:val="20"/>
          <w:szCs w:val="20"/>
          <w:lang w:val="es-MX"/>
        </w:rPr>
      </w:pPr>
    </w:p>
    <w:p w14:paraId="16C1D8FA" w14:textId="25ADA093" w:rsidR="00073292" w:rsidRDefault="00073292" w:rsidP="003C3183">
      <w:pPr>
        <w:ind w:right="-1"/>
        <w:jc w:val="center"/>
        <w:rPr>
          <w:rFonts w:ascii="Arial" w:hAnsi="Arial" w:cs="Arial"/>
          <w:sz w:val="20"/>
          <w:szCs w:val="20"/>
          <w:lang w:val="es-MX"/>
        </w:rPr>
      </w:pPr>
    </w:p>
    <w:p w14:paraId="10F5F242" w14:textId="465B930F" w:rsidR="00073292" w:rsidRDefault="00073292" w:rsidP="003C3183">
      <w:pPr>
        <w:ind w:right="-1"/>
        <w:jc w:val="center"/>
        <w:rPr>
          <w:rFonts w:ascii="Arial" w:hAnsi="Arial" w:cs="Arial"/>
          <w:sz w:val="20"/>
          <w:szCs w:val="20"/>
          <w:lang w:val="es-MX"/>
        </w:rPr>
      </w:pPr>
    </w:p>
    <w:p w14:paraId="4225926C" w14:textId="366F0942" w:rsidR="00073292" w:rsidRDefault="00073292" w:rsidP="003C3183">
      <w:pPr>
        <w:ind w:right="-1"/>
        <w:jc w:val="center"/>
        <w:rPr>
          <w:rFonts w:ascii="Arial" w:hAnsi="Arial" w:cs="Arial"/>
          <w:sz w:val="20"/>
          <w:szCs w:val="20"/>
          <w:lang w:val="es-MX"/>
        </w:rPr>
      </w:pPr>
    </w:p>
    <w:p w14:paraId="5CC30284" w14:textId="40445E1D" w:rsidR="00073292" w:rsidRDefault="00073292" w:rsidP="003C3183">
      <w:pPr>
        <w:ind w:right="-1"/>
        <w:jc w:val="center"/>
        <w:rPr>
          <w:rFonts w:ascii="Arial" w:hAnsi="Arial" w:cs="Arial"/>
          <w:sz w:val="20"/>
          <w:szCs w:val="20"/>
          <w:lang w:val="es-MX"/>
        </w:rPr>
      </w:pPr>
    </w:p>
    <w:p w14:paraId="19DB6869" w14:textId="114150E0" w:rsidR="00073292" w:rsidRDefault="00073292" w:rsidP="003C3183">
      <w:pPr>
        <w:ind w:right="-1"/>
        <w:jc w:val="center"/>
        <w:rPr>
          <w:rFonts w:ascii="Arial" w:hAnsi="Arial" w:cs="Arial"/>
          <w:sz w:val="20"/>
          <w:szCs w:val="20"/>
          <w:lang w:val="es-MX"/>
        </w:rPr>
      </w:pPr>
    </w:p>
    <w:p w14:paraId="11C854DB" w14:textId="4D6C00DE" w:rsidR="00073292" w:rsidRDefault="00073292" w:rsidP="003C3183">
      <w:pPr>
        <w:ind w:right="-1"/>
        <w:jc w:val="center"/>
        <w:rPr>
          <w:rFonts w:ascii="Arial" w:hAnsi="Arial" w:cs="Arial"/>
          <w:sz w:val="20"/>
          <w:szCs w:val="20"/>
          <w:lang w:val="es-MX"/>
        </w:rPr>
      </w:pPr>
    </w:p>
    <w:p w14:paraId="436A1E0A" w14:textId="590F33DB" w:rsidR="00073292" w:rsidRDefault="00073292" w:rsidP="003C3183">
      <w:pPr>
        <w:ind w:right="-1"/>
        <w:jc w:val="center"/>
        <w:rPr>
          <w:rFonts w:ascii="Arial" w:hAnsi="Arial" w:cs="Arial"/>
          <w:sz w:val="20"/>
          <w:szCs w:val="20"/>
          <w:lang w:val="es-MX"/>
        </w:rPr>
      </w:pPr>
    </w:p>
    <w:p w14:paraId="1A71C7A0" w14:textId="1A0404D1" w:rsidR="00073292" w:rsidRDefault="00073292" w:rsidP="00A36413">
      <w:pPr>
        <w:ind w:right="-1"/>
        <w:rPr>
          <w:rFonts w:ascii="Arial" w:hAnsi="Arial" w:cs="Arial"/>
          <w:sz w:val="20"/>
          <w:szCs w:val="20"/>
          <w:lang w:val="es-MX"/>
        </w:rPr>
      </w:pPr>
    </w:p>
    <w:p w14:paraId="2739888A" w14:textId="6537DBF7" w:rsidR="00073292" w:rsidRDefault="00073292" w:rsidP="003C3183">
      <w:pPr>
        <w:ind w:right="-1"/>
        <w:jc w:val="center"/>
        <w:rPr>
          <w:rFonts w:ascii="Arial" w:hAnsi="Arial" w:cs="Arial"/>
          <w:sz w:val="20"/>
          <w:szCs w:val="20"/>
          <w:lang w:val="es-MX"/>
        </w:rPr>
      </w:pPr>
    </w:p>
    <w:p w14:paraId="2AFE77A9" w14:textId="7F415B91" w:rsidR="00073292" w:rsidRDefault="00073292" w:rsidP="003C3183">
      <w:pPr>
        <w:ind w:right="-1"/>
        <w:jc w:val="center"/>
        <w:rPr>
          <w:rFonts w:ascii="Arial" w:hAnsi="Arial" w:cs="Arial"/>
          <w:sz w:val="20"/>
          <w:szCs w:val="20"/>
          <w:lang w:val="es-MX"/>
        </w:rPr>
      </w:pPr>
    </w:p>
    <w:p w14:paraId="0962CD54" w14:textId="2E6BC88A" w:rsidR="00073292" w:rsidRDefault="00073292" w:rsidP="003C3183">
      <w:pPr>
        <w:ind w:right="-1"/>
        <w:jc w:val="center"/>
        <w:rPr>
          <w:rFonts w:ascii="Arial" w:hAnsi="Arial" w:cs="Arial"/>
          <w:sz w:val="20"/>
          <w:szCs w:val="20"/>
          <w:lang w:val="es-MX"/>
        </w:rPr>
      </w:pPr>
    </w:p>
    <w:p w14:paraId="2DF0BE48" w14:textId="77777777" w:rsidR="00CC4160" w:rsidRDefault="00CC4160">
      <w:pPr>
        <w:spacing w:after="160" w:line="259" w:lineRule="auto"/>
        <w:rPr>
          <w:rFonts w:ascii="Arial" w:eastAsia="MS Mincho" w:hAnsi="Arial" w:cs="Arial"/>
          <w:b/>
          <w:bCs/>
          <w:lang w:val="es-MX" w:eastAsia="ja-JP"/>
        </w:rPr>
      </w:pPr>
      <w:r>
        <w:rPr>
          <w:rFonts w:ascii="Arial" w:eastAsia="MS Mincho" w:hAnsi="Arial" w:cs="Arial"/>
          <w:b/>
          <w:bCs/>
          <w:lang w:val="es-MX" w:eastAsia="ja-JP"/>
        </w:rPr>
        <w:br w:type="page"/>
      </w:r>
    </w:p>
    <w:p w14:paraId="0083A426" w14:textId="77777777" w:rsidR="00CC4160" w:rsidRDefault="00CC4160" w:rsidP="00073292">
      <w:pPr>
        <w:jc w:val="center"/>
        <w:rPr>
          <w:rFonts w:ascii="Arial" w:eastAsia="MS Mincho" w:hAnsi="Arial" w:cs="Arial"/>
          <w:b/>
          <w:bCs/>
          <w:lang w:val="es-MX" w:eastAsia="ja-JP"/>
        </w:rPr>
      </w:pPr>
    </w:p>
    <w:p w14:paraId="09815B66" w14:textId="07C08A3B"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77F9125F" w14:textId="603159AB" w:rsidR="00073292" w:rsidRDefault="00A36413" w:rsidP="00A36413">
      <w:pPr>
        <w:tabs>
          <w:tab w:val="left" w:pos="3390"/>
        </w:tabs>
        <w:ind w:right="-1"/>
        <w:rPr>
          <w:rFonts w:ascii="Arial" w:hAnsi="Arial" w:cs="Arial"/>
          <w:sz w:val="20"/>
          <w:szCs w:val="20"/>
          <w:lang w:val="es-MX"/>
        </w:rPr>
      </w:pPr>
      <w:r>
        <w:rPr>
          <w:rFonts w:ascii="Arial" w:hAnsi="Arial" w:cs="Arial"/>
          <w:sz w:val="20"/>
          <w:szCs w:val="20"/>
          <w:lang w:val="es-MX"/>
        </w:rPr>
        <w:tab/>
      </w:r>
    </w:p>
    <w:p w14:paraId="3F4F4AA2" w14:textId="77777777" w:rsidR="00A36413" w:rsidRDefault="00A36413" w:rsidP="00073292">
      <w:pPr>
        <w:shd w:val="clear" w:color="auto" w:fill="FFFFFF"/>
        <w:ind w:firstLine="340"/>
        <w:jc w:val="both"/>
        <w:rPr>
          <w:rFonts w:ascii="Arial" w:hAnsi="Arial" w:cs="Arial"/>
        </w:rPr>
      </w:pPr>
    </w:p>
    <w:p w14:paraId="4464A95D" w14:textId="2B5A9A26" w:rsidR="00073292" w:rsidRPr="00364C64" w:rsidRDefault="00073292" w:rsidP="004349CB">
      <w:pPr>
        <w:jc w:val="both"/>
        <w:rPr>
          <w:rFonts w:ascii="Arial" w:hAnsi="Arial" w:cs="Arial"/>
          <w:b/>
        </w:rPr>
      </w:pPr>
      <w:r w:rsidRPr="00364C64">
        <w:rPr>
          <w:rFonts w:ascii="Arial" w:hAnsi="Arial" w:cs="Arial"/>
          <w:b/>
        </w:rPr>
        <w:t xml:space="preserve">Proceso de construcción del </w:t>
      </w:r>
      <w:r w:rsidR="004349CB">
        <w:rPr>
          <w:rFonts w:ascii="Arial" w:hAnsi="Arial" w:cs="Arial"/>
          <w:b/>
        </w:rPr>
        <w:t>Indicador Mensual Oportuno de la Actividad Manufacturera (IMOAM)</w:t>
      </w:r>
    </w:p>
    <w:p w14:paraId="0B1D68E9" w14:textId="0353CB16" w:rsidR="00410452" w:rsidRDefault="004349CB" w:rsidP="00073292">
      <w:pPr>
        <w:shd w:val="clear" w:color="auto" w:fill="FFFFFF"/>
        <w:jc w:val="both"/>
        <w:rPr>
          <w:rFonts w:ascii="Arial" w:hAnsi="Arial" w:cs="Arial"/>
        </w:rPr>
      </w:pPr>
      <w:r w:rsidRPr="00364C64">
        <w:rPr>
          <w:rFonts w:ascii="Arial" w:hAnsi="Arial" w:cs="Arial"/>
          <w:b/>
          <w:noProof/>
        </w:rPr>
        <mc:AlternateContent>
          <mc:Choice Requires="wps">
            <w:drawing>
              <wp:anchor distT="0" distB="0" distL="114300" distR="114300" simplePos="0" relativeHeight="251664384" behindDoc="0" locked="0" layoutInCell="1" allowOverlap="1" wp14:anchorId="6CA29223" wp14:editId="49115255">
                <wp:simplePos x="0" y="0"/>
                <wp:positionH relativeFrom="margin">
                  <wp:align>right</wp:align>
                </wp:positionH>
                <wp:positionV relativeFrom="paragraph">
                  <wp:posOffset>-1988</wp:posOffset>
                </wp:positionV>
                <wp:extent cx="6273579" cy="7951"/>
                <wp:effectExtent l="0" t="0" r="32385" b="30480"/>
                <wp:wrapNone/>
                <wp:docPr id="32" name="Conector recto 32"/>
                <wp:cNvGraphicFramePr/>
                <a:graphic xmlns:a="http://schemas.openxmlformats.org/drawingml/2006/main">
                  <a:graphicData uri="http://schemas.microsoft.com/office/word/2010/wordprocessingShape">
                    <wps:wsp>
                      <wps:cNvCnPr/>
                      <wps:spPr>
                        <a:xfrm flipV="1">
                          <a:off x="0" y="0"/>
                          <a:ext cx="6273579"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2A07E" id="Conector recto 3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8pt,-.15pt" to="93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UQxwEAAOsDAAAOAAAAZHJzL2Uyb0RvYy54bWysU01v2zAMvQ/YfxB0X+xkaLMacXpo0V2G&#10;ttjXXZWpWIAkCpIWO/++lJw4/Tht2EWQRfLxvUd6cz1aw/YQokbX8uWi5gycxE67Xct//bz79IWz&#10;mITrhEEHLT9A5Nfbjx82g29ghT2aDgIjEBebwbe8T8k3VRVlD1bEBXpwFFQYrEj0GXZVF8RA6NZU&#10;q7q+rAYMnQ8oIUZ6vZ2CfFvwlQKZHpSKkJhpOXFL5QzlfMpntd2IZheE77U80hD/wMIK7ajpDHUr&#10;kmB/gn4HZbUMGFGlhURboVJaQtFAapb1GzU/euGhaCFzop9tiv8PVt7vb9xjIBsGH5voH0NWMapg&#10;mTLa/6aZFl3ElI3FtsNsG4yJSXq8XK0/X6yvOJMUW19dLLOr1YSS0XyI6SugZfnScqNdFiUasf8W&#10;05R6SsnPxrGB2q7WdV3SIhrd3WljcrAsBtyYwPaCRprGU7MXWdTaOGJwVlRu6WBgwv8OiumOmE/a&#10;3mAKKcGlE65xlJ3LFDGYC4/M8paeybwuPObnUiiL+DfFc0XpjC7NxVY7DJMvr7ufrVBT/smBSXe2&#10;4Am7Q5l1sYY2qozpuP15ZV9+l/LzP7p9BgAA//8DAFBLAwQUAAYACAAAACEA4vUkH9oAAAAEAQAA&#10;DwAAAGRycy9kb3ducmV2LnhtbEyPwU7DMBBE70j9B2uRuLVOQalCiFO1oNyQKtoe4ObG2yQiXke2&#10;04a/ZznR42hGM2+K9WR7cUEfOkcKlosEBFLtTEeNguOhmmcgQtRkdO8IFfxggHU5uyt0btyVPvCy&#10;j43gEgq5VtDGOORShrpFq8PCDUjsnZ23OrL0jTReX7nc9vIxSVbS6o54odUDvrZYf+9Hq2D3vltu&#10;vtywOn+m6ZhufSXfQqXUw/20eQERcYr/YfjDZ3QomenkRjJB9Ar4SFQwfwLB5nOWsT5xKgFZFvIW&#10;vvwFAAD//wMAUEsBAi0AFAAGAAgAAAAhALaDOJL+AAAA4QEAABMAAAAAAAAAAAAAAAAAAAAAAFtD&#10;b250ZW50X1R5cGVzXS54bWxQSwECLQAUAAYACAAAACEAOP0h/9YAAACUAQAACwAAAAAAAAAAAAAA&#10;AAAvAQAAX3JlbHMvLnJlbHNQSwECLQAUAAYACAAAACEAEJ2VEMcBAADrAwAADgAAAAAAAAAAAAAA&#10;AAAuAgAAZHJzL2Uyb0RvYy54bWxQSwECLQAUAAYACAAAACEA4vUkH9oAAAAEAQAADwAAAAAAAAAA&#10;AAAAAAAhBAAAZHJzL2Rvd25yZXYueG1sUEsFBgAAAAAEAAQA8wAAACgFAAAAAA==&#10;" strokecolor="black [3213]" strokeweight="1pt">
                <v:stroke joinstyle="miter"/>
                <w10:wrap anchorx="margin"/>
              </v:line>
            </w:pict>
          </mc:Fallback>
        </mc:AlternateContent>
      </w:r>
    </w:p>
    <w:p w14:paraId="698300A0" w14:textId="77777777" w:rsidR="007732C3" w:rsidRDefault="007732C3" w:rsidP="00073292">
      <w:pPr>
        <w:shd w:val="clear" w:color="auto" w:fill="FFFFFF"/>
        <w:jc w:val="both"/>
        <w:rPr>
          <w:rFonts w:ascii="Arial" w:hAnsi="Arial" w:cs="Arial"/>
        </w:rPr>
      </w:pPr>
    </w:p>
    <w:p w14:paraId="76458ED4" w14:textId="5C79CF5D" w:rsidR="007732C3" w:rsidRPr="009D044C" w:rsidRDefault="004349CB" w:rsidP="004349CB">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En este sentido, se ha venido trabajando con las diversas instancias de las administraciones de los ámbitos federal, estatal y municipal con el propósito de aprovechar su potencial estadístico. </w:t>
      </w:r>
      <w:r>
        <w:rPr>
          <w:rFonts w:ascii="Arial" w:hAnsi="Arial" w:cs="Arial"/>
        </w:rPr>
        <w:t xml:space="preserve">Particularmente, el INEGI </w:t>
      </w:r>
      <w:r w:rsidR="007732C3" w:rsidRPr="009D044C">
        <w:rPr>
          <w:rFonts w:ascii="Arial" w:hAnsi="Arial" w:cs="Arial"/>
        </w:rPr>
        <w:t xml:space="preserve">ha venido trabajando con la CFE con la intención de vincular </w:t>
      </w:r>
      <w:r w:rsidR="00F86532" w:rsidRPr="009D044C">
        <w:rPr>
          <w:rFonts w:ascii="Arial" w:hAnsi="Arial" w:cs="Arial"/>
        </w:rPr>
        <w:t>con el Registro Estadístico de Negocios de México</w:t>
      </w:r>
      <w:r w:rsidR="009D044C">
        <w:rPr>
          <w:rFonts w:ascii="Arial" w:hAnsi="Arial" w:cs="Arial"/>
        </w:rPr>
        <w:t xml:space="preserve"> (RENEM)</w:t>
      </w:r>
      <w:r w:rsidR="00F86532" w:rsidRPr="009D044C">
        <w:rPr>
          <w:rFonts w:ascii="Arial" w:hAnsi="Arial" w:cs="Arial"/>
        </w:rPr>
        <w:t xml:space="preserve"> del INEGI </w:t>
      </w:r>
      <w:r w:rsidR="007732C3" w:rsidRPr="009D044C">
        <w:rPr>
          <w:rFonts w:ascii="Arial" w:hAnsi="Arial" w:cs="Arial"/>
        </w:rPr>
        <w:t xml:space="preserve">la información correspondiente a los consumos de energía eléctrica para las unidades económicas </w:t>
      </w:r>
      <w:r w:rsidR="00F86532" w:rsidRPr="009D044C">
        <w:rPr>
          <w:rFonts w:ascii="Arial" w:hAnsi="Arial" w:cs="Arial"/>
        </w:rPr>
        <w:t>más importantes del</w:t>
      </w:r>
      <w:r w:rsidR="009D044C">
        <w:rPr>
          <w:rFonts w:ascii="Arial" w:hAnsi="Arial" w:cs="Arial"/>
        </w:rPr>
        <w:t xml:space="preserve"> país</w:t>
      </w:r>
      <w:r>
        <w:rPr>
          <w:rFonts w:ascii="Arial" w:hAnsi="Arial" w:cs="Arial"/>
        </w:rPr>
        <w:t xml:space="preserve">. </w:t>
      </w:r>
      <w:r w:rsidR="00455F9B" w:rsidRPr="00455F9B">
        <w:rPr>
          <w:rFonts w:ascii="Arial" w:hAnsi="Arial" w:cs="Arial"/>
        </w:rPr>
        <w:t>Mediante un proceso de vinculación entre los consumos de electricidad de la CFE y el RENEM</w:t>
      </w:r>
      <w:r w:rsidR="00A1275F">
        <w:rPr>
          <w:rFonts w:ascii="Arial" w:hAnsi="Arial" w:cs="Arial"/>
        </w:rPr>
        <w:t xml:space="preserve"> </w:t>
      </w:r>
      <w:r w:rsidR="00455F9B" w:rsidRPr="00455F9B">
        <w:rPr>
          <w:rFonts w:ascii="Arial" w:hAnsi="Arial" w:cs="Arial"/>
        </w:rPr>
        <w:t>se logra incrementar la información para cada unidad económica pues</w:t>
      </w:r>
      <w:r w:rsidR="00134E4A">
        <w:rPr>
          <w:rFonts w:ascii="Arial" w:hAnsi="Arial" w:cs="Arial"/>
        </w:rPr>
        <w:t>,</w:t>
      </w:r>
      <w:r w:rsidR="00455F9B" w:rsidRPr="00455F9B">
        <w:rPr>
          <w:rFonts w:ascii="Arial" w:hAnsi="Arial" w:cs="Arial"/>
        </w:rPr>
        <w:t xml:space="preserve"> además de </w:t>
      </w:r>
      <w:r w:rsidR="00425605">
        <w:rPr>
          <w:rFonts w:ascii="Arial" w:hAnsi="Arial" w:cs="Arial"/>
        </w:rPr>
        <w:t xml:space="preserve">las </w:t>
      </w:r>
      <w:r w:rsidR="00455F9B" w:rsidRPr="00455F9B">
        <w:rPr>
          <w:rFonts w:ascii="Arial" w:hAnsi="Arial" w:cs="Arial"/>
        </w:rPr>
        <w:t xml:space="preserve">variables que registra el RENEM, como la clase de actividad económica y el tamaño de la unidad económica en función de sus ingresos, se cuenta con </w:t>
      </w:r>
      <w:r w:rsidR="00A1275F">
        <w:rPr>
          <w:rFonts w:ascii="Arial" w:hAnsi="Arial" w:cs="Arial"/>
        </w:rPr>
        <w:t xml:space="preserve">información </w:t>
      </w:r>
      <w:r w:rsidR="00455F9B" w:rsidRPr="00455F9B">
        <w:rPr>
          <w:rFonts w:ascii="Arial" w:hAnsi="Arial" w:cs="Arial"/>
        </w:rPr>
        <w:t xml:space="preserve">correspondiente </w:t>
      </w:r>
      <w:r w:rsidR="00A1275F">
        <w:rPr>
          <w:rFonts w:ascii="Arial" w:hAnsi="Arial" w:cs="Arial"/>
        </w:rPr>
        <w:t xml:space="preserve">a su </w:t>
      </w:r>
      <w:r w:rsidR="00455F9B" w:rsidRPr="00455F9B">
        <w:rPr>
          <w:rFonts w:ascii="Arial" w:hAnsi="Arial" w:cs="Arial"/>
        </w:rPr>
        <w:t>consumo mensual de electricidad.</w:t>
      </w:r>
    </w:p>
    <w:p w14:paraId="6585624C" w14:textId="77777777" w:rsidR="007732C3" w:rsidRPr="009D044C" w:rsidRDefault="007732C3" w:rsidP="007732C3">
      <w:pPr>
        <w:shd w:val="clear" w:color="auto" w:fill="FFFFFF"/>
        <w:ind w:firstLine="340"/>
        <w:jc w:val="both"/>
        <w:rPr>
          <w:rFonts w:ascii="Arial" w:hAnsi="Arial" w:cs="Arial"/>
        </w:rPr>
      </w:pPr>
    </w:p>
    <w:p w14:paraId="5BD732C9" w14:textId="03FAABF8" w:rsidR="005B6905" w:rsidRDefault="00410452" w:rsidP="00073292">
      <w:pPr>
        <w:shd w:val="clear" w:color="auto" w:fill="FFFFFF"/>
        <w:jc w:val="both"/>
        <w:rPr>
          <w:rFonts w:ascii="Arial" w:hAnsi="Arial" w:cs="Arial"/>
        </w:rPr>
      </w:pPr>
      <w:r w:rsidRPr="004349CB">
        <w:rPr>
          <w:rFonts w:ascii="Arial" w:hAnsi="Arial" w:cs="Arial"/>
        </w:rPr>
        <w:t>Con la información vinculada entre el RENEM y los consumos de electricidad proporcionados por la</w:t>
      </w:r>
      <w:r w:rsidRPr="00410452">
        <w:rPr>
          <w:rFonts w:ascii="Arial" w:hAnsi="Arial" w:cs="Arial"/>
        </w:rPr>
        <w:t xml:space="preserve"> CFE, se planteó la hipótesis que</w:t>
      </w:r>
      <w:r w:rsidR="00EB70DC">
        <w:rPr>
          <w:rFonts w:ascii="Arial" w:hAnsi="Arial" w:cs="Arial"/>
        </w:rPr>
        <w:t>,</w:t>
      </w:r>
      <w:r w:rsidRPr="00410452">
        <w:rPr>
          <w:rFonts w:ascii="Arial" w:hAnsi="Arial" w:cs="Arial"/>
        </w:rPr>
        <w:t xml:space="preserve"> a mayor consumo de electricidad</w:t>
      </w:r>
      <w:r w:rsidR="00EB70DC">
        <w:rPr>
          <w:rFonts w:ascii="Arial" w:hAnsi="Arial" w:cs="Arial"/>
        </w:rPr>
        <w:t>,</w:t>
      </w:r>
      <w:r w:rsidRPr="00410452">
        <w:rPr>
          <w:rFonts w:ascii="Arial" w:hAnsi="Arial" w:cs="Arial"/>
        </w:rPr>
        <w:t xml:space="preserve"> mayores son los ingresos de las unidades económicas, por lo que se realizó el cálculo de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04672653" w14:textId="07E12F87" w:rsidR="005B6905" w:rsidRDefault="00410452" w:rsidP="00073292">
      <w:pPr>
        <w:shd w:val="clear" w:color="auto" w:fill="FFFFFF"/>
        <w:jc w:val="both"/>
        <w:rPr>
          <w:rFonts w:ascii="Arial" w:hAnsi="Arial" w:cs="Arial"/>
        </w:rPr>
      </w:pPr>
      <w:r w:rsidRPr="00410452">
        <w:rPr>
          <w:rFonts w:ascii="Arial" w:hAnsi="Arial" w:cs="Arial"/>
        </w:rPr>
        <w:t>El coeficiente de correlación más alto se obtuvo para el sector de la industria manufacturera, lo cual parece compatible con el argumento que a mayor consumo de energía eléctrica mayor es la producción en la industria manufacturera. Lo anterior no parece aplicar para los sectores de comercio y servicios privados no financieros, puesto que para las unidades que se dedican a las actividades comerciales, por ejemplo, independientemente de los volúmenes de venta, el consumo de electricidad se mantiene más o menos constante</w:t>
      </w:r>
      <w:r w:rsidR="00EB70DC">
        <w:rPr>
          <w:rFonts w:ascii="Arial" w:hAnsi="Arial" w:cs="Arial"/>
        </w:rPr>
        <w:t>. A</w:t>
      </w:r>
      <w:r w:rsidRPr="00410452">
        <w:rPr>
          <w:rFonts w:ascii="Arial" w:hAnsi="Arial" w:cs="Arial"/>
        </w:rPr>
        <w:t xml:space="preserve">lgo similar sucede con una parte de los establecimientos que prestan algún tipo de servicio. </w:t>
      </w:r>
    </w:p>
    <w:p w14:paraId="261BACCC" w14:textId="77777777" w:rsidR="005B6905" w:rsidRDefault="005B6905" w:rsidP="00073292">
      <w:pPr>
        <w:shd w:val="clear" w:color="auto" w:fill="FFFFFF"/>
        <w:jc w:val="both"/>
        <w:rPr>
          <w:rFonts w:ascii="Arial" w:hAnsi="Arial" w:cs="Arial"/>
        </w:rPr>
      </w:pPr>
    </w:p>
    <w:p w14:paraId="1808388A" w14:textId="77777777" w:rsidR="005B6905" w:rsidRDefault="00410452" w:rsidP="00073292">
      <w:pPr>
        <w:shd w:val="clear" w:color="auto" w:fill="FFFFFF"/>
        <w:jc w:val="both"/>
        <w:rPr>
          <w:rFonts w:ascii="Arial" w:hAnsi="Arial" w:cs="Arial"/>
        </w:rPr>
      </w:pPr>
      <w:r w:rsidRPr="00410452">
        <w:rPr>
          <w:rFonts w:ascii="Arial" w:hAnsi="Arial" w:cs="Arial"/>
        </w:rPr>
        <w:t xml:space="preserve">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5A259A67" w:rsidR="005B6905" w:rsidRDefault="00410452" w:rsidP="00073292">
      <w:pPr>
        <w:shd w:val="clear" w:color="auto" w:fill="FFFFFF"/>
        <w:jc w:val="both"/>
        <w:rPr>
          <w:rFonts w:ascii="Arial" w:hAnsi="Arial" w:cs="Arial"/>
        </w:rPr>
      </w:pPr>
      <w:r w:rsidRPr="00410452">
        <w:rPr>
          <w:rFonts w:ascii="Arial" w:hAnsi="Arial" w:cs="Arial"/>
        </w:rPr>
        <w:t xml:space="preserve">Con el propósito de generar un indicador que permitiera conocer la evolución mensual de la actividad manufacturera, se trabajó de manera cercana con la CFE, con el propósito de proporcionar al INEGI información histórica y mensual de los consumos de electricidad, por lo que se cuenta con una serie histórica a nivel de servicio (medidor) desde enero de 2013, ya que no fue posible obtener datos de años anteriores. </w:t>
      </w:r>
    </w:p>
    <w:p w14:paraId="1B8353CD" w14:textId="18B925B3" w:rsidR="005B6905" w:rsidRDefault="005B6905" w:rsidP="00073292">
      <w:pPr>
        <w:shd w:val="clear" w:color="auto" w:fill="FFFFFF"/>
        <w:jc w:val="both"/>
        <w:rPr>
          <w:rFonts w:ascii="Arial" w:hAnsi="Arial" w:cs="Arial"/>
        </w:rPr>
      </w:pPr>
    </w:p>
    <w:p w14:paraId="11E803DF" w14:textId="0CE92C33" w:rsidR="00130654" w:rsidRDefault="00130654" w:rsidP="00073292">
      <w:pPr>
        <w:shd w:val="clear" w:color="auto" w:fill="FFFFFF"/>
        <w:jc w:val="both"/>
        <w:rPr>
          <w:rFonts w:ascii="Arial" w:hAnsi="Arial" w:cs="Arial"/>
        </w:rPr>
      </w:pPr>
    </w:p>
    <w:p w14:paraId="68515E1E" w14:textId="14948A94" w:rsidR="00130654" w:rsidRDefault="00130654" w:rsidP="00073292">
      <w:pPr>
        <w:shd w:val="clear" w:color="auto" w:fill="FFFFFF"/>
        <w:jc w:val="both"/>
        <w:rPr>
          <w:rFonts w:ascii="Arial" w:hAnsi="Arial" w:cs="Arial"/>
        </w:rPr>
      </w:pPr>
    </w:p>
    <w:p w14:paraId="219515E7" w14:textId="6F75F2FE" w:rsidR="00130654" w:rsidRDefault="00130654" w:rsidP="00073292">
      <w:pPr>
        <w:shd w:val="clear" w:color="auto" w:fill="FFFFFF"/>
        <w:jc w:val="both"/>
        <w:rPr>
          <w:rFonts w:ascii="Arial" w:hAnsi="Arial" w:cs="Arial"/>
        </w:rPr>
      </w:pPr>
    </w:p>
    <w:p w14:paraId="1AF7DD55" w14:textId="77777777" w:rsidR="00130654" w:rsidRDefault="00130654" w:rsidP="00073292">
      <w:pPr>
        <w:shd w:val="clear" w:color="auto" w:fill="FFFFFF"/>
        <w:jc w:val="both"/>
        <w:rPr>
          <w:rFonts w:ascii="Arial" w:hAnsi="Arial" w:cs="Arial"/>
        </w:rPr>
      </w:pPr>
    </w:p>
    <w:p w14:paraId="67F43DAC" w14:textId="2B0751A9" w:rsidR="005B6905" w:rsidRDefault="00410452" w:rsidP="00073292">
      <w:pPr>
        <w:shd w:val="clear" w:color="auto" w:fill="FFFFFF"/>
        <w:jc w:val="both"/>
        <w:rPr>
          <w:rFonts w:ascii="Arial" w:hAnsi="Arial" w:cs="Arial"/>
        </w:rPr>
      </w:pPr>
      <w:r w:rsidRPr="00410452">
        <w:rPr>
          <w:rFonts w:ascii="Arial" w:hAnsi="Arial" w:cs="Arial"/>
        </w:rPr>
        <w:t>El hecho de trabajar con la Muestra Maestra permitió que los consumos de electricidad que registra la CFE para estos negocios tengan una periodicidad mensual, ya que</w:t>
      </w:r>
      <w:r w:rsidR="00EB70DC">
        <w:rPr>
          <w:rFonts w:ascii="Arial" w:hAnsi="Arial" w:cs="Arial"/>
        </w:rPr>
        <w:t>,</w:t>
      </w:r>
      <w:r w:rsidRPr="00410452">
        <w:rPr>
          <w:rFonts w:ascii="Arial" w:hAnsi="Arial" w:cs="Arial"/>
        </w:rPr>
        <w:t xml:space="preserve"> por lo general</w:t>
      </w:r>
      <w:r w:rsidR="00EB70DC">
        <w:rPr>
          <w:rFonts w:ascii="Arial" w:hAnsi="Arial" w:cs="Arial"/>
        </w:rPr>
        <w:t>,</w:t>
      </w:r>
      <w:r w:rsidRPr="00410452">
        <w:rPr>
          <w:rFonts w:ascii="Arial" w:hAnsi="Arial" w:cs="Arial"/>
        </w:rPr>
        <w:t xml:space="preserve"> la CFE les factura mensualmente a los negocios de gran tamaño. </w:t>
      </w:r>
    </w:p>
    <w:p w14:paraId="2754FF53" w14:textId="77777777" w:rsidR="005B6905" w:rsidRDefault="005B6905" w:rsidP="00073292">
      <w:pPr>
        <w:shd w:val="clear" w:color="auto" w:fill="FFFFFF"/>
        <w:jc w:val="both"/>
        <w:rPr>
          <w:rFonts w:ascii="Arial" w:hAnsi="Arial" w:cs="Arial"/>
        </w:rPr>
      </w:pPr>
    </w:p>
    <w:p w14:paraId="15D32DFC" w14:textId="6FA1351C" w:rsidR="005B6905" w:rsidRDefault="00410452" w:rsidP="00073292">
      <w:pPr>
        <w:shd w:val="clear" w:color="auto" w:fill="FFFFFF"/>
        <w:jc w:val="both"/>
        <w:rPr>
          <w:rFonts w:ascii="Arial" w:hAnsi="Arial" w:cs="Arial"/>
        </w:rPr>
      </w:pPr>
      <w:r w:rsidRPr="00410452">
        <w:rPr>
          <w:rFonts w:ascii="Arial" w:hAnsi="Arial" w:cs="Arial"/>
        </w:rPr>
        <w:t>Por otra parte, los cambios provocados por la reforma energética han permitido que la generación de electricidad no se realice por la CFE exclusivamente</w:t>
      </w:r>
      <w:r w:rsidR="00EB70DC">
        <w:rPr>
          <w:rFonts w:ascii="Arial" w:hAnsi="Arial" w:cs="Arial"/>
        </w:rPr>
        <w:t>. A</w:t>
      </w:r>
      <w:r w:rsidRPr="00410452">
        <w:rPr>
          <w:rFonts w:ascii="Arial" w:hAnsi="Arial" w:cs="Arial"/>
        </w:rPr>
        <w:t xml:space="preserve">sí, existen empresas manufactureras que generan electricidad, ya sea para autoconsumo o para terceros. De esta manera,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5D257830" w14:textId="22698036" w:rsidR="005B6905" w:rsidRDefault="00410452" w:rsidP="00073292">
      <w:pPr>
        <w:shd w:val="clear" w:color="auto" w:fill="FFFFFF"/>
        <w:jc w:val="both"/>
        <w:rPr>
          <w:rFonts w:ascii="Arial" w:hAnsi="Arial" w:cs="Arial"/>
        </w:rPr>
      </w:pPr>
      <w:r w:rsidRPr="00410452">
        <w:rPr>
          <w:rFonts w:ascii="Arial" w:hAnsi="Arial" w:cs="Arial"/>
        </w:rPr>
        <w:t>Con estos datos y utilizando el modelo econométrico descrito en el artículo [1]</w:t>
      </w:r>
      <w:r w:rsidR="008D7EC0">
        <w:rPr>
          <w:rFonts w:ascii="Arial" w:hAnsi="Arial" w:cs="Arial"/>
        </w:rPr>
        <w:t xml:space="preserve">, </w:t>
      </w:r>
      <w:proofErr w:type="spellStart"/>
      <w:r w:rsidR="008D7EC0" w:rsidRPr="00576179">
        <w:rPr>
          <w:rFonts w:ascii="Arial" w:hAnsi="Arial" w:cs="Arial"/>
          <w:i/>
          <w:lang w:val="es-MX"/>
        </w:rPr>
        <w:t>Early</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Monthly</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Estimation</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of</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Mexico’s</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Manufacturing</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Production</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Level</w:t>
      </w:r>
      <w:proofErr w:type="spellEnd"/>
      <w:r w:rsidR="008D7EC0" w:rsidRPr="00576179">
        <w:rPr>
          <w:rFonts w:ascii="Arial" w:hAnsi="Arial" w:cs="Arial"/>
          <w:i/>
          <w:lang w:val="es-MX"/>
        </w:rPr>
        <w:t xml:space="preserve"> </w:t>
      </w:r>
      <w:proofErr w:type="spellStart"/>
      <w:r w:rsidR="008D7EC0" w:rsidRPr="00576179">
        <w:rPr>
          <w:rFonts w:ascii="Arial" w:hAnsi="Arial" w:cs="Arial"/>
          <w:i/>
          <w:lang w:val="es-MX"/>
        </w:rPr>
        <w:t>using</w:t>
      </w:r>
      <w:proofErr w:type="spellEnd"/>
      <w:r w:rsidR="008D7EC0" w:rsidRPr="00576179">
        <w:rPr>
          <w:rFonts w:ascii="Arial" w:hAnsi="Arial" w:cs="Arial"/>
          <w:i/>
          <w:lang w:val="es-MX"/>
        </w:rPr>
        <w:t xml:space="preserve"> Electric Energy </w:t>
      </w:r>
      <w:proofErr w:type="spellStart"/>
      <w:r w:rsidR="008D7EC0" w:rsidRPr="00576179">
        <w:rPr>
          <w:rFonts w:ascii="Arial" w:hAnsi="Arial" w:cs="Arial"/>
          <w:i/>
          <w:lang w:val="es-MX"/>
        </w:rPr>
        <w:t>Consumption</w:t>
      </w:r>
      <w:proofErr w:type="spellEnd"/>
      <w:r w:rsidR="008D7EC0" w:rsidRPr="00576179">
        <w:rPr>
          <w:rFonts w:ascii="Arial" w:hAnsi="Arial" w:cs="Arial"/>
          <w:i/>
          <w:lang w:val="es-MX"/>
        </w:rPr>
        <w:t xml:space="preserve"> data</w:t>
      </w:r>
      <w:r w:rsidRPr="00410452">
        <w:rPr>
          <w:rFonts w:ascii="Arial" w:hAnsi="Arial" w:cs="Arial"/>
        </w:rPr>
        <w:t xml:space="preserve">, se construyó el Indicador Mensual Oportuno de la Actividad Manufacturera (IMOAM). </w:t>
      </w:r>
    </w:p>
    <w:p w14:paraId="3FC263EE" w14:textId="77777777" w:rsidR="005B6905" w:rsidRDefault="005B6905" w:rsidP="00073292">
      <w:pPr>
        <w:shd w:val="clear" w:color="auto" w:fill="FFFFFF"/>
        <w:jc w:val="both"/>
        <w:rPr>
          <w:rFonts w:ascii="Arial" w:hAnsi="Arial" w:cs="Arial"/>
        </w:rPr>
      </w:pPr>
    </w:p>
    <w:p w14:paraId="71E52365" w14:textId="77777777" w:rsidR="005B6905" w:rsidRDefault="00410452" w:rsidP="00073292">
      <w:pPr>
        <w:shd w:val="clear" w:color="auto" w:fill="FFFFFF"/>
        <w:jc w:val="both"/>
        <w:rPr>
          <w:rFonts w:ascii="Arial" w:hAnsi="Arial" w:cs="Arial"/>
        </w:rPr>
      </w:pPr>
      <w:r w:rsidRPr="00410452">
        <w:rPr>
          <w:rFonts w:ascii="Arial" w:hAnsi="Arial" w:cs="Arial"/>
        </w:rPr>
        <w:t>El modelo utilizado considera las series de datos originales, ya que se realizaron varios ejercicios para utilizar series desestacionalizadas y no se obtuvieron buenos resultados debido a que las series aún son cortas.</w:t>
      </w:r>
      <w:r w:rsidR="005B6905">
        <w:rPr>
          <w:rFonts w:ascii="Arial" w:hAnsi="Arial" w:cs="Arial"/>
        </w:rPr>
        <w:t xml:space="preserve"> </w:t>
      </w:r>
    </w:p>
    <w:p w14:paraId="5375977E" w14:textId="77777777" w:rsidR="005B6905" w:rsidRDefault="005B6905" w:rsidP="00073292">
      <w:pPr>
        <w:shd w:val="clear" w:color="auto" w:fill="FFFFFF"/>
        <w:jc w:val="both"/>
        <w:rPr>
          <w:rFonts w:ascii="Arial" w:hAnsi="Arial" w:cs="Arial"/>
        </w:rPr>
      </w:pPr>
    </w:p>
    <w:p w14:paraId="2E6F3D5C" w14:textId="73CB5CF0" w:rsidR="005B6905" w:rsidRDefault="00410452" w:rsidP="00073292">
      <w:pPr>
        <w:shd w:val="clear" w:color="auto" w:fill="FFFFFF"/>
        <w:jc w:val="both"/>
        <w:rPr>
          <w:rFonts w:ascii="Arial" w:hAnsi="Arial" w:cs="Arial"/>
        </w:rPr>
      </w:pPr>
      <w:r w:rsidRPr="00410452">
        <w:rPr>
          <w:rFonts w:ascii="Arial" w:hAnsi="Arial" w:cs="Arial"/>
        </w:rPr>
        <w:t>Cabe mencionar que</w:t>
      </w:r>
      <w:r w:rsidR="00536FED">
        <w:rPr>
          <w:rFonts w:ascii="Arial" w:hAnsi="Arial" w:cs="Arial"/>
        </w:rPr>
        <w:t>,</w:t>
      </w:r>
      <w:r w:rsidRPr="00410452">
        <w:rPr>
          <w:rFonts w:ascii="Arial" w:hAnsi="Arial" w:cs="Arial"/>
        </w:rPr>
        <w:t xml:space="preserve"> cada mes, los parámetros del modelo utilizado para el cálculo del IMOAM son estimados nuevamente, al incorporar los datos del mes de referencia más reciente provenientes de CFE y CENACE. </w:t>
      </w:r>
    </w:p>
    <w:p w14:paraId="2B4D33F4" w14:textId="77777777" w:rsidR="00C2071E" w:rsidRDefault="00C2071E" w:rsidP="00073292">
      <w:pPr>
        <w:shd w:val="clear" w:color="auto" w:fill="FFFFFF"/>
        <w:jc w:val="both"/>
        <w:rPr>
          <w:rFonts w:ascii="Arial" w:hAnsi="Arial" w:cs="Arial"/>
        </w:rPr>
      </w:pPr>
    </w:p>
    <w:p w14:paraId="3BB0EA17" w14:textId="167F6F42" w:rsidR="005B6905" w:rsidRDefault="00410452" w:rsidP="00073292">
      <w:pPr>
        <w:shd w:val="clear" w:color="auto" w:fill="FFFFFF"/>
        <w:jc w:val="both"/>
        <w:rPr>
          <w:rFonts w:ascii="Arial" w:hAnsi="Arial" w:cs="Arial"/>
        </w:rPr>
      </w:pPr>
      <w:r w:rsidRPr="00410452">
        <w:rPr>
          <w:rFonts w:ascii="Arial" w:hAnsi="Arial" w:cs="Arial"/>
        </w:rPr>
        <w:t>Desde el inicio de este proyecto, el modelo econométrico utilizado ha conservado su forma original básica</w:t>
      </w:r>
      <w:r w:rsidR="00536FED">
        <w:rPr>
          <w:rFonts w:ascii="Arial" w:hAnsi="Arial" w:cs="Arial"/>
        </w:rPr>
        <w:t xml:space="preserve"> y</w:t>
      </w:r>
      <w:r w:rsidRPr="00410452">
        <w:rPr>
          <w:rFonts w:ascii="Arial" w:hAnsi="Arial" w:cs="Arial"/>
        </w:rPr>
        <w:t xml:space="preserve"> solamente se han incorporado gradualmente variables indicativas para modelar efectos estacionales. Las estimaciones de todos los parámetros del modelo se publicarán mensualmente. </w:t>
      </w:r>
    </w:p>
    <w:p w14:paraId="6B92CA1A" w14:textId="77777777" w:rsidR="005B6905" w:rsidRDefault="005B6905" w:rsidP="00073292">
      <w:pPr>
        <w:shd w:val="clear" w:color="auto" w:fill="FFFFFF"/>
        <w:jc w:val="both"/>
        <w:rPr>
          <w:rFonts w:ascii="Arial" w:hAnsi="Arial" w:cs="Arial"/>
        </w:rPr>
      </w:pPr>
    </w:p>
    <w:p w14:paraId="5F4DA70A" w14:textId="6B6E0433" w:rsidR="00410452" w:rsidRDefault="00410452" w:rsidP="00073292">
      <w:pPr>
        <w:shd w:val="clear" w:color="auto" w:fill="FFFFFF"/>
        <w:jc w:val="both"/>
        <w:rPr>
          <w:rFonts w:ascii="Arial" w:hAnsi="Arial" w:cs="Arial"/>
        </w:rPr>
      </w:pPr>
      <w:r w:rsidRPr="00410452">
        <w:rPr>
          <w:rFonts w:ascii="Arial" w:hAnsi="Arial" w:cs="Arial"/>
        </w:rPr>
        <w:t>El IMOAM se empezó a calcular en agosto de 2015 y</w:t>
      </w:r>
      <w:r w:rsidR="00536FED">
        <w:rPr>
          <w:rFonts w:ascii="Arial" w:hAnsi="Arial" w:cs="Arial"/>
        </w:rPr>
        <w:t>,</w:t>
      </w:r>
      <w:r w:rsidRPr="00410452">
        <w:rPr>
          <w:rFonts w:ascii="Arial" w:hAnsi="Arial" w:cs="Arial"/>
        </w:rPr>
        <w:t xml:space="preserve"> desde entonces, se ha evaluado su desempeño mensualmente. El IMOAM se compara contra el Indicador Mensual de la Actividad Industrial (IMAI) para el </w:t>
      </w:r>
      <w:r w:rsidR="00DA7591">
        <w:rPr>
          <w:rFonts w:ascii="Arial" w:hAnsi="Arial" w:cs="Arial"/>
        </w:rPr>
        <w:t>sector manufacturero</w:t>
      </w:r>
      <w:r w:rsidRPr="00410452">
        <w:rPr>
          <w:rFonts w:ascii="Arial" w:hAnsi="Arial" w:cs="Arial"/>
        </w:rPr>
        <w:t>, observándose que la diferencia entre ambos indicadores es estadísticamente cercana</w:t>
      </w:r>
      <w:r w:rsidR="00536FED">
        <w:rPr>
          <w:rFonts w:ascii="Arial" w:hAnsi="Arial" w:cs="Arial"/>
        </w:rPr>
        <w:t>. E</w:t>
      </w:r>
      <w:r w:rsidRPr="00410452">
        <w:rPr>
          <w:rFonts w:ascii="Arial" w:hAnsi="Arial" w:cs="Arial"/>
        </w:rPr>
        <w:t>s decir, el IMAI manufacturero ha quedado, con excepción de cuatro ocasiones, dentro del intervalo de confianza del 95</w:t>
      </w:r>
      <w:r w:rsidR="00A36413">
        <w:rPr>
          <w:rFonts w:ascii="Arial" w:hAnsi="Arial" w:cs="Arial"/>
        </w:rPr>
        <w:t xml:space="preserve"> por ciento</w:t>
      </w:r>
      <w:r w:rsidRPr="00410452">
        <w:rPr>
          <w:rFonts w:ascii="Arial" w:hAnsi="Arial" w:cs="Arial"/>
        </w:rPr>
        <w:t xml:space="preserve">. Por ejemplo, en la </w:t>
      </w:r>
      <w:r w:rsidR="00A36413">
        <w:rPr>
          <w:rFonts w:ascii="Arial" w:hAnsi="Arial" w:cs="Arial"/>
        </w:rPr>
        <w:t>f</w:t>
      </w:r>
      <w:r w:rsidRPr="00410452">
        <w:rPr>
          <w:rFonts w:ascii="Arial" w:hAnsi="Arial" w:cs="Arial"/>
        </w:rPr>
        <w:t>igura 2 se muestra dicha comparación para el periodo comprendido entre octubre de 2017 a febrero de 2020</w:t>
      </w:r>
      <w:r w:rsidR="00536FED">
        <w:rPr>
          <w:rFonts w:ascii="Arial" w:hAnsi="Arial" w:cs="Arial"/>
        </w:rPr>
        <w:t>. A</w:t>
      </w:r>
      <w:r w:rsidRPr="00410452">
        <w:rPr>
          <w:rFonts w:ascii="Arial" w:hAnsi="Arial" w:cs="Arial"/>
        </w:rPr>
        <w:t>quí se puede apreciar que, con excepción del mes de referencia</w:t>
      </w:r>
      <w:r w:rsidR="008D7EC0">
        <w:rPr>
          <w:rFonts w:ascii="Arial" w:hAnsi="Arial" w:cs="Arial"/>
        </w:rPr>
        <w:t>,</w:t>
      </w:r>
      <w:r w:rsidRPr="00410452">
        <w:rPr>
          <w:rFonts w:ascii="Arial" w:hAnsi="Arial" w:cs="Arial"/>
        </w:rPr>
        <w:t xml:space="preserve"> julio de 2019, en todos los meses mostrados, el valor observado del IMAI manufacturero se localiza dentro del intervalo de estimación del IMOAM</w:t>
      </w:r>
      <w:r w:rsidR="008D7EC0">
        <w:rPr>
          <w:rFonts w:ascii="Arial" w:hAnsi="Arial" w:cs="Arial"/>
        </w:rPr>
        <w:t>. Esto</w:t>
      </w:r>
      <w:r w:rsidRPr="00410452">
        <w:rPr>
          <w:rFonts w:ascii="Arial" w:hAnsi="Arial" w:cs="Arial"/>
        </w:rPr>
        <w:t xml:space="preserve"> confirma empíricamente que aproximadamente en 95% de los casos, el valor observado cae dentro del intervalo de estimación, como se menciona en</w:t>
      </w:r>
      <w:r w:rsidR="008D7EC0">
        <w:rPr>
          <w:rFonts w:ascii="Arial" w:hAnsi="Arial" w:cs="Arial"/>
        </w:rPr>
        <w:t xml:space="preserve"> el artículo [1]</w:t>
      </w:r>
      <w:r w:rsidRPr="00410452">
        <w:rPr>
          <w:rFonts w:ascii="Arial" w:hAnsi="Arial" w:cs="Arial"/>
        </w:rPr>
        <w:t>.</w:t>
      </w:r>
    </w:p>
    <w:p w14:paraId="33AE0FBC" w14:textId="31F2BE73" w:rsidR="00410452" w:rsidRDefault="00410452" w:rsidP="00073292">
      <w:pPr>
        <w:shd w:val="clear" w:color="auto" w:fill="FFFFFF"/>
        <w:jc w:val="both"/>
        <w:rPr>
          <w:rFonts w:ascii="Arial" w:hAnsi="Arial" w:cs="Arial"/>
        </w:rPr>
      </w:pPr>
    </w:p>
    <w:p w14:paraId="488120F0" w14:textId="1CD964E4" w:rsidR="00130654" w:rsidRDefault="00130654" w:rsidP="00073292">
      <w:pPr>
        <w:shd w:val="clear" w:color="auto" w:fill="FFFFFF"/>
        <w:jc w:val="both"/>
        <w:rPr>
          <w:rFonts w:ascii="Arial" w:hAnsi="Arial" w:cs="Arial"/>
        </w:rPr>
      </w:pPr>
    </w:p>
    <w:p w14:paraId="5B00402A" w14:textId="44EB1CA3" w:rsidR="00130654" w:rsidRDefault="00130654" w:rsidP="00073292">
      <w:pPr>
        <w:shd w:val="clear" w:color="auto" w:fill="FFFFFF"/>
        <w:jc w:val="both"/>
        <w:rPr>
          <w:rFonts w:ascii="Arial" w:hAnsi="Arial" w:cs="Arial"/>
        </w:rPr>
      </w:pPr>
    </w:p>
    <w:p w14:paraId="0AB665A5" w14:textId="77777777" w:rsidR="00130654" w:rsidRDefault="00130654" w:rsidP="00073292">
      <w:pPr>
        <w:shd w:val="clear" w:color="auto" w:fill="FFFFFF"/>
        <w:jc w:val="both"/>
        <w:rPr>
          <w:rFonts w:ascii="Arial" w:hAnsi="Arial" w:cs="Arial"/>
        </w:rPr>
      </w:pPr>
    </w:p>
    <w:p w14:paraId="77A4AB17" w14:textId="14F62D82" w:rsidR="005B6905" w:rsidRPr="00364C64" w:rsidRDefault="005B6905" w:rsidP="00364C64">
      <w:pPr>
        <w:shd w:val="clear" w:color="auto" w:fill="FFFFFF"/>
        <w:ind w:firstLine="340"/>
        <w:jc w:val="center"/>
        <w:rPr>
          <w:rFonts w:ascii="Arial" w:hAnsi="Arial" w:cs="Arial"/>
          <w:sz w:val="20"/>
          <w:szCs w:val="20"/>
        </w:rPr>
      </w:pPr>
      <w:bookmarkStart w:id="0" w:name="_Hlk39680318"/>
      <w:r w:rsidRPr="00364C64">
        <w:rPr>
          <w:rFonts w:ascii="Arial" w:hAnsi="Arial" w:cs="Arial"/>
          <w:sz w:val="20"/>
          <w:szCs w:val="20"/>
        </w:rPr>
        <w:t>Figura 2</w:t>
      </w:r>
    </w:p>
    <w:p w14:paraId="7F87162D" w14:textId="77777777" w:rsidR="00364C64" w:rsidRDefault="00364C64" w:rsidP="00364C64">
      <w:pPr>
        <w:shd w:val="clear" w:color="auto" w:fill="FFFFFF"/>
        <w:jc w:val="center"/>
        <w:rPr>
          <w:rFonts w:ascii="Arial" w:hAnsi="Arial" w:cs="Arial"/>
          <w:b/>
          <w:smallCaps/>
          <w:sz w:val="22"/>
          <w:szCs w:val="22"/>
        </w:rPr>
      </w:pPr>
      <w:r w:rsidRPr="00364C64">
        <w:rPr>
          <w:rFonts w:ascii="Arial" w:hAnsi="Arial" w:cs="Arial"/>
          <w:b/>
          <w:smallCaps/>
          <w:sz w:val="22"/>
          <w:szCs w:val="22"/>
        </w:rPr>
        <w:t xml:space="preserve">Comparación entre IMOAM e IMAI en el </w:t>
      </w:r>
      <w:r>
        <w:rPr>
          <w:rFonts w:ascii="Arial" w:hAnsi="Arial" w:cs="Arial"/>
          <w:b/>
          <w:smallCaps/>
          <w:sz w:val="22"/>
          <w:szCs w:val="22"/>
        </w:rPr>
        <w:t>S</w:t>
      </w:r>
      <w:r w:rsidRPr="00364C64">
        <w:rPr>
          <w:rFonts w:ascii="Arial" w:hAnsi="Arial" w:cs="Arial"/>
          <w:b/>
          <w:smallCaps/>
          <w:sz w:val="22"/>
          <w:szCs w:val="22"/>
        </w:rPr>
        <w:t xml:space="preserve">ector </w:t>
      </w:r>
      <w:r>
        <w:rPr>
          <w:rFonts w:ascii="Arial" w:hAnsi="Arial" w:cs="Arial"/>
          <w:b/>
          <w:smallCaps/>
          <w:sz w:val="22"/>
          <w:szCs w:val="22"/>
        </w:rPr>
        <w:t>M</w:t>
      </w:r>
      <w:r w:rsidRPr="00364C64">
        <w:rPr>
          <w:rFonts w:ascii="Arial" w:hAnsi="Arial" w:cs="Arial"/>
          <w:b/>
          <w:smallCaps/>
          <w:sz w:val="22"/>
          <w:szCs w:val="22"/>
        </w:rPr>
        <w:t>anufacturero</w:t>
      </w:r>
    </w:p>
    <w:p w14:paraId="24487F71" w14:textId="299628E5" w:rsidR="00364C64" w:rsidRPr="00364C64" w:rsidRDefault="00364C64" w:rsidP="00364C64">
      <w:pPr>
        <w:shd w:val="clear" w:color="auto" w:fill="FFFFFF"/>
        <w:jc w:val="center"/>
        <w:rPr>
          <w:rFonts w:ascii="Arial" w:hAnsi="Arial" w:cs="Arial"/>
          <w:b/>
          <w:smallCaps/>
          <w:sz w:val="22"/>
          <w:szCs w:val="22"/>
        </w:rPr>
      </w:pPr>
    </w:p>
    <w:p w14:paraId="482828CA" w14:textId="03447A56" w:rsidR="00073292" w:rsidRPr="00097309" w:rsidRDefault="00073292" w:rsidP="00073292">
      <w:pPr>
        <w:shd w:val="clear" w:color="auto" w:fill="FFFFFF"/>
        <w:jc w:val="both"/>
        <w:rPr>
          <w:rFonts w:ascii="Arial" w:hAnsi="Arial" w:cs="Arial"/>
          <w:highlight w:val="yellow"/>
        </w:rPr>
      </w:pPr>
    </w:p>
    <w:p w14:paraId="47B1B250" w14:textId="77777777" w:rsidR="00073292" w:rsidRPr="00097309" w:rsidRDefault="00073292" w:rsidP="00073292">
      <w:pPr>
        <w:shd w:val="clear" w:color="auto" w:fill="FFFFFF"/>
        <w:jc w:val="both"/>
        <w:rPr>
          <w:rFonts w:ascii="Arial" w:hAnsi="Arial" w:cs="Arial"/>
          <w:highlight w:val="yellow"/>
        </w:rPr>
      </w:pPr>
      <w:r w:rsidRPr="00097309">
        <w:rPr>
          <w:noProof/>
          <w:highlight w:val="yellow"/>
        </w:rPr>
        <w:drawing>
          <wp:inline distT="0" distB="0" distL="0" distR="0" wp14:anchorId="646D9CCF" wp14:editId="4743C4FC">
            <wp:extent cx="6164125" cy="2933205"/>
            <wp:effectExtent l="0" t="0" r="825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75228" cy="2938488"/>
                    </a:xfrm>
                    <a:prstGeom prst="rect">
                      <a:avLst/>
                    </a:prstGeom>
                  </pic:spPr>
                </pic:pic>
              </a:graphicData>
            </a:graphic>
          </wp:inline>
        </w:drawing>
      </w:r>
    </w:p>
    <w:bookmarkEnd w:id="0"/>
    <w:p w14:paraId="5B76E078" w14:textId="77777777" w:rsidR="005B6905" w:rsidRDefault="005B6905" w:rsidP="00073292">
      <w:pPr>
        <w:shd w:val="clear" w:color="auto" w:fill="FFFFFF"/>
        <w:jc w:val="both"/>
        <w:rPr>
          <w:rFonts w:ascii="Arial" w:hAnsi="Arial" w:cs="Arial"/>
        </w:rPr>
      </w:pPr>
    </w:p>
    <w:p w14:paraId="4FC97770" w14:textId="77777777" w:rsidR="00A36413" w:rsidRDefault="00A36413" w:rsidP="00073292">
      <w:pPr>
        <w:shd w:val="clear" w:color="auto" w:fill="FFFFFF"/>
        <w:jc w:val="both"/>
        <w:rPr>
          <w:rFonts w:ascii="Arial" w:hAnsi="Arial" w:cs="Arial"/>
        </w:rPr>
      </w:pPr>
    </w:p>
    <w:p w14:paraId="08A956CF" w14:textId="77777777" w:rsidR="00A36413" w:rsidRDefault="00A36413" w:rsidP="00073292">
      <w:pPr>
        <w:shd w:val="clear" w:color="auto" w:fill="FFFFFF"/>
        <w:jc w:val="both"/>
        <w:rPr>
          <w:rFonts w:ascii="Arial" w:hAnsi="Arial" w:cs="Arial"/>
        </w:rPr>
      </w:pPr>
    </w:p>
    <w:p w14:paraId="6F6365B8" w14:textId="7EF7EF6E" w:rsidR="00073292" w:rsidRDefault="005B6905" w:rsidP="00073292">
      <w:pPr>
        <w:shd w:val="clear" w:color="auto" w:fill="FFFFFF"/>
        <w:jc w:val="both"/>
        <w:rPr>
          <w:rFonts w:ascii="Arial" w:hAnsi="Arial" w:cs="Arial"/>
        </w:rPr>
      </w:pPr>
      <w:r w:rsidRPr="005B6905">
        <w:rPr>
          <w:rFonts w:ascii="Arial" w:hAnsi="Arial" w:cs="Arial"/>
        </w:rPr>
        <w:t xml:space="preserve">Por otra parte, dado que la CFE colecta los datos de los consumos de electricidad con oportunidad, esto posibilita </w:t>
      </w:r>
      <w:r w:rsidR="005D599D">
        <w:rPr>
          <w:rFonts w:ascii="Arial" w:hAnsi="Arial" w:cs="Arial"/>
        </w:rPr>
        <w:t xml:space="preserve">su entrega al </w:t>
      </w:r>
      <w:r w:rsidRPr="005B6905">
        <w:rPr>
          <w:rFonts w:ascii="Arial" w:hAnsi="Arial" w:cs="Arial"/>
        </w:rPr>
        <w:t xml:space="preserve">INEGI </w:t>
      </w:r>
      <w:r w:rsidR="005D599D">
        <w:rPr>
          <w:rFonts w:ascii="Arial" w:hAnsi="Arial" w:cs="Arial"/>
        </w:rPr>
        <w:t>para</w:t>
      </w:r>
      <w:r w:rsidRPr="005B6905">
        <w:rPr>
          <w:rFonts w:ascii="Arial" w:hAnsi="Arial" w:cs="Arial"/>
        </w:rPr>
        <w:t xml:space="preserve"> constru</w:t>
      </w:r>
      <w:r w:rsidR="005D599D">
        <w:rPr>
          <w:rFonts w:ascii="Arial" w:hAnsi="Arial" w:cs="Arial"/>
        </w:rPr>
        <w:t>ir</w:t>
      </w:r>
      <w:r w:rsidRPr="005B6905">
        <w:rPr>
          <w:rFonts w:ascii="Arial" w:hAnsi="Arial" w:cs="Arial"/>
        </w:rPr>
        <w:t xml:space="preserve"> </w:t>
      </w:r>
      <w:r w:rsidR="005D599D">
        <w:rPr>
          <w:rFonts w:ascii="Arial" w:hAnsi="Arial" w:cs="Arial"/>
        </w:rPr>
        <w:t>y publicar e</w:t>
      </w:r>
      <w:r w:rsidRPr="005B6905">
        <w:rPr>
          <w:rFonts w:ascii="Arial" w:hAnsi="Arial" w:cs="Arial"/>
        </w:rPr>
        <w:t xml:space="preserve">l IMOAM </w:t>
      </w:r>
      <w:r w:rsidR="005D599D">
        <w:rPr>
          <w:rFonts w:ascii="Arial" w:hAnsi="Arial" w:cs="Arial"/>
        </w:rPr>
        <w:t xml:space="preserve">con anticipación al IMAI </w:t>
      </w:r>
      <w:r w:rsidR="00DE76F8">
        <w:rPr>
          <w:rFonts w:ascii="Arial" w:hAnsi="Arial" w:cs="Arial"/>
        </w:rPr>
        <w:t xml:space="preserve">del </w:t>
      </w:r>
      <w:r w:rsidR="004D24BD">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77777777" w:rsidR="00052B5B" w:rsidRDefault="00052B5B" w:rsidP="005B6905">
      <w:pPr>
        <w:rPr>
          <w:rFonts w:ascii="Arial" w:hAnsi="Arial" w:cs="Arial"/>
          <w:b/>
          <w:sz w:val="28"/>
          <w:szCs w:val="28"/>
        </w:rPr>
      </w:pPr>
    </w:p>
    <w:p w14:paraId="307E4F01" w14:textId="43CE5694" w:rsidR="00073292" w:rsidRPr="00364C64" w:rsidRDefault="00073292" w:rsidP="005B6905">
      <w:pPr>
        <w:rPr>
          <w:rFonts w:ascii="Arial" w:hAnsi="Arial" w:cs="Arial"/>
          <w:b/>
        </w:rPr>
      </w:pPr>
      <w:r w:rsidRPr="00364C64">
        <w:rPr>
          <w:rFonts w:ascii="Arial" w:hAnsi="Arial" w:cs="Arial"/>
          <w:b/>
          <w:noProof/>
        </w:rPr>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364C64">
        <w:rPr>
          <w:rFonts w:ascii="Arial" w:hAnsi="Arial" w:cs="Arial"/>
          <w:b/>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073292">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073292">
      <w:pPr>
        <w:shd w:val="clear" w:color="auto" w:fill="FFFFFF"/>
        <w:jc w:val="both"/>
        <w:rPr>
          <w:rFonts w:ascii="Arial" w:hAnsi="Arial" w:cs="Arial"/>
        </w:rPr>
      </w:pPr>
    </w:p>
    <w:p w14:paraId="0CAF31A2" w14:textId="00ABB4FC"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Indicador Mensual Oportuno de la Actividad Manufacturera (IMOAM), el cual es una estimación del IMAI manufacturero</w:t>
      </w:r>
      <w:r w:rsidR="001345B3">
        <w:rPr>
          <w:rFonts w:ascii="Arial" w:hAnsi="Arial" w:cs="Arial"/>
        </w:rPr>
        <w:t>. S</w:t>
      </w:r>
      <w:r w:rsidRPr="003D7935">
        <w:rPr>
          <w:rFonts w:ascii="Arial" w:hAnsi="Arial" w:cs="Arial"/>
        </w:rPr>
        <w:t>e reporta como estimación puntual y por intervalo al 95</w:t>
      </w:r>
      <w:r w:rsidR="00A36413">
        <w:rPr>
          <w:rFonts w:ascii="Arial" w:hAnsi="Arial" w:cs="Arial"/>
        </w:rPr>
        <w:t xml:space="preserve"> por ciento</w:t>
      </w:r>
      <w:r w:rsidRPr="003D7935">
        <w:rPr>
          <w:rFonts w:ascii="Arial" w:hAnsi="Arial" w:cs="Arial"/>
        </w:rPr>
        <w:t>.</w:t>
      </w:r>
    </w:p>
    <w:p w14:paraId="380FC11C" w14:textId="77777777" w:rsidR="00073292" w:rsidRPr="003D7935" w:rsidRDefault="00073292" w:rsidP="00073292">
      <w:pPr>
        <w:pStyle w:val="Prrafodelista"/>
        <w:shd w:val="clear" w:color="auto" w:fill="FFFFFF"/>
        <w:jc w:val="both"/>
        <w:rPr>
          <w:rFonts w:ascii="Arial" w:hAnsi="Arial" w:cs="Arial"/>
        </w:rPr>
      </w:pPr>
    </w:p>
    <w:p w14:paraId="4F701DEC" w14:textId="11623F9D"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Estimaciones de variaciones anuales del IMAI manufacturero obtenidas a través del IMOAM</w:t>
      </w:r>
      <w:r w:rsidR="001345B3">
        <w:rPr>
          <w:rFonts w:ascii="Arial" w:hAnsi="Arial" w:cs="Arial"/>
        </w:rPr>
        <w:t>. S</w:t>
      </w:r>
      <w:r w:rsidRPr="003D7935">
        <w:rPr>
          <w:rFonts w:ascii="Arial" w:hAnsi="Arial" w:cs="Arial"/>
        </w:rPr>
        <w:t>e reporta</w:t>
      </w:r>
      <w:r w:rsidR="001345B3">
        <w:rPr>
          <w:rFonts w:ascii="Arial" w:hAnsi="Arial" w:cs="Arial"/>
        </w:rPr>
        <w:t>n</w:t>
      </w:r>
      <w:r w:rsidRPr="003D7935">
        <w:rPr>
          <w:rFonts w:ascii="Arial" w:hAnsi="Arial" w:cs="Arial"/>
        </w:rPr>
        <w:t xml:space="preserve"> como estimación puntual y por intervalo de confianza al 95</w:t>
      </w:r>
      <w:r w:rsidR="00A36413">
        <w:rPr>
          <w:rFonts w:ascii="Arial" w:hAnsi="Arial" w:cs="Arial"/>
        </w:rPr>
        <w:t xml:space="preserve"> por ciento</w:t>
      </w:r>
      <w:r>
        <w:rPr>
          <w:rFonts w:ascii="Arial" w:hAnsi="Arial" w:cs="Arial"/>
        </w:rPr>
        <w:t>.</w:t>
      </w:r>
    </w:p>
    <w:p w14:paraId="6AB3BF6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lastRenderedPageBreak/>
        <w:t>Comparaciones Históricas entre el IMOAM y el IMAI Manufacturero, así como de las correspondientes variaciones anuales.</w:t>
      </w:r>
    </w:p>
    <w:p w14:paraId="0CC302A7" w14:textId="77777777" w:rsidR="00073292" w:rsidRDefault="00073292" w:rsidP="00073292">
      <w:pPr>
        <w:pStyle w:val="Prrafodelista"/>
        <w:shd w:val="clear" w:color="auto" w:fill="FFFFFF"/>
        <w:jc w:val="both"/>
        <w:rPr>
          <w:rFonts w:ascii="Arial" w:hAnsi="Arial" w:cs="Arial"/>
        </w:rPr>
      </w:pPr>
    </w:p>
    <w:p w14:paraId="30497C89" w14:textId="77777777" w:rsidR="00073292" w:rsidRPr="003D7935"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073292">
      <w:pPr>
        <w:pStyle w:val="Prrafodelista"/>
        <w:shd w:val="clear" w:color="auto" w:fill="FFFFFF"/>
        <w:jc w:val="both"/>
        <w:rPr>
          <w:rFonts w:ascii="Arial" w:hAnsi="Arial" w:cs="Arial"/>
        </w:rPr>
      </w:pPr>
    </w:p>
    <w:p w14:paraId="19A962AE" w14:textId="77777777" w:rsidR="00073292" w:rsidRDefault="00073292" w:rsidP="00073292">
      <w:pPr>
        <w:pStyle w:val="Prrafodelista"/>
        <w:numPr>
          <w:ilvl w:val="0"/>
          <w:numId w:val="3"/>
        </w:numPr>
        <w:shd w:val="clear" w:color="auto" w:fill="FFFFFF"/>
        <w:jc w:val="both"/>
        <w:rPr>
          <w:rFonts w:ascii="Arial" w:hAnsi="Arial" w:cs="Arial"/>
        </w:rPr>
      </w:pPr>
      <w:r w:rsidRPr="003D7935">
        <w:rPr>
          <w:rFonts w:ascii="Arial" w:hAnsi="Arial" w:cs="Arial"/>
        </w:rPr>
        <w:t>Series de los datos.</w:t>
      </w:r>
    </w:p>
    <w:p w14:paraId="123B7F09" w14:textId="77777777" w:rsidR="00073292" w:rsidRPr="00811717" w:rsidRDefault="00073292" w:rsidP="00073292">
      <w:pPr>
        <w:pStyle w:val="Prrafodelista"/>
        <w:rPr>
          <w:rFonts w:ascii="Arial" w:hAnsi="Arial" w:cs="Arial"/>
        </w:rPr>
      </w:pPr>
    </w:p>
    <w:p w14:paraId="201B9F44" w14:textId="42630836" w:rsidR="005B6905" w:rsidRDefault="005B6905" w:rsidP="00073292">
      <w:pPr>
        <w:shd w:val="clear" w:color="auto" w:fill="FFFFFF"/>
        <w:jc w:val="both"/>
        <w:rPr>
          <w:rFonts w:ascii="Arial" w:hAnsi="Arial" w:cs="Arial"/>
        </w:rPr>
      </w:pPr>
      <w:r>
        <w:rPr>
          <w:rFonts w:ascii="Arial" w:hAnsi="Arial" w:cs="Arial"/>
        </w:rPr>
        <w:t>L</w:t>
      </w:r>
      <w:r w:rsidR="005D599D">
        <w:rPr>
          <w:rFonts w:ascii="Arial" w:hAnsi="Arial" w:cs="Arial"/>
        </w:rPr>
        <w:t xml:space="preserve">os resultados y </w:t>
      </w:r>
      <w:r>
        <w:rPr>
          <w:rFonts w:ascii="Arial" w:hAnsi="Arial" w:cs="Arial"/>
        </w:rPr>
        <w:t>la metodología del IMOAM se puede</w:t>
      </w:r>
      <w:r w:rsidR="005D599D">
        <w:rPr>
          <w:rFonts w:ascii="Arial" w:hAnsi="Arial" w:cs="Arial"/>
        </w:rPr>
        <w:t>n consultar en</w:t>
      </w:r>
      <w:r>
        <w:rPr>
          <w:rFonts w:ascii="Arial" w:hAnsi="Arial" w:cs="Arial"/>
        </w:rPr>
        <w:t>:</w:t>
      </w:r>
    </w:p>
    <w:p w14:paraId="165A5E57" w14:textId="77777777" w:rsidR="005B6905" w:rsidRDefault="005B6905" w:rsidP="00073292">
      <w:pPr>
        <w:shd w:val="clear" w:color="auto" w:fill="FFFFFF"/>
        <w:jc w:val="both"/>
        <w:rPr>
          <w:rFonts w:ascii="Arial" w:hAnsi="Arial" w:cs="Arial"/>
        </w:rPr>
      </w:pPr>
    </w:p>
    <w:p w14:paraId="0F853D3C" w14:textId="06602DAC" w:rsidR="00073292" w:rsidRDefault="001406B4" w:rsidP="00073292">
      <w:pPr>
        <w:shd w:val="clear" w:color="auto" w:fill="FFFFFF"/>
        <w:jc w:val="both"/>
        <w:rPr>
          <w:rFonts w:ascii="Arial" w:hAnsi="Arial" w:cs="Arial"/>
        </w:rPr>
      </w:pPr>
      <w:hyperlink r:id="rId28"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9F18B2F"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r w:rsidR="00D72D5B">
        <w:rPr>
          <w:rFonts w:ascii="Arial" w:hAnsi="Arial" w:cs="Arial"/>
          <w:lang w:val="en-US"/>
        </w:rPr>
        <w:t>.</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9"/>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69D7" w14:textId="77777777" w:rsidR="001406B4" w:rsidRDefault="001406B4" w:rsidP="00E1569D">
      <w:r>
        <w:separator/>
      </w:r>
    </w:p>
  </w:endnote>
  <w:endnote w:type="continuationSeparator" w:id="0">
    <w:p w14:paraId="3BFC66EA" w14:textId="77777777" w:rsidR="001406B4" w:rsidRDefault="001406B4"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Arial Narrow"/>
    <w:panose1 w:val="00000000000000000000"/>
    <w:charset w:val="00"/>
    <w:family w:val="auto"/>
    <w:notTrueType/>
    <w:pitch w:val="default"/>
    <w:sig w:usb0="00000003" w:usb1="00000000" w:usb2="00000000" w:usb3="00000000" w:csb0="00000001" w:csb1="00000000"/>
  </w:font>
  <w:font w:name="Arial Narrow Bold Italic">
    <w:altName w:val="Arial Narrow"/>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3FC3"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000E0857"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3562A5AE"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413" w14:paraId="1ACF8719" w14:textId="77777777" w:rsidTr="00BA55EE">
      <w:tc>
        <w:tcPr>
          <w:tcW w:w="4981" w:type="dxa"/>
        </w:tcPr>
        <w:p w14:paraId="247AE745" w14:textId="77777777" w:rsidR="00A36413" w:rsidRDefault="00A36413"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1A070821" w14:textId="77777777" w:rsidR="00A36413" w:rsidRDefault="00A36413"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267E8AE6" w14:textId="77777777" w:rsidR="00A36413" w:rsidRPr="0055097C" w:rsidRDefault="00A3641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FA35199"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EB44" w14:textId="77777777" w:rsidR="001406B4" w:rsidRDefault="001406B4" w:rsidP="00E1569D">
      <w:r>
        <w:separator/>
      </w:r>
    </w:p>
  </w:footnote>
  <w:footnote w:type="continuationSeparator" w:id="0">
    <w:p w14:paraId="68CCF298" w14:textId="77777777" w:rsidR="001406B4" w:rsidRDefault="001406B4"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9B4F" w14:textId="72E2D43A" w:rsidR="00A36413" w:rsidRPr="0055097C" w:rsidRDefault="00A36413"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61312" behindDoc="0" locked="0" layoutInCell="1" allowOverlap="1" wp14:anchorId="64AA2B7C" wp14:editId="00B42094">
          <wp:simplePos x="0" y="0"/>
          <wp:positionH relativeFrom="margin">
            <wp:align>left</wp:align>
          </wp:positionH>
          <wp:positionV relativeFrom="margin">
            <wp:posOffset>-833120</wp:posOffset>
          </wp:positionV>
          <wp:extent cx="862965" cy="827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 r="-4901" b="-2430"/>
                  <a:stretch/>
                </pic:blipFill>
                <pic:spPr bwMode="auto">
                  <a:xfrm>
                    <a:off x="0" y="0"/>
                    <a:ext cx="869651" cy="83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Pr>
        <w:rFonts w:ascii="Arial" w:hAnsi="Arial"/>
        <w:b/>
        <w:color w:val="002060"/>
      </w:rPr>
      <w:t>7</w:t>
    </w:r>
    <w:r w:rsidR="00637082">
      <w:rPr>
        <w:rFonts w:ascii="Arial" w:hAnsi="Arial"/>
        <w:b/>
        <w:color w:val="002060"/>
      </w:rPr>
      <w:t>3</w:t>
    </w:r>
    <w:r w:rsidRPr="0055097C">
      <w:rPr>
        <w:rFonts w:ascii="Arial" w:hAnsi="Arial"/>
        <w:b/>
        <w:color w:val="002060"/>
      </w:rPr>
      <w:t>/2</w:t>
    </w:r>
    <w:r>
      <w:rPr>
        <w:rFonts w:ascii="Arial" w:hAnsi="Arial"/>
        <w:b/>
        <w:color w:val="002060"/>
      </w:rPr>
      <w:t>2</w:t>
    </w:r>
  </w:p>
  <w:p w14:paraId="5A1A03E2" w14:textId="26DD47D6" w:rsidR="00A36413" w:rsidRPr="0055097C" w:rsidRDefault="005B1CB4"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2</w:t>
    </w:r>
    <w:r w:rsidR="00D51007">
      <w:rPr>
        <w:rFonts w:ascii="Arial" w:hAnsi="Arial"/>
        <w:b/>
        <w:color w:val="002060"/>
        <w:lang w:val="pt-BR"/>
      </w:rPr>
      <w:t xml:space="preserve"> DE FEBR</w:t>
    </w:r>
    <w:r w:rsidR="00A36413">
      <w:rPr>
        <w:rFonts w:ascii="Arial" w:hAnsi="Arial"/>
        <w:b/>
        <w:color w:val="002060"/>
        <w:lang w:val="pt-BR"/>
      </w:rPr>
      <w:t>ERO</w:t>
    </w:r>
    <w:r w:rsidR="00A36413" w:rsidRPr="0055097C">
      <w:rPr>
        <w:rFonts w:ascii="Arial" w:hAnsi="Arial"/>
        <w:b/>
        <w:color w:val="002060"/>
        <w:lang w:val="pt-BR"/>
      </w:rPr>
      <w:t xml:space="preserve"> DE 202</w:t>
    </w:r>
    <w:r w:rsidR="00A36413">
      <w:rPr>
        <w:rFonts w:ascii="Arial" w:hAnsi="Arial"/>
        <w:b/>
        <w:color w:val="002060"/>
        <w:lang w:val="pt-BR"/>
      </w:rPr>
      <w:t>2</w:t>
    </w:r>
  </w:p>
  <w:p w14:paraId="3313DB4E" w14:textId="1B81B353" w:rsidR="00A36413" w:rsidRPr="0055097C" w:rsidRDefault="00A36413"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8521EF">
      <w:rPr>
        <w:rFonts w:ascii="Arial" w:hAnsi="Arial"/>
        <w:b/>
        <w:color w:val="002060"/>
      </w:rPr>
      <w:t>7</w:t>
    </w:r>
  </w:p>
  <w:p w14:paraId="1BD10FE3" w14:textId="77777777" w:rsidR="00A36413" w:rsidRPr="0055097C" w:rsidRDefault="00A36413"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CD04"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24518555" wp14:editId="6674D8CE">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Pr>
        <w:rFonts w:ascii="Arial" w:hAnsi="Arial"/>
        <w:b/>
        <w:color w:val="002060"/>
      </w:rPr>
      <w:t>7</w:t>
    </w:r>
    <w:r w:rsidRPr="0055097C">
      <w:rPr>
        <w:rFonts w:ascii="Arial" w:hAnsi="Arial"/>
        <w:b/>
        <w:color w:val="002060"/>
      </w:rPr>
      <w:t>/2</w:t>
    </w:r>
    <w:r>
      <w:rPr>
        <w:rFonts w:ascii="Arial" w:hAnsi="Arial"/>
        <w:b/>
        <w:color w:val="002060"/>
      </w:rPr>
      <w:t>2</w:t>
    </w:r>
  </w:p>
  <w:p w14:paraId="4BE2FAFA"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Pr="0055097C">
      <w:rPr>
        <w:rFonts w:ascii="Arial" w:hAnsi="Arial"/>
        <w:b/>
        <w:color w:val="002060"/>
        <w:lang w:val="pt-BR"/>
      </w:rPr>
      <w:t xml:space="preserve"> DE </w:t>
    </w:r>
    <w:r>
      <w:rPr>
        <w:rFonts w:ascii="Arial" w:hAnsi="Arial"/>
        <w:b/>
        <w:color w:val="002060"/>
        <w:lang w:val="pt-BR"/>
      </w:rPr>
      <w:t>ENERO</w:t>
    </w:r>
    <w:r w:rsidRPr="0055097C">
      <w:rPr>
        <w:rFonts w:ascii="Arial" w:hAnsi="Arial"/>
        <w:b/>
        <w:color w:val="002060"/>
        <w:lang w:val="pt-BR"/>
      </w:rPr>
      <w:t xml:space="preserve"> DE 202</w:t>
    </w:r>
    <w:r>
      <w:rPr>
        <w:rFonts w:ascii="Arial" w:hAnsi="Arial"/>
        <w:b/>
        <w:color w:val="002060"/>
        <w:lang w:val="pt-BR"/>
      </w:rPr>
      <w:t>2</w:t>
    </w:r>
  </w:p>
  <w:p w14:paraId="5DC33192" w14:textId="77777777" w:rsidR="00A36413" w:rsidRPr="0055097C" w:rsidRDefault="00A36413" w:rsidP="00A36413">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Pr>
        <w:rFonts w:ascii="Arial" w:hAnsi="Arial"/>
        <w:b/>
        <w:color w:val="002060"/>
      </w:rPr>
      <w:t>10</w:t>
    </w:r>
  </w:p>
  <w:p w14:paraId="40DBF868" w14:textId="724BBDEB"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A1F1" w14:textId="44525EA2" w:rsidR="00A36413" w:rsidRPr="00FE1C98" w:rsidRDefault="00A36413" w:rsidP="00A36413">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3360" behindDoc="0" locked="0" layoutInCell="1" allowOverlap="1" wp14:anchorId="32E1CED3" wp14:editId="17C90D04">
          <wp:simplePos x="0" y="0"/>
          <wp:positionH relativeFrom="margin">
            <wp:align>center</wp:align>
          </wp:positionH>
          <wp:positionV relativeFrom="margin">
            <wp:posOffset>-747395</wp:posOffset>
          </wp:positionV>
          <wp:extent cx="733425" cy="76200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097C">
      <w:rPr>
        <w:rFonts w:ascii="Arial" w:hAnsi="Arial"/>
        <w:b/>
        <w:color w:val="002060"/>
      </w:rPr>
      <w:t xml:space="preserve"> </w:t>
    </w:r>
  </w:p>
  <w:p w14:paraId="6F4E88C5" w14:textId="77777777" w:rsidR="00A36413" w:rsidRPr="00E1569D" w:rsidRDefault="00A36413"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C18BC"/>
    <w:multiLevelType w:val="hybridMultilevel"/>
    <w:tmpl w:val="4CF6F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05A5A"/>
    <w:rsid w:val="00024290"/>
    <w:rsid w:val="00035C11"/>
    <w:rsid w:val="0005036B"/>
    <w:rsid w:val="000503EB"/>
    <w:rsid w:val="00051D00"/>
    <w:rsid w:val="00052B5B"/>
    <w:rsid w:val="00060983"/>
    <w:rsid w:val="00066D53"/>
    <w:rsid w:val="00073292"/>
    <w:rsid w:val="00073DC6"/>
    <w:rsid w:val="00075338"/>
    <w:rsid w:val="00092934"/>
    <w:rsid w:val="000A3A24"/>
    <w:rsid w:val="000A5B1F"/>
    <w:rsid w:val="000C0E29"/>
    <w:rsid w:val="000C3ECB"/>
    <w:rsid w:val="000D44BD"/>
    <w:rsid w:val="000F4D71"/>
    <w:rsid w:val="00102A2F"/>
    <w:rsid w:val="0011312A"/>
    <w:rsid w:val="00113BEA"/>
    <w:rsid w:val="0011422C"/>
    <w:rsid w:val="00130654"/>
    <w:rsid w:val="001345B3"/>
    <w:rsid w:val="00134E4A"/>
    <w:rsid w:val="001406B4"/>
    <w:rsid w:val="001541CD"/>
    <w:rsid w:val="00177988"/>
    <w:rsid w:val="0018246B"/>
    <w:rsid w:val="001A0075"/>
    <w:rsid w:val="001A121C"/>
    <w:rsid w:val="001B6547"/>
    <w:rsid w:val="001C1D48"/>
    <w:rsid w:val="001D1BF6"/>
    <w:rsid w:val="001F027B"/>
    <w:rsid w:val="001F5EDA"/>
    <w:rsid w:val="0020048F"/>
    <w:rsid w:val="002178CC"/>
    <w:rsid w:val="00225BE5"/>
    <w:rsid w:val="00233364"/>
    <w:rsid w:val="002459A8"/>
    <w:rsid w:val="00253891"/>
    <w:rsid w:val="0025410E"/>
    <w:rsid w:val="00267694"/>
    <w:rsid w:val="00271894"/>
    <w:rsid w:val="002A3DE0"/>
    <w:rsid w:val="00300006"/>
    <w:rsid w:val="00320845"/>
    <w:rsid w:val="00323A30"/>
    <w:rsid w:val="00331F83"/>
    <w:rsid w:val="00340060"/>
    <w:rsid w:val="00342CE1"/>
    <w:rsid w:val="00344D45"/>
    <w:rsid w:val="00364C64"/>
    <w:rsid w:val="00366E1A"/>
    <w:rsid w:val="00370773"/>
    <w:rsid w:val="003A36B3"/>
    <w:rsid w:val="003A4A65"/>
    <w:rsid w:val="003B5587"/>
    <w:rsid w:val="003C25FA"/>
    <w:rsid w:val="003C3183"/>
    <w:rsid w:val="003D6E6B"/>
    <w:rsid w:val="003E224B"/>
    <w:rsid w:val="003E4DA0"/>
    <w:rsid w:val="003F0BA8"/>
    <w:rsid w:val="00407A49"/>
    <w:rsid w:val="00410452"/>
    <w:rsid w:val="00425605"/>
    <w:rsid w:val="004349CB"/>
    <w:rsid w:val="00446F31"/>
    <w:rsid w:val="0044758D"/>
    <w:rsid w:val="0045103E"/>
    <w:rsid w:val="00455F9B"/>
    <w:rsid w:val="004700A9"/>
    <w:rsid w:val="00483C1E"/>
    <w:rsid w:val="004952F9"/>
    <w:rsid w:val="004979B1"/>
    <w:rsid w:val="004A6635"/>
    <w:rsid w:val="004B236F"/>
    <w:rsid w:val="004B2B8F"/>
    <w:rsid w:val="004D24BD"/>
    <w:rsid w:val="004D56FD"/>
    <w:rsid w:val="004F7C37"/>
    <w:rsid w:val="00521756"/>
    <w:rsid w:val="00530EB4"/>
    <w:rsid w:val="00536FED"/>
    <w:rsid w:val="00541080"/>
    <w:rsid w:val="0055097C"/>
    <w:rsid w:val="00557DEF"/>
    <w:rsid w:val="005723AB"/>
    <w:rsid w:val="005932D9"/>
    <w:rsid w:val="005A4895"/>
    <w:rsid w:val="005B116D"/>
    <w:rsid w:val="005B1CB4"/>
    <w:rsid w:val="005B6691"/>
    <w:rsid w:val="005B6905"/>
    <w:rsid w:val="005C549F"/>
    <w:rsid w:val="005D1B9F"/>
    <w:rsid w:val="005D599D"/>
    <w:rsid w:val="005D73F0"/>
    <w:rsid w:val="006211B7"/>
    <w:rsid w:val="006361A1"/>
    <w:rsid w:val="00637082"/>
    <w:rsid w:val="00645963"/>
    <w:rsid w:val="00645B25"/>
    <w:rsid w:val="006524D4"/>
    <w:rsid w:val="00652B3E"/>
    <w:rsid w:val="0066231E"/>
    <w:rsid w:val="00663C0D"/>
    <w:rsid w:val="00664D54"/>
    <w:rsid w:val="00672AFE"/>
    <w:rsid w:val="00676132"/>
    <w:rsid w:val="0068477A"/>
    <w:rsid w:val="00690586"/>
    <w:rsid w:val="0069208B"/>
    <w:rsid w:val="006A500C"/>
    <w:rsid w:val="006C001C"/>
    <w:rsid w:val="006C1B64"/>
    <w:rsid w:val="006C1DED"/>
    <w:rsid w:val="006C3E21"/>
    <w:rsid w:val="006E7E34"/>
    <w:rsid w:val="006F0BB5"/>
    <w:rsid w:val="006F1DB8"/>
    <w:rsid w:val="00700FEF"/>
    <w:rsid w:val="0071402E"/>
    <w:rsid w:val="00747CE7"/>
    <w:rsid w:val="007555CF"/>
    <w:rsid w:val="007602C8"/>
    <w:rsid w:val="007732C3"/>
    <w:rsid w:val="0077651B"/>
    <w:rsid w:val="00795FBF"/>
    <w:rsid w:val="007A0CC6"/>
    <w:rsid w:val="007A4132"/>
    <w:rsid w:val="007A6161"/>
    <w:rsid w:val="007B1640"/>
    <w:rsid w:val="007B557D"/>
    <w:rsid w:val="007C428D"/>
    <w:rsid w:val="007C6D43"/>
    <w:rsid w:val="007D30F1"/>
    <w:rsid w:val="007D605B"/>
    <w:rsid w:val="007F57FD"/>
    <w:rsid w:val="007F6969"/>
    <w:rsid w:val="00800C34"/>
    <w:rsid w:val="00801992"/>
    <w:rsid w:val="00831C64"/>
    <w:rsid w:val="00836E03"/>
    <w:rsid w:val="00840D4E"/>
    <w:rsid w:val="008521EF"/>
    <w:rsid w:val="00862718"/>
    <w:rsid w:val="008661D4"/>
    <w:rsid w:val="008838B3"/>
    <w:rsid w:val="00886A14"/>
    <w:rsid w:val="008A710C"/>
    <w:rsid w:val="008A7365"/>
    <w:rsid w:val="008D7EC0"/>
    <w:rsid w:val="009028C4"/>
    <w:rsid w:val="00945155"/>
    <w:rsid w:val="00947779"/>
    <w:rsid w:val="00951AC2"/>
    <w:rsid w:val="009641D5"/>
    <w:rsid w:val="00964F37"/>
    <w:rsid w:val="00971364"/>
    <w:rsid w:val="0098506E"/>
    <w:rsid w:val="009A6FC1"/>
    <w:rsid w:val="009C16A9"/>
    <w:rsid w:val="009D044C"/>
    <w:rsid w:val="009D2EE7"/>
    <w:rsid w:val="009E432F"/>
    <w:rsid w:val="009E6DF2"/>
    <w:rsid w:val="009F49AB"/>
    <w:rsid w:val="009F5082"/>
    <w:rsid w:val="00A00115"/>
    <w:rsid w:val="00A0634F"/>
    <w:rsid w:val="00A1275F"/>
    <w:rsid w:val="00A12DAF"/>
    <w:rsid w:val="00A17EEA"/>
    <w:rsid w:val="00A216CA"/>
    <w:rsid w:val="00A36413"/>
    <w:rsid w:val="00A36B4A"/>
    <w:rsid w:val="00A433AC"/>
    <w:rsid w:val="00A46A31"/>
    <w:rsid w:val="00A47F4E"/>
    <w:rsid w:val="00A51ECA"/>
    <w:rsid w:val="00AD415B"/>
    <w:rsid w:val="00AE06BF"/>
    <w:rsid w:val="00B1573C"/>
    <w:rsid w:val="00B314F7"/>
    <w:rsid w:val="00B32926"/>
    <w:rsid w:val="00B441E1"/>
    <w:rsid w:val="00B641A4"/>
    <w:rsid w:val="00B66E2B"/>
    <w:rsid w:val="00B76BCE"/>
    <w:rsid w:val="00B84496"/>
    <w:rsid w:val="00BA55EE"/>
    <w:rsid w:val="00BB7F82"/>
    <w:rsid w:val="00BD4111"/>
    <w:rsid w:val="00BE5102"/>
    <w:rsid w:val="00C07C70"/>
    <w:rsid w:val="00C15B95"/>
    <w:rsid w:val="00C2071E"/>
    <w:rsid w:val="00C22DBE"/>
    <w:rsid w:val="00C23A82"/>
    <w:rsid w:val="00C34960"/>
    <w:rsid w:val="00C34C68"/>
    <w:rsid w:val="00C413DB"/>
    <w:rsid w:val="00C42EED"/>
    <w:rsid w:val="00C5538D"/>
    <w:rsid w:val="00C57A24"/>
    <w:rsid w:val="00C74D56"/>
    <w:rsid w:val="00C96FB6"/>
    <w:rsid w:val="00CC4160"/>
    <w:rsid w:val="00CD20DE"/>
    <w:rsid w:val="00CE41D4"/>
    <w:rsid w:val="00CF739D"/>
    <w:rsid w:val="00D011CC"/>
    <w:rsid w:val="00D02A84"/>
    <w:rsid w:val="00D12EAE"/>
    <w:rsid w:val="00D23DC8"/>
    <w:rsid w:val="00D37837"/>
    <w:rsid w:val="00D51007"/>
    <w:rsid w:val="00D54D2E"/>
    <w:rsid w:val="00D630D2"/>
    <w:rsid w:val="00D66855"/>
    <w:rsid w:val="00D72D5B"/>
    <w:rsid w:val="00D7428B"/>
    <w:rsid w:val="00D83BF5"/>
    <w:rsid w:val="00D86FF8"/>
    <w:rsid w:val="00D9412E"/>
    <w:rsid w:val="00DA7591"/>
    <w:rsid w:val="00DB40AD"/>
    <w:rsid w:val="00DB4FA1"/>
    <w:rsid w:val="00DC654C"/>
    <w:rsid w:val="00DC740F"/>
    <w:rsid w:val="00DD7116"/>
    <w:rsid w:val="00DE76F8"/>
    <w:rsid w:val="00E02DFE"/>
    <w:rsid w:val="00E074C4"/>
    <w:rsid w:val="00E12385"/>
    <w:rsid w:val="00E1569D"/>
    <w:rsid w:val="00E269C0"/>
    <w:rsid w:val="00E630E9"/>
    <w:rsid w:val="00E7625D"/>
    <w:rsid w:val="00E77F94"/>
    <w:rsid w:val="00EA7A39"/>
    <w:rsid w:val="00EB1787"/>
    <w:rsid w:val="00EB70DC"/>
    <w:rsid w:val="00EB73A2"/>
    <w:rsid w:val="00EC79C5"/>
    <w:rsid w:val="00EE722F"/>
    <w:rsid w:val="00EF3ABF"/>
    <w:rsid w:val="00F17ABB"/>
    <w:rsid w:val="00F4174A"/>
    <w:rsid w:val="00F60A04"/>
    <w:rsid w:val="00F624CF"/>
    <w:rsid w:val="00F85262"/>
    <w:rsid w:val="00F86532"/>
    <w:rsid w:val="00F9073B"/>
    <w:rsid w:val="00FA0AFA"/>
    <w:rsid w:val="00FB72F4"/>
    <w:rsid w:val="00FC4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semiHidden/>
    <w:unhideWhenUsed/>
    <w:rsid w:val="00D86FF8"/>
    <w:rPr>
      <w:sz w:val="20"/>
      <w:szCs w:val="20"/>
    </w:rPr>
  </w:style>
  <w:style w:type="character" w:customStyle="1" w:styleId="TextocomentarioCar">
    <w:name w:val="Texto comentario Car"/>
    <w:basedOn w:val="Fuentedeprrafopredeter"/>
    <w:link w:val="Textocomentario"/>
    <w:uiPriority w:val="99"/>
    <w:semiHidden/>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 w:type="paragraph" w:styleId="Revisin">
    <w:name w:val="Revision"/>
    <w:hidden/>
    <w:uiPriority w:val="99"/>
    <w:semiHidden/>
    <w:rsid w:val="00005A5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https://www.inegi.org.mx/investigacion/imoa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3.xml><?xml version="1.0" encoding="utf-8"?>
<ds:datastoreItem xmlns:ds="http://schemas.openxmlformats.org/officeDocument/2006/customXml" ds:itemID="{929B7376-5E2D-4119-B29F-6FD4C98E479F}">
  <ds:schemaRefs>
    <ds:schemaRef ds:uri="http://schemas.openxmlformats.org/officeDocument/2006/bibliography"/>
  </ds:schemaRefs>
</ds:datastoreItem>
</file>

<file path=customXml/itemProps4.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MORONES RUIZ FABIOLA CRISTINA</cp:lastModifiedBy>
  <cp:revision>2</cp:revision>
  <cp:lastPrinted>2022-02-02T02:58:00Z</cp:lastPrinted>
  <dcterms:created xsi:type="dcterms:W3CDTF">2022-02-02T12:09:00Z</dcterms:created>
  <dcterms:modified xsi:type="dcterms:W3CDTF">2022-02-02T12:09:00Z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