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  <w:bookmarkStart w:id="0" w:name="_GoBack"/>
      <w:bookmarkEnd w:id="0"/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3E23DF88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7E813EA5" w:rsidR="00A216CA" w:rsidRPr="00F17ABB" w:rsidRDefault="0064711B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MAYO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194605A0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7918274E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64711B">
        <w:rPr>
          <w:rFonts w:ascii="Arial" w:eastAsia="MS Mincho" w:hAnsi="Arial" w:cs="Arial"/>
          <w:bCs/>
          <w:lang w:val="es-MX" w:eastAsia="ja-JP"/>
        </w:rPr>
        <w:t>mayo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E27B29">
        <w:rPr>
          <w:rFonts w:ascii="Arial" w:eastAsia="MS Mincho" w:hAnsi="Arial" w:cs="Arial"/>
          <w:bCs/>
          <w:lang w:val="es-MX" w:eastAsia="ja-JP"/>
        </w:rPr>
        <w:t>1</w:t>
      </w:r>
      <w:r w:rsidR="0064711B">
        <w:rPr>
          <w:rFonts w:ascii="Arial" w:eastAsia="MS Mincho" w:hAnsi="Arial" w:cs="Arial"/>
          <w:bCs/>
          <w:lang w:val="es-MX" w:eastAsia="ja-JP"/>
        </w:rPr>
        <w:t>21</w:t>
      </w:r>
      <w:r w:rsidR="00E27B29">
        <w:rPr>
          <w:rFonts w:ascii="Arial" w:eastAsia="MS Mincho" w:hAnsi="Arial" w:cs="Arial"/>
          <w:bCs/>
          <w:lang w:val="es-MX" w:eastAsia="ja-JP"/>
        </w:rPr>
        <w:t>.</w:t>
      </w:r>
      <w:r w:rsidR="0064711B">
        <w:rPr>
          <w:rFonts w:ascii="Arial" w:eastAsia="MS Mincho" w:hAnsi="Arial" w:cs="Arial"/>
          <w:bCs/>
          <w:lang w:val="es-MX" w:eastAsia="ja-JP"/>
        </w:rPr>
        <w:t>2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3A249E42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64711B">
        <w:rPr>
          <w:rFonts w:ascii="Arial" w:eastAsia="MS Mincho" w:hAnsi="Arial" w:cs="Arial"/>
          <w:bCs/>
          <w:lang w:val="es-MX" w:eastAsia="ja-JP"/>
        </w:rPr>
        <w:t>mayo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64711B">
        <w:rPr>
          <w:rFonts w:ascii="Arial" w:eastAsia="MS Mincho" w:hAnsi="Arial" w:cs="Arial"/>
          <w:bCs/>
          <w:lang w:val="es-MX" w:eastAsia="ja-JP"/>
        </w:rPr>
        <w:t>8.1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250957E3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64711B">
        <w:rPr>
          <w:rFonts w:ascii="Arial" w:hAnsi="Arial" w:cs="Arial"/>
          <w:lang w:val="es-MX"/>
        </w:rPr>
        <w:t>mayo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B707A9">
        <w:rPr>
          <w:rFonts w:ascii="Arial" w:hAnsi="Arial" w:cs="Arial"/>
          <w:lang w:val="es-MX"/>
        </w:rPr>
        <w:t>1</w:t>
      </w:r>
      <w:r w:rsidR="0064711B">
        <w:rPr>
          <w:rFonts w:ascii="Arial" w:hAnsi="Arial" w:cs="Arial"/>
          <w:lang w:val="es-MX"/>
        </w:rPr>
        <w:t>21</w:t>
      </w:r>
      <w:r w:rsidR="00B707A9">
        <w:rPr>
          <w:rFonts w:ascii="Arial" w:hAnsi="Arial" w:cs="Arial"/>
          <w:lang w:val="es-MX"/>
        </w:rPr>
        <w:t>.</w:t>
      </w:r>
      <w:r w:rsidR="0064711B">
        <w:rPr>
          <w:rFonts w:ascii="Arial" w:hAnsi="Arial" w:cs="Arial"/>
          <w:lang w:val="es-MX"/>
        </w:rPr>
        <w:t>2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64711B">
        <w:rPr>
          <w:rFonts w:ascii="Arial" w:hAnsi="Arial" w:cs="Arial"/>
          <w:lang w:val="es-MX"/>
        </w:rPr>
        <w:t>8.1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21922C56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Estimaciones del IMAI del Sector Manufacturero</w:t>
      </w:r>
    </w:p>
    <w:p w14:paraId="44430610" w14:textId="4021C359" w:rsidR="00364C64" w:rsidRPr="00D630D2" w:rsidRDefault="0064711B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Mayo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1C0A7CE6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121.2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2206CA69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117.7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2E86516D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124.7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0F37D87B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8.1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1421F9B3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5.1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7755273B" w:rsidR="00521756" w:rsidRPr="00C34960" w:rsidRDefault="0064711B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11.3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1A04BD59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7B1E3C6C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 provenientes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25D7A2C6" w14:textId="77777777" w:rsidR="00355820" w:rsidRPr="00340060" w:rsidRDefault="00355820" w:rsidP="00340060">
      <w:pPr>
        <w:jc w:val="both"/>
        <w:rPr>
          <w:rFonts w:ascii="Arial" w:hAnsi="Arial" w:cs="Arial"/>
          <w:lang w:val="es-MX"/>
        </w:rPr>
      </w:pP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2CF542DD" w:rsidR="00271894" w:rsidRDefault="00EE66F0" w:rsidP="00340060">
      <w:r w:rsidRPr="00EE66F0">
        <w:rPr>
          <w:noProof/>
        </w:rPr>
        <w:drawing>
          <wp:inline distT="0" distB="0" distL="0" distR="0" wp14:anchorId="5812DA25" wp14:editId="68D3055B">
            <wp:extent cx="6332220" cy="2673350"/>
            <wp:effectExtent l="0" t="0" r="0" b="0"/>
            <wp:docPr id="5" name="Imagen 6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A8F5B99D-25F8-8A95-F1F7-8677D3F51D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6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A8F5B99D-25F8-8A95-F1F7-8677D3F51D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29897" w14:textId="44BEB0BB" w:rsidR="00953A6E" w:rsidRPr="00F20099" w:rsidRDefault="00953A6E" w:rsidP="00953A6E">
      <w:pPr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IMOAM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081FA3A9" w14:textId="5D318CD2" w:rsidR="00340060" w:rsidRPr="008C4C59" w:rsidRDefault="00340060" w:rsidP="00340060">
      <w:pPr>
        <w:rPr>
          <w:rFonts w:ascii="Arial" w:hAnsi="Arial" w:cs="Arial"/>
          <w:b/>
          <w:bCs/>
          <w:sz w:val="16"/>
          <w:szCs w:val="16"/>
          <w:lang w:val="es-MX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3D97EA8E" w:rsidR="004F7C37" w:rsidRPr="00364C64" w:rsidRDefault="00EE66F0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EE66F0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080E2FB8" wp14:editId="5B069395">
            <wp:extent cx="6332220" cy="2682875"/>
            <wp:effectExtent l="0" t="0" r="0" b="3175"/>
            <wp:docPr id="8" name="Imagen 6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F792C89-A048-4E32-A7ED-486B42A20F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6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4F792C89-A048-4E32-A7ED-486B42A20F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81F1" w14:textId="5FC6D899" w:rsidR="00953A6E" w:rsidRPr="00953A6E" w:rsidRDefault="00953A6E" w:rsidP="00CE51A8">
      <w:pPr>
        <w:jc w:val="center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2B5A9A26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Indicador Mensual Oportuno de la Actividad Manufacturera (IMOAM)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D72A07E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095EF929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055D3937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F54185"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7BB3D889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[1] </w:t>
      </w:r>
      <w:r w:rsidR="00213EDC" w:rsidRPr="00576179">
        <w:rPr>
          <w:rFonts w:ascii="Arial" w:hAnsi="Arial" w:cs="Arial"/>
          <w:i/>
          <w:lang w:val="es-MX"/>
        </w:rPr>
        <w:t>Early Monthly Estimation of Mexico’s Manufacturing Production Level using Electric Energy Consumption data</w:t>
      </w:r>
      <w:r w:rsidR="00C04FD4" w:rsidRPr="0017773B">
        <w:rPr>
          <w:rFonts w:ascii="Arial" w:hAnsi="Arial" w:cs="Arial"/>
          <w:iCs/>
          <w:lang w:val="es-MX"/>
        </w:rPr>
        <w:t>.</w:t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18F72D05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Con el propósito de 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43290B59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8A5066">
        <w:rPr>
          <w:rFonts w:ascii="Arial" w:hAnsi="Arial" w:cs="Arial"/>
        </w:rPr>
        <w:t>E</w:t>
      </w:r>
      <w:r w:rsidR="00765616">
        <w:rPr>
          <w:rFonts w:ascii="Arial" w:hAnsi="Arial" w:cs="Arial"/>
        </w:rPr>
        <w:t>l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 xml:space="preserve">86 %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777984">
        <w:rPr>
          <w:rFonts w:ascii="Arial" w:hAnsi="Arial" w:cs="Arial"/>
        </w:rPr>
        <w:t>abril</w:t>
      </w:r>
      <w:r w:rsidR="00647F13">
        <w:rPr>
          <w:rFonts w:ascii="Arial" w:hAnsi="Arial" w:cs="Arial"/>
        </w:rPr>
        <w:t xml:space="preserve"> 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77777777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3A2458AD" w:rsidR="00073292" w:rsidRPr="00097309" w:rsidRDefault="00777984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1F6AB5D9" wp14:editId="0A101609">
            <wp:extent cx="6332220" cy="3013075"/>
            <wp:effectExtent l="0" t="0" r="0" b="0"/>
            <wp:docPr id="1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Histograma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7CFFD66D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4D916892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7CB66F04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Indicador Mensual Oportuno de la Actividad Manufacturera (IMOAM), </w:t>
      </w:r>
      <w:r w:rsidR="005767CD">
        <w:rPr>
          <w:rFonts w:ascii="Arial" w:hAnsi="Arial" w:cs="Arial"/>
        </w:rPr>
        <w:t>que</w:t>
      </w:r>
      <w:r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52F67176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9D6738">
        <w:rPr>
          <w:rFonts w:ascii="Arial" w:hAnsi="Arial" w:cs="Arial"/>
          <w:shd w:val="clear" w:color="auto" w:fill="FFFFFF"/>
        </w:rPr>
        <w:t xml:space="preserve"> internet de</w:t>
      </w:r>
      <w:r w:rsidRPr="00131E2B">
        <w:rPr>
          <w:rFonts w:ascii="Arial" w:hAnsi="Arial" w:cs="Arial"/>
          <w:shd w:val="clear" w:color="auto" w:fill="FFFFFF"/>
        </w:rPr>
        <w:t>l 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946B35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7371FDB3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  <w:r w:rsidRPr="00811717">
        <w:rPr>
          <w:rFonts w:ascii="Arial" w:hAnsi="Arial" w:cs="Arial"/>
          <w:b/>
        </w:rPr>
        <w:t>Referencias</w:t>
      </w:r>
    </w:p>
    <w:p w14:paraId="771E9F3B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6CCF8727" w14:textId="79F18B2F" w:rsidR="00073292" w:rsidRPr="00811717" w:rsidRDefault="00073292" w:rsidP="00073292">
      <w:pPr>
        <w:shd w:val="clear" w:color="auto" w:fill="FFFFFF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[1] Alba-Cuellar Daniel, Hernandez-Ramos Hugo (2020). </w:t>
      </w:r>
      <w:r w:rsidRPr="00811717">
        <w:rPr>
          <w:rFonts w:ascii="Arial" w:hAnsi="Arial" w:cs="Arial"/>
          <w:i/>
          <w:lang w:val="en-US"/>
        </w:rPr>
        <w:t>Early Monthly Estimation of Mexico’s Manufacturing Production Level using Electric Energy Consumption data</w:t>
      </w:r>
      <w:r>
        <w:rPr>
          <w:rFonts w:ascii="Arial" w:hAnsi="Arial" w:cs="Arial"/>
          <w:lang w:val="en-US"/>
        </w:rPr>
        <w:t xml:space="preserve"> (mimeo)</w:t>
      </w:r>
      <w:r w:rsidR="00D72D5B">
        <w:rPr>
          <w:rFonts w:ascii="Arial" w:hAnsi="Arial" w:cs="Arial"/>
          <w:lang w:val="en-US"/>
        </w:rPr>
        <w:t>.</w:t>
      </w:r>
    </w:p>
    <w:p w14:paraId="0207A9A5" w14:textId="7DCA3C92" w:rsidR="00073292" w:rsidRPr="00B641A4" w:rsidRDefault="00073292" w:rsidP="003C3183">
      <w:pPr>
        <w:ind w:right="-1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73292" w:rsidRPr="00B641A4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2C02" w14:textId="77777777" w:rsidR="00946B35" w:rsidRDefault="00946B35" w:rsidP="00E1569D">
      <w:r>
        <w:separator/>
      </w:r>
    </w:p>
  </w:endnote>
  <w:endnote w:type="continuationSeparator" w:id="0">
    <w:p w14:paraId="38EA5335" w14:textId="77777777" w:rsidR="00946B35" w:rsidRDefault="00946B35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 Italic">
    <w:altName w:val="Arial Narrow"/>
    <w:charset w:val="00"/>
    <w:family w:val="swiss"/>
    <w:pitch w:val="default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E036E" w14:textId="77777777" w:rsidR="00946B35" w:rsidRDefault="00946B35" w:rsidP="00E1569D">
      <w:r>
        <w:separator/>
      </w:r>
    </w:p>
  </w:footnote>
  <w:footnote w:type="continuationSeparator" w:id="0">
    <w:p w14:paraId="239EFE04" w14:textId="77777777" w:rsidR="00946B35" w:rsidRDefault="00946B35" w:rsidP="00E1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72725525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147DB4">
      <w:rPr>
        <w:rFonts w:ascii="Arial" w:hAnsi="Arial"/>
        <w:b/>
        <w:color w:val="002060"/>
      </w:rPr>
      <w:t>354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5CF376C3" w:rsidR="00A36413" w:rsidRPr="0055097C" w:rsidRDefault="00147DB4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E27B29">
      <w:rPr>
        <w:rFonts w:ascii="Arial" w:hAnsi="Arial"/>
        <w:b/>
        <w:color w:val="002060"/>
        <w:lang w:val="pt-BR"/>
      </w:rPr>
      <w:t>JU</w:t>
    </w:r>
    <w:r w:rsidR="0064711B">
      <w:rPr>
        <w:rFonts w:ascii="Arial" w:hAnsi="Arial"/>
        <w:b/>
        <w:color w:val="002060"/>
        <w:lang w:val="pt-BR"/>
      </w:rPr>
      <w:t>L</w:t>
    </w:r>
    <w:r w:rsidR="00E27B29">
      <w:rPr>
        <w:rFonts w:ascii="Arial" w:hAnsi="Arial"/>
        <w:b/>
        <w:color w:val="002060"/>
        <w:lang w:val="pt-BR"/>
      </w:rPr>
      <w:t>I</w:t>
    </w:r>
    <w:r w:rsidR="00BC54B5">
      <w:rPr>
        <w:rFonts w:ascii="Arial" w:hAnsi="Arial"/>
        <w:b/>
        <w:color w:val="002060"/>
        <w:lang w:val="pt-BR"/>
      </w:rPr>
      <w:t>O</w:t>
    </w:r>
    <w:r w:rsidR="00A36413" w:rsidRPr="0055097C">
      <w:rPr>
        <w:rFonts w:ascii="Arial" w:hAnsi="Arial"/>
        <w:b/>
        <w:color w:val="002060"/>
        <w:lang w:val="pt-BR"/>
      </w:rPr>
      <w:t xml:space="preserve"> DE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A24"/>
    <w:rsid w:val="000A5B1F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3BB8"/>
    <w:rsid w:val="001B5F45"/>
    <w:rsid w:val="001B6547"/>
    <w:rsid w:val="001C11AC"/>
    <w:rsid w:val="001C11D1"/>
    <w:rsid w:val="001C1D48"/>
    <w:rsid w:val="001C2184"/>
    <w:rsid w:val="001F027B"/>
    <w:rsid w:val="001F29A9"/>
    <w:rsid w:val="001F5EDA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97843"/>
    <w:rsid w:val="002A0BC4"/>
    <w:rsid w:val="002A3DE0"/>
    <w:rsid w:val="002A444F"/>
    <w:rsid w:val="002B00C5"/>
    <w:rsid w:val="002C39BA"/>
    <w:rsid w:val="002C6F70"/>
    <w:rsid w:val="00300006"/>
    <w:rsid w:val="00313147"/>
    <w:rsid w:val="00320845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BA8"/>
    <w:rsid w:val="003F4753"/>
    <w:rsid w:val="00407A49"/>
    <w:rsid w:val="00410452"/>
    <w:rsid w:val="00425605"/>
    <w:rsid w:val="004349CB"/>
    <w:rsid w:val="004442A1"/>
    <w:rsid w:val="00446F31"/>
    <w:rsid w:val="0044758D"/>
    <w:rsid w:val="0045103E"/>
    <w:rsid w:val="00455F9B"/>
    <w:rsid w:val="004700A9"/>
    <w:rsid w:val="004702EB"/>
    <w:rsid w:val="00477FC7"/>
    <w:rsid w:val="00483C1E"/>
    <w:rsid w:val="00484091"/>
    <w:rsid w:val="004952F9"/>
    <w:rsid w:val="004979B1"/>
    <w:rsid w:val="004A2117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7C37"/>
    <w:rsid w:val="00505D0F"/>
    <w:rsid w:val="00514AE3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45DB"/>
    <w:rsid w:val="005C549F"/>
    <w:rsid w:val="005C6C11"/>
    <w:rsid w:val="005D1B9F"/>
    <w:rsid w:val="005D599D"/>
    <w:rsid w:val="005D73F0"/>
    <w:rsid w:val="005F5EA4"/>
    <w:rsid w:val="005F7842"/>
    <w:rsid w:val="006211B7"/>
    <w:rsid w:val="00621646"/>
    <w:rsid w:val="00625266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A500C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747C5"/>
    <w:rsid w:val="00876C66"/>
    <w:rsid w:val="008838B3"/>
    <w:rsid w:val="00886A14"/>
    <w:rsid w:val="00895690"/>
    <w:rsid w:val="008A5066"/>
    <w:rsid w:val="008A710C"/>
    <w:rsid w:val="008A7365"/>
    <w:rsid w:val="008C4C59"/>
    <w:rsid w:val="008D0FDD"/>
    <w:rsid w:val="008D7EC0"/>
    <w:rsid w:val="008E00BC"/>
    <w:rsid w:val="008E50C5"/>
    <w:rsid w:val="008F470E"/>
    <w:rsid w:val="009028C4"/>
    <w:rsid w:val="00914231"/>
    <w:rsid w:val="00940A3B"/>
    <w:rsid w:val="00941E5D"/>
    <w:rsid w:val="00942B5F"/>
    <w:rsid w:val="00945155"/>
    <w:rsid w:val="00946B35"/>
    <w:rsid w:val="00947779"/>
    <w:rsid w:val="00951AC2"/>
    <w:rsid w:val="00953A6E"/>
    <w:rsid w:val="009641D5"/>
    <w:rsid w:val="00964F37"/>
    <w:rsid w:val="00971364"/>
    <w:rsid w:val="00981320"/>
    <w:rsid w:val="0098506E"/>
    <w:rsid w:val="009A109C"/>
    <w:rsid w:val="009A6FC1"/>
    <w:rsid w:val="009C16A9"/>
    <w:rsid w:val="009C7677"/>
    <w:rsid w:val="009D044C"/>
    <w:rsid w:val="009D2EE7"/>
    <w:rsid w:val="009D6738"/>
    <w:rsid w:val="009D6A15"/>
    <w:rsid w:val="009D77CC"/>
    <w:rsid w:val="009E432F"/>
    <w:rsid w:val="009E6DF2"/>
    <w:rsid w:val="009E7638"/>
    <w:rsid w:val="009F49AB"/>
    <w:rsid w:val="009F5082"/>
    <w:rsid w:val="00A00115"/>
    <w:rsid w:val="00A0634F"/>
    <w:rsid w:val="00A1275F"/>
    <w:rsid w:val="00A12DAF"/>
    <w:rsid w:val="00A17EEA"/>
    <w:rsid w:val="00A216CA"/>
    <w:rsid w:val="00A36413"/>
    <w:rsid w:val="00A36B4A"/>
    <w:rsid w:val="00A420BD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D0200"/>
    <w:rsid w:val="00AD3D45"/>
    <w:rsid w:val="00AD415B"/>
    <w:rsid w:val="00AE06BF"/>
    <w:rsid w:val="00AF0E5A"/>
    <w:rsid w:val="00AF20E2"/>
    <w:rsid w:val="00AF4238"/>
    <w:rsid w:val="00B0293F"/>
    <w:rsid w:val="00B1573C"/>
    <w:rsid w:val="00B314F7"/>
    <w:rsid w:val="00B31620"/>
    <w:rsid w:val="00B32926"/>
    <w:rsid w:val="00B35C9A"/>
    <w:rsid w:val="00B43006"/>
    <w:rsid w:val="00B441E1"/>
    <w:rsid w:val="00B641A4"/>
    <w:rsid w:val="00B66824"/>
    <w:rsid w:val="00B66E2B"/>
    <w:rsid w:val="00B707A9"/>
    <w:rsid w:val="00B76BCE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7203"/>
    <w:rsid w:val="00D23DC8"/>
    <w:rsid w:val="00D273D4"/>
    <w:rsid w:val="00D37837"/>
    <w:rsid w:val="00D51007"/>
    <w:rsid w:val="00D53392"/>
    <w:rsid w:val="00D54D2E"/>
    <w:rsid w:val="00D630D2"/>
    <w:rsid w:val="00D66855"/>
    <w:rsid w:val="00D67FDD"/>
    <w:rsid w:val="00D72D5B"/>
    <w:rsid w:val="00D7428B"/>
    <w:rsid w:val="00D83BF5"/>
    <w:rsid w:val="00D86107"/>
    <w:rsid w:val="00D86FF8"/>
    <w:rsid w:val="00D9412E"/>
    <w:rsid w:val="00DA7591"/>
    <w:rsid w:val="00DA7B5A"/>
    <w:rsid w:val="00DB40AD"/>
    <w:rsid w:val="00DB4FA1"/>
    <w:rsid w:val="00DC1271"/>
    <w:rsid w:val="00DC654C"/>
    <w:rsid w:val="00DC740F"/>
    <w:rsid w:val="00DD2B8E"/>
    <w:rsid w:val="00DD7116"/>
    <w:rsid w:val="00DE0B1F"/>
    <w:rsid w:val="00DE76F8"/>
    <w:rsid w:val="00E02DFE"/>
    <w:rsid w:val="00E074C4"/>
    <w:rsid w:val="00E12385"/>
    <w:rsid w:val="00E1569D"/>
    <w:rsid w:val="00E269C0"/>
    <w:rsid w:val="00E27B29"/>
    <w:rsid w:val="00E630E9"/>
    <w:rsid w:val="00E7444B"/>
    <w:rsid w:val="00E74AD1"/>
    <w:rsid w:val="00E7625D"/>
    <w:rsid w:val="00E77F94"/>
    <w:rsid w:val="00E9471A"/>
    <w:rsid w:val="00EA7A39"/>
    <w:rsid w:val="00EB1787"/>
    <w:rsid w:val="00EB70DC"/>
    <w:rsid w:val="00EB73A2"/>
    <w:rsid w:val="00EC29D3"/>
    <w:rsid w:val="00EC79C5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728E6"/>
    <w:rsid w:val="00F7313B"/>
    <w:rsid w:val="00F81B25"/>
    <w:rsid w:val="00F85262"/>
    <w:rsid w:val="00F86532"/>
    <w:rsid w:val="00F9073B"/>
    <w:rsid w:val="00F92721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9CE6FB-1D4C-4E22-8E69-FD7E3F78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1237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 Mensual Oportuno de la Actividad Manufacturera (IMOAM)</vt:lpstr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 Mensual Oportuno de la Actividad Manufacturera (IMOAM)</dc:title>
  <dc:subject/>
  <dc:creator>INEGI</dc:creator>
  <cp:keywords/>
  <dc:description/>
  <cp:lastModifiedBy>GUILLEN MEDINA MOISES</cp:lastModifiedBy>
  <cp:revision>9</cp:revision>
  <cp:lastPrinted>2022-07-05T21:33:00Z</cp:lastPrinted>
  <dcterms:created xsi:type="dcterms:W3CDTF">2022-07-05T13:15:00Z</dcterms:created>
  <dcterms:modified xsi:type="dcterms:W3CDTF">2022-07-05T21:34:00Z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