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4E660909" w:rsidR="00A216CA" w:rsidRPr="00F17ABB" w:rsidRDefault="00D577A3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AGOSTO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3064BCF9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D577A3">
        <w:rPr>
          <w:rFonts w:ascii="Arial" w:eastAsia="MS Mincho" w:hAnsi="Arial" w:cs="Arial"/>
          <w:bCs/>
          <w:lang w:val="es-MX" w:eastAsia="ja-JP"/>
        </w:rPr>
        <w:t>agosto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bookmarkStart w:id="0" w:name="_GoBack"/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</w:t>
      </w:r>
      <w:bookmarkEnd w:id="0"/>
      <w:r w:rsidR="004A6635">
        <w:rPr>
          <w:rFonts w:ascii="Arial" w:eastAsia="MS Mincho" w:hAnsi="Arial" w:cs="Arial"/>
          <w:bCs/>
          <w:lang w:val="es-MX" w:eastAsia="ja-JP"/>
        </w:rPr>
        <w:t xml:space="preserve">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D577A3">
        <w:rPr>
          <w:rFonts w:ascii="Arial" w:eastAsia="MS Mincho" w:hAnsi="Arial" w:cs="Arial"/>
          <w:bCs/>
          <w:lang w:val="es-MX" w:eastAsia="ja-JP"/>
        </w:rPr>
        <w:t>123.6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34ED91BF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D577A3">
        <w:rPr>
          <w:rFonts w:ascii="Arial" w:eastAsia="MS Mincho" w:hAnsi="Arial" w:cs="Arial"/>
          <w:bCs/>
          <w:lang w:val="es-MX" w:eastAsia="ja-JP"/>
        </w:rPr>
        <w:t>agosto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D577A3">
        <w:rPr>
          <w:rFonts w:ascii="Arial" w:eastAsia="MS Mincho" w:hAnsi="Arial" w:cs="Arial"/>
          <w:bCs/>
          <w:lang w:val="es-MX" w:eastAsia="ja-JP"/>
        </w:rPr>
        <w:t>8.2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7F271C01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D577A3">
        <w:rPr>
          <w:rFonts w:ascii="Arial" w:hAnsi="Arial" w:cs="Arial"/>
          <w:lang w:val="es-MX"/>
        </w:rPr>
        <w:t>agosto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D577A3">
        <w:rPr>
          <w:rFonts w:ascii="Arial" w:hAnsi="Arial" w:cs="Arial"/>
          <w:lang w:val="es-MX"/>
        </w:rPr>
        <w:t>123.6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D577A3">
        <w:rPr>
          <w:rFonts w:ascii="Arial" w:hAnsi="Arial" w:cs="Arial"/>
          <w:lang w:val="es-MX"/>
        </w:rPr>
        <w:t>8.2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21922C56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44430610" w14:textId="65C982D8" w:rsidR="00364C64" w:rsidRPr="00D630D2" w:rsidRDefault="00D577A3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Agosto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0CB960B1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123.6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512E9BA4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120.2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26914A78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127.2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1A917F09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8.2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380A6214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5.2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0D918737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11.3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44502BD5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</w:t>
      </w:r>
      <w:r w:rsidR="008D5CE3">
        <w:rPr>
          <w:rFonts w:ascii="Arial" w:hAnsi="Arial" w:cs="Arial"/>
          <w:sz w:val="22"/>
          <w:szCs w:val="22"/>
        </w:rPr>
        <w:t>escribir</w:t>
      </w:r>
      <w:r w:rsidRPr="0055097C">
        <w:rPr>
          <w:rFonts w:ascii="Arial" w:hAnsi="Arial" w:cs="Arial"/>
          <w:sz w:val="22"/>
          <w:szCs w:val="22"/>
        </w:rPr>
        <w:t xml:space="preserve">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532CC598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16F84249" w:rsidR="00271894" w:rsidRDefault="00D577A3" w:rsidP="00340060">
      <w:r w:rsidRPr="00D577A3">
        <w:rPr>
          <w:noProof/>
        </w:rPr>
        <w:drawing>
          <wp:inline distT="0" distB="0" distL="0" distR="0" wp14:anchorId="3AD37BDF" wp14:editId="7BBB8F27">
            <wp:extent cx="6332220" cy="2682875"/>
            <wp:effectExtent l="0" t="0" r="0" b="317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3244D0D3-8055-F0D2-9C9E-A7A5C628C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3244D0D3-8055-F0D2-9C9E-A7A5C628C1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AA48" w14:textId="77777777" w:rsidR="002B1BB3" w:rsidRDefault="002B1BB3" w:rsidP="00340060"/>
    <w:p w14:paraId="3A529897" w14:textId="1E6395C6" w:rsidR="00953A6E" w:rsidRPr="00F20099" w:rsidRDefault="00953A6E" w:rsidP="002B1BB3">
      <w:pPr>
        <w:ind w:firstLine="142"/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77777777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3557A669" w:rsidR="004F7C37" w:rsidRDefault="00D577A3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577A3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45F15EE6" wp14:editId="1EC50121">
            <wp:extent cx="6332220" cy="2682875"/>
            <wp:effectExtent l="0" t="0" r="0" b="3175"/>
            <wp:docPr id="6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A6785B9-66EC-5866-9763-4039AED01D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4A6785B9-66EC-5866-9763-4039AED01D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99B" w14:textId="77777777" w:rsidR="002B1BB3" w:rsidRPr="00364C64" w:rsidRDefault="002B1BB3" w:rsidP="002B1BB3">
      <w:pPr>
        <w:spacing w:line="240" w:lineRule="atLeast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751F81F1" w14:textId="77777777" w:rsidR="00953A6E" w:rsidRPr="00953A6E" w:rsidRDefault="00953A6E" w:rsidP="002B1BB3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7777777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IMOAM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EC2861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48F45213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23A73846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A7233B2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r w:rsidR="00213EDC" w:rsidRPr="00576179">
        <w:rPr>
          <w:rFonts w:ascii="Arial" w:hAnsi="Arial" w:cs="Arial"/>
          <w:i/>
          <w:lang w:val="es-MX"/>
        </w:rPr>
        <w:t>Early Monthly Estimation of Mexico’s Manufacturing Production Level using Electric Energy Consumption data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1"/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07C677E7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CC0A94">
        <w:rPr>
          <w:rFonts w:ascii="Arial" w:hAnsi="Arial" w:cs="Arial"/>
        </w:rPr>
        <w:t>7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6B3092">
        <w:rPr>
          <w:rFonts w:ascii="Arial" w:hAnsi="Arial" w:cs="Arial"/>
        </w:rPr>
        <w:t>ju</w:t>
      </w:r>
      <w:r w:rsidR="00D577A3">
        <w:rPr>
          <w:rFonts w:ascii="Arial" w:hAnsi="Arial" w:cs="Arial"/>
        </w:rPr>
        <w:t>l</w:t>
      </w:r>
      <w:r w:rsidR="006B3092">
        <w:rPr>
          <w:rFonts w:ascii="Arial" w:hAnsi="Arial" w:cs="Arial"/>
        </w:rPr>
        <w:t xml:space="preserve">io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77777777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562DA89D" w:rsidR="00073292" w:rsidRPr="00097309" w:rsidRDefault="00D577A3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30AA7E4E" wp14:editId="3F4046EC">
            <wp:extent cx="6332220" cy="3013075"/>
            <wp:effectExtent l="0" t="0" r="0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3526D8D1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1A6CBDE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2659AE0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37A9A141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5976A520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AB8B0A3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020093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0207A9A5" w14:textId="7DCA3C92" w:rsidR="00073292" w:rsidRPr="005F7E0D" w:rsidRDefault="00073292" w:rsidP="003C3183">
      <w:pPr>
        <w:ind w:right="-1"/>
        <w:jc w:val="center"/>
        <w:rPr>
          <w:rFonts w:ascii="Arial" w:hAnsi="Arial" w:cs="Arial"/>
          <w:sz w:val="20"/>
          <w:szCs w:val="20"/>
        </w:rPr>
      </w:pPr>
    </w:p>
    <w:sectPr w:rsidR="00073292" w:rsidRPr="005F7E0D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56B6" w14:textId="77777777" w:rsidR="00020093" w:rsidRDefault="00020093" w:rsidP="00E1569D">
      <w:r>
        <w:separator/>
      </w:r>
    </w:p>
  </w:endnote>
  <w:endnote w:type="continuationSeparator" w:id="0">
    <w:p w14:paraId="67D68593" w14:textId="77777777" w:rsidR="00020093" w:rsidRDefault="00020093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B36C" w14:textId="77777777" w:rsidR="00020093" w:rsidRDefault="00020093" w:rsidP="00E1569D">
      <w:r>
        <w:separator/>
      </w:r>
    </w:p>
  </w:footnote>
  <w:footnote w:type="continuationSeparator" w:id="0">
    <w:p w14:paraId="60A3C33B" w14:textId="77777777" w:rsidR="00020093" w:rsidRDefault="00020093" w:rsidP="00E1569D">
      <w:r>
        <w:continuationSeparator/>
      </w:r>
    </w:p>
  </w:footnote>
  <w:footnote w:id="1">
    <w:p w14:paraId="286A29D5" w14:textId="0B1E72F4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Alba-Cuellar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Pr="005F7E0D">
        <w:rPr>
          <w:rFonts w:ascii="Arial" w:hAnsi="Arial" w:cs="Arial"/>
          <w:i/>
          <w:sz w:val="16"/>
          <w:szCs w:val="16"/>
          <w:lang w:val="en-US"/>
        </w:rPr>
        <w:t>Early Monthly Estimation of Mexico’s Manufacturing Production Level using Electric Energy Consumption data</w:t>
      </w:r>
      <w:r w:rsidRPr="005F7E0D">
        <w:rPr>
          <w:rFonts w:ascii="Arial" w:hAnsi="Arial" w:cs="Arial"/>
          <w:sz w:val="16"/>
          <w:szCs w:val="16"/>
          <w:lang w:val="en-US"/>
        </w:rPr>
        <w:t xml:space="preserve"> 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0E6AADC3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62719B">
      <w:rPr>
        <w:rFonts w:ascii="Arial" w:hAnsi="Arial"/>
        <w:b/>
        <w:color w:val="002060"/>
      </w:rPr>
      <w:t>57</w:t>
    </w:r>
    <w:r w:rsidR="00EC04F2">
      <w:rPr>
        <w:rFonts w:ascii="Arial" w:hAnsi="Arial"/>
        <w:b/>
        <w:color w:val="002060"/>
      </w:rPr>
      <w:t>6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4FFD9DDE" w:rsidR="00A36413" w:rsidRPr="0055097C" w:rsidRDefault="007801AA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5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D577A3">
      <w:rPr>
        <w:rFonts w:ascii="Arial" w:hAnsi="Arial"/>
        <w:b/>
        <w:color w:val="002060"/>
        <w:lang w:val="pt-BR"/>
      </w:rPr>
      <w:t>OCTU</w:t>
    </w:r>
    <w:r w:rsidR="00AD1A0C">
      <w:rPr>
        <w:rFonts w:ascii="Arial" w:hAnsi="Arial"/>
        <w:b/>
        <w:color w:val="002060"/>
        <w:lang w:val="pt-BR"/>
      </w:rPr>
      <w:t>BRE</w:t>
    </w:r>
    <w:r w:rsidR="00AD1A0C"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DE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0093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A24"/>
    <w:rsid w:val="000A5B1F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454C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F027B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97843"/>
    <w:rsid w:val="002A0BC4"/>
    <w:rsid w:val="002A3DE0"/>
    <w:rsid w:val="002A444F"/>
    <w:rsid w:val="002B1BB3"/>
    <w:rsid w:val="002B4F17"/>
    <w:rsid w:val="002C39BA"/>
    <w:rsid w:val="002C6F70"/>
    <w:rsid w:val="002D5485"/>
    <w:rsid w:val="00300006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391"/>
    <w:rsid w:val="003F0BA8"/>
    <w:rsid w:val="003F4753"/>
    <w:rsid w:val="00407A49"/>
    <w:rsid w:val="00410452"/>
    <w:rsid w:val="00425605"/>
    <w:rsid w:val="004349CB"/>
    <w:rsid w:val="004370CF"/>
    <w:rsid w:val="004442A1"/>
    <w:rsid w:val="00446F31"/>
    <w:rsid w:val="0044758D"/>
    <w:rsid w:val="0045103E"/>
    <w:rsid w:val="00455F9B"/>
    <w:rsid w:val="004700A9"/>
    <w:rsid w:val="004702EB"/>
    <w:rsid w:val="00477FC7"/>
    <w:rsid w:val="00482DA2"/>
    <w:rsid w:val="00483C1E"/>
    <w:rsid w:val="00484091"/>
    <w:rsid w:val="004952F9"/>
    <w:rsid w:val="004979B1"/>
    <w:rsid w:val="00497D7F"/>
    <w:rsid w:val="004A2117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7C37"/>
    <w:rsid w:val="004F7FD1"/>
    <w:rsid w:val="005023EF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5F7E0D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B1FD2"/>
    <w:rsid w:val="006B3092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E3286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4C59"/>
    <w:rsid w:val="008D5CE3"/>
    <w:rsid w:val="008D7EC0"/>
    <w:rsid w:val="008E00BC"/>
    <w:rsid w:val="008E50C5"/>
    <w:rsid w:val="008F470E"/>
    <w:rsid w:val="009028C4"/>
    <w:rsid w:val="00940A3B"/>
    <w:rsid w:val="00941E5D"/>
    <w:rsid w:val="00942B5F"/>
    <w:rsid w:val="00945155"/>
    <w:rsid w:val="00947779"/>
    <w:rsid w:val="00951AC2"/>
    <w:rsid w:val="00953A6E"/>
    <w:rsid w:val="009641A4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C16A9"/>
    <w:rsid w:val="009C4DC6"/>
    <w:rsid w:val="009C7677"/>
    <w:rsid w:val="009D044C"/>
    <w:rsid w:val="009D2EE7"/>
    <w:rsid w:val="009D6738"/>
    <w:rsid w:val="009D6A15"/>
    <w:rsid w:val="009D77CC"/>
    <w:rsid w:val="009E432F"/>
    <w:rsid w:val="009E6DF2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32CD2"/>
    <w:rsid w:val="00A36413"/>
    <w:rsid w:val="00A36B4A"/>
    <w:rsid w:val="00A420BD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C6E36"/>
    <w:rsid w:val="00AD0B05"/>
    <w:rsid w:val="00AD1A0C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6BCE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7203"/>
    <w:rsid w:val="00D23DC8"/>
    <w:rsid w:val="00D273D4"/>
    <w:rsid w:val="00D37837"/>
    <w:rsid w:val="00D51007"/>
    <w:rsid w:val="00D53392"/>
    <w:rsid w:val="00D54D2E"/>
    <w:rsid w:val="00D577A3"/>
    <w:rsid w:val="00D630D2"/>
    <w:rsid w:val="00D66855"/>
    <w:rsid w:val="00D67FDD"/>
    <w:rsid w:val="00D72D5B"/>
    <w:rsid w:val="00D7428B"/>
    <w:rsid w:val="00D74789"/>
    <w:rsid w:val="00D7624D"/>
    <w:rsid w:val="00D83BF5"/>
    <w:rsid w:val="00D8610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7116"/>
    <w:rsid w:val="00DE0B1F"/>
    <w:rsid w:val="00DE76F8"/>
    <w:rsid w:val="00E028D1"/>
    <w:rsid w:val="00E02DFE"/>
    <w:rsid w:val="00E074C4"/>
    <w:rsid w:val="00E12385"/>
    <w:rsid w:val="00E1569D"/>
    <w:rsid w:val="00E269C0"/>
    <w:rsid w:val="00E27B29"/>
    <w:rsid w:val="00E630E9"/>
    <w:rsid w:val="00E74AD1"/>
    <w:rsid w:val="00E7625D"/>
    <w:rsid w:val="00E77F94"/>
    <w:rsid w:val="00E9471A"/>
    <w:rsid w:val="00EA7A39"/>
    <w:rsid w:val="00EB1787"/>
    <w:rsid w:val="00EB70DC"/>
    <w:rsid w:val="00EB73A2"/>
    <w:rsid w:val="00EC04F2"/>
    <w:rsid w:val="00EC17F8"/>
    <w:rsid w:val="00EC29D3"/>
    <w:rsid w:val="00EC79C5"/>
    <w:rsid w:val="00ED139D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86EB6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84444B-1DFE-4096-8A9F-7C1E9F87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 Mensual Oportuno de la Actividad Manufacturera</vt:lpstr>
    </vt:vector>
  </TitlesOfParts>
  <Manager>INEGI</Manager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 Mensual Oportuno de la Actividad Manufacturera</dc:title>
  <dc:subject/>
  <dc:creator>INEGI</dc:creator>
  <cp:keywords/>
  <dc:description/>
  <cp:lastModifiedBy>GUILLEN MEDINA MOISES</cp:lastModifiedBy>
  <cp:revision>5</cp:revision>
  <cp:lastPrinted>2022-10-04T13:29:00Z</cp:lastPrinted>
  <dcterms:created xsi:type="dcterms:W3CDTF">2022-10-04T13:29:00Z</dcterms:created>
  <dcterms:modified xsi:type="dcterms:W3CDTF">2022-10-04T18:30:00Z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