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0165" w14:textId="4708E552" w:rsidR="00A216CA" w:rsidRPr="00F17ABB" w:rsidRDefault="00E66A96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  <w:r>
        <w:rPr>
          <w:rFonts w:ascii="Arial" w:eastAsia="MS Mincho" w:hAnsi="Arial" w:cs="Arial"/>
          <w:b/>
          <w:lang w:val="es-MX" w:eastAsia="ja-JP"/>
        </w:rPr>
        <w:t xml:space="preserve"> </w:t>
      </w: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703AB331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4FA375D9" w:rsidR="00A216CA" w:rsidRPr="00F17ABB" w:rsidRDefault="00AC46D4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OCTUBRE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73A8D505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AC46D4">
        <w:rPr>
          <w:rFonts w:ascii="Arial" w:eastAsia="MS Mincho" w:hAnsi="Arial" w:cs="Arial"/>
          <w:bCs/>
          <w:lang w:val="es-MX" w:eastAsia="ja-JP"/>
        </w:rPr>
        <w:t>octubre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AC46D4">
        <w:rPr>
          <w:rFonts w:ascii="Arial" w:eastAsia="MS Mincho" w:hAnsi="Arial" w:cs="Arial"/>
          <w:bCs/>
          <w:lang w:val="es-MX" w:eastAsia="ja-JP"/>
        </w:rPr>
        <w:t>123.9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58F652E2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AC46D4">
        <w:rPr>
          <w:rFonts w:ascii="Arial" w:eastAsia="MS Mincho" w:hAnsi="Arial" w:cs="Arial"/>
          <w:bCs/>
          <w:lang w:val="es-MX" w:eastAsia="ja-JP"/>
        </w:rPr>
        <w:t>octubre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CB3794">
        <w:rPr>
          <w:rFonts w:ascii="Arial" w:eastAsia="MS Mincho" w:hAnsi="Arial" w:cs="Arial"/>
          <w:bCs/>
          <w:lang w:val="es-MX" w:eastAsia="ja-JP"/>
        </w:rPr>
        <w:t>7.5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  <w:bookmarkStart w:id="0" w:name="_GoBack"/>
      <w:bookmarkEnd w:id="0"/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0ECD28E4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AC46D4">
        <w:rPr>
          <w:rFonts w:ascii="Arial" w:eastAsia="MS Mincho" w:hAnsi="Arial" w:cs="Arial"/>
          <w:bCs/>
          <w:lang w:val="es-MX" w:eastAsia="ja-JP"/>
        </w:rPr>
        <w:t>octubre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AC46D4">
        <w:rPr>
          <w:rFonts w:ascii="Arial" w:hAnsi="Arial" w:cs="Arial"/>
          <w:lang w:val="es-MX"/>
        </w:rPr>
        <w:t>123.9</w:t>
      </w:r>
      <w:r>
        <w:rPr>
          <w:rFonts w:ascii="Arial" w:hAnsi="Arial" w:cs="Arial"/>
          <w:lang w:val="es-MX"/>
        </w:rPr>
        <w:t xml:space="preserve"> puntos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CB3794">
        <w:rPr>
          <w:rFonts w:ascii="Arial" w:hAnsi="Arial" w:cs="Arial"/>
          <w:lang w:val="es-MX"/>
        </w:rPr>
        <w:t>7.5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7A3BD41F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Estimaciones del IMAI del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s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m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anufacturero</w:t>
      </w:r>
    </w:p>
    <w:p w14:paraId="44430610" w14:textId="682BEF31" w:rsidR="00364C64" w:rsidRPr="00D630D2" w:rsidRDefault="00AC46D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Octu</w:t>
      </w:r>
      <w:r w:rsidR="00CB3794">
        <w:rPr>
          <w:rFonts w:ascii="Arial" w:hAnsi="Arial" w:cs="Arial"/>
          <w:b/>
          <w:smallCaps/>
          <w:sz w:val="22"/>
          <w:szCs w:val="22"/>
          <w:lang w:val="es-MX"/>
        </w:rPr>
        <w:t>bre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5584DAAA" w:rsidR="00521756" w:rsidRPr="00C34960" w:rsidRDefault="00AC46D4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123.9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647310BC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AC46D4">
              <w:rPr>
                <w:rFonts w:ascii="Arial" w:hAnsi="Arial" w:cs="Arial"/>
                <w:color w:val="000000"/>
                <w:lang w:val="es-MX" w:eastAsia="es-MX"/>
              </w:rPr>
              <w:t>20</w:t>
            </w:r>
            <w:r w:rsidR="00CB3794"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AC46D4">
              <w:rPr>
                <w:rFonts w:ascii="Arial" w:hAnsi="Arial" w:cs="Arial"/>
                <w:color w:val="000000"/>
                <w:lang w:val="es-MX" w:eastAsia="es-MX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7FB2A1FC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</w:t>
            </w:r>
            <w:r w:rsidR="00AC46D4">
              <w:rPr>
                <w:rFonts w:ascii="Arial" w:hAnsi="Arial" w:cs="Arial"/>
                <w:color w:val="000000"/>
                <w:lang w:val="es-MX" w:eastAsia="es-MX"/>
              </w:rPr>
              <w:t>7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AC46D4">
              <w:rPr>
                <w:rFonts w:ascii="Arial" w:hAnsi="Arial" w:cs="Arial"/>
                <w:color w:val="000000"/>
                <w:lang w:val="es-MX" w:eastAsia="es-MX"/>
              </w:rPr>
              <w:t>6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72841A65" w:rsidR="00521756" w:rsidRPr="00C34960" w:rsidRDefault="0031214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7.5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4A6A4352" w:rsidR="00521756" w:rsidRPr="00C34960" w:rsidRDefault="0031214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4.</w:t>
            </w:r>
            <w:r w:rsidR="00AC46D4">
              <w:rPr>
                <w:rFonts w:ascii="Arial" w:hAnsi="Arial" w:cs="Arial"/>
                <w:color w:val="000000"/>
                <w:lang w:val="es-MX" w:eastAsia="es-MX"/>
              </w:rPr>
              <w:t>3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0EBCDFE1" w:rsidR="00521756" w:rsidRPr="00C34960" w:rsidRDefault="0031214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10.</w:t>
            </w:r>
            <w:r w:rsidR="00AC46D4">
              <w:rPr>
                <w:rFonts w:ascii="Arial" w:hAnsi="Arial" w:cs="Arial"/>
                <w:color w:val="000000"/>
                <w:lang w:val="es-MX" w:eastAsia="es-MX"/>
              </w:rPr>
              <w:t>7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Pr="00E21D28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A0A3665" w14:textId="44502BD5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 xml:space="preserve">Para consultas de medios y periodistas, </w:t>
      </w:r>
      <w:r w:rsidR="008D5CE3" w:rsidRPr="00E21D28">
        <w:rPr>
          <w:rFonts w:ascii="Arial" w:hAnsi="Arial" w:cs="Arial"/>
        </w:rPr>
        <w:t>escribir</w:t>
      </w:r>
      <w:r w:rsidRPr="00E21D28">
        <w:rPr>
          <w:rFonts w:ascii="Arial" w:hAnsi="Arial" w:cs="Arial"/>
        </w:rPr>
        <w:t xml:space="preserve"> a: </w:t>
      </w:r>
      <w:hyperlink r:id="rId11" w:history="1">
        <w:r w:rsidRPr="00E21D28">
          <w:rPr>
            <w:rStyle w:val="Hipervnculo"/>
            <w:rFonts w:ascii="Arial" w:hAnsi="Arial" w:cs="Arial"/>
          </w:rPr>
          <w:t>comunicacionsocial@inegi.org.mx</w:t>
        </w:r>
      </w:hyperlink>
      <w:r w:rsidRPr="00E21D28">
        <w:rPr>
          <w:rFonts w:ascii="Arial" w:hAnsi="Arial" w:cs="Arial"/>
        </w:rPr>
        <w:t xml:space="preserve"> </w:t>
      </w:r>
    </w:p>
    <w:p w14:paraId="54D5A5FE" w14:textId="77777777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 xml:space="preserve">o llamar al teléfono (55) 52-78-10-00, </w:t>
      </w:r>
      <w:proofErr w:type="spellStart"/>
      <w:r w:rsidRPr="00E21D28">
        <w:rPr>
          <w:rFonts w:ascii="Arial" w:hAnsi="Arial" w:cs="Arial"/>
        </w:rPr>
        <w:t>exts</w:t>
      </w:r>
      <w:proofErr w:type="spellEnd"/>
      <w:r w:rsidRPr="00E21D28">
        <w:rPr>
          <w:rFonts w:ascii="Arial" w:hAnsi="Arial" w:cs="Arial"/>
        </w:rPr>
        <w:t>. 1134, 1260 y 1241.</w:t>
      </w:r>
    </w:p>
    <w:p w14:paraId="234DF14B" w14:textId="77777777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02E92EE" w14:textId="17F01325" w:rsidR="00A36413" w:rsidRPr="00E21D28" w:rsidRDefault="00A36413" w:rsidP="00A36413">
      <w:pPr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532CC598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="008D5CE3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Default="00374CFF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71937C6D" w:rsidR="00271894" w:rsidRDefault="00AC46D4" w:rsidP="00340060">
      <w:r w:rsidRPr="00AC46D4">
        <w:rPr>
          <w:noProof/>
        </w:rPr>
        <w:drawing>
          <wp:inline distT="0" distB="0" distL="0" distR="0" wp14:anchorId="42194C5F" wp14:editId="0189D1DC">
            <wp:extent cx="6332220" cy="2682875"/>
            <wp:effectExtent l="0" t="0" r="0" b="3175"/>
            <wp:docPr id="3" name="Imagen 2" descr="Mapa de colores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7ECE4FB2-4425-0828-FD5F-8CE7A4419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Mapa de colores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7ECE4FB2-4425-0828-FD5F-8CE7A4419A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AA48" w14:textId="77777777" w:rsidR="002B1BB3" w:rsidRDefault="002B1BB3" w:rsidP="00340060"/>
    <w:p w14:paraId="3A529897" w14:textId="1E6395C6" w:rsidR="00953A6E" w:rsidRPr="00F20099" w:rsidRDefault="00953A6E" w:rsidP="002B1BB3">
      <w:pPr>
        <w:ind w:firstLine="142"/>
        <w:jc w:val="center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</w:t>
      </w:r>
      <w:r w:rsidR="008D5CE3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MOAM</w:t>
      </w:r>
      <w:r w:rsidR="008D5CE3">
        <w:rPr>
          <w:rStyle w:val="cf01"/>
          <w:rFonts w:ascii="Arial" w:hAnsi="Arial" w:cs="Arial"/>
          <w:sz w:val="16"/>
          <w:szCs w:val="16"/>
        </w:rPr>
        <w:t>)</w:t>
      </w:r>
      <w:r w:rsidR="0058014C" w:rsidRPr="008C4C59">
        <w:rPr>
          <w:rStyle w:val="cf01"/>
          <w:rFonts w:ascii="Arial" w:hAnsi="Arial" w:cs="Arial"/>
          <w:sz w:val="16"/>
          <w:szCs w:val="16"/>
        </w:rPr>
        <w:t xml:space="preserve">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4BF0E336" w14:textId="77777777" w:rsidR="002B1BB3" w:rsidRDefault="002B1BB3" w:rsidP="002B1BB3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081FA3A9" w14:textId="5D318CD2" w:rsidR="00340060" w:rsidRPr="00035511" w:rsidRDefault="00340060" w:rsidP="00340060">
      <w:pPr>
        <w:rPr>
          <w:rFonts w:ascii="Arial" w:hAnsi="Arial" w:cs="Arial"/>
          <w:b/>
          <w:bCs/>
          <w:sz w:val="16"/>
          <w:szCs w:val="16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56C46A03" w:rsidR="004F7C37" w:rsidRDefault="00AC46D4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AC46D4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4823D047" wp14:editId="6E8F4115">
            <wp:extent cx="6332220" cy="2682875"/>
            <wp:effectExtent l="0" t="0" r="0" b="3175"/>
            <wp:docPr id="6" name="Imagen 2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3540A529-0CCA-EF89-2356-765237F6DB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3540A529-0CCA-EF89-2356-765237F6DB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C99B" w14:textId="77777777" w:rsidR="002B1BB3" w:rsidRPr="00364C64" w:rsidRDefault="002B1BB3" w:rsidP="002B1BB3">
      <w:pPr>
        <w:spacing w:line="240" w:lineRule="atLeast"/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751F81F1" w14:textId="77777777" w:rsidR="00953A6E" w:rsidRPr="00953A6E" w:rsidRDefault="00953A6E" w:rsidP="002B1BB3">
      <w:pPr>
        <w:ind w:firstLine="284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49ECA17A" w14:textId="77777777" w:rsidR="002B1BB3" w:rsidRDefault="002B1BB3" w:rsidP="002B1BB3">
      <w:pPr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0B9B527E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IMOAM</w:t>
      </w:r>
    </w:p>
    <w:p w14:paraId="0B1D68E9" w14:textId="0353CB16" w:rsidR="00410452" w:rsidRDefault="004349CB" w:rsidP="00073292">
      <w:pPr>
        <w:shd w:val="clear" w:color="auto" w:fill="FFFFFF"/>
        <w:jc w:val="both"/>
        <w:rPr>
          <w:rFonts w:ascii="Arial" w:hAnsi="Arial" w:cs="Arial"/>
        </w:rPr>
      </w:pPr>
      <w:r w:rsidRPr="00364C6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9223" wp14:editId="49115255">
                <wp:simplePos x="0" y="0"/>
                <wp:positionH relativeFrom="margin">
                  <wp:align>right</wp:align>
                </wp:positionH>
                <wp:positionV relativeFrom="paragraph">
                  <wp:posOffset>-1988</wp:posOffset>
                </wp:positionV>
                <wp:extent cx="6273579" cy="7951"/>
                <wp:effectExtent l="0" t="0" r="32385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BEC2861" id="Conector recto 3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8pt,-.15pt" to="93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2397A570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</w:t>
      </w:r>
      <w:r w:rsidR="00267D36">
        <w:rPr>
          <w:rFonts w:ascii="Arial" w:hAnsi="Arial" w:cs="Arial"/>
        </w:rPr>
        <w:t>nstituto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F6C9008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 xml:space="preserve">información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63967C31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2D00C372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7A7447D0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complementa con datos de empresas generadoras de electricidad</w:t>
      </w:r>
      <w:r w:rsidR="00F54185">
        <w:rPr>
          <w:rFonts w:ascii="Arial" w:hAnsi="Arial" w:cs="Arial"/>
        </w:rPr>
        <w:t xml:space="preserve">. Esta se </w:t>
      </w:r>
      <w:r w:rsidR="00410452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6A7233B2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</w:t>
      </w:r>
      <w:proofErr w:type="spellStart"/>
      <w:r w:rsidR="00213EDC" w:rsidRPr="00576179">
        <w:rPr>
          <w:rFonts w:ascii="Arial" w:hAnsi="Arial" w:cs="Arial"/>
          <w:i/>
          <w:lang w:val="es-MX"/>
        </w:rPr>
        <w:t>Early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Monthly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Estimation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of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Mexico’s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Manufacturing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Production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Level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using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Electric Energy </w:t>
      </w:r>
      <w:proofErr w:type="spellStart"/>
      <w:r w:rsidR="00213EDC" w:rsidRPr="00576179">
        <w:rPr>
          <w:rFonts w:ascii="Arial" w:hAnsi="Arial" w:cs="Arial"/>
          <w:i/>
          <w:lang w:val="es-MX"/>
        </w:rPr>
        <w:t>Consumption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data</w:t>
      </w:r>
      <w:r w:rsidR="009C4DC6" w:rsidRPr="005F7E0D">
        <w:rPr>
          <w:rFonts w:ascii="Arial" w:hAnsi="Arial" w:cs="Arial"/>
          <w:iCs/>
          <w:lang w:val="es-MX"/>
        </w:rPr>
        <w:t>.</w:t>
      </w:r>
      <w:r w:rsidR="009C4DC6" w:rsidRPr="005F7E0D">
        <w:rPr>
          <w:rStyle w:val="Refdenotaalpie"/>
          <w:rFonts w:ascii="Arial" w:hAnsi="Arial" w:cs="Arial"/>
          <w:iCs/>
          <w:lang w:val="es-MX"/>
        </w:rPr>
        <w:footnoteReference w:id="1"/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3A3612C0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</w:t>
      </w:r>
      <w:r w:rsidR="00A32CD2">
        <w:rPr>
          <w:rFonts w:ascii="Arial" w:hAnsi="Arial" w:cs="Arial"/>
          <w:iCs/>
        </w:rPr>
        <w:t xml:space="preserve">Para </w:t>
      </w:r>
      <w:r w:rsidR="0017773B">
        <w:rPr>
          <w:rFonts w:ascii="Arial" w:hAnsi="Arial" w:cs="Arial"/>
          <w:iCs/>
        </w:rPr>
        <w:t xml:space="preserve">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3DBCB4A4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CC0A94">
        <w:rPr>
          <w:rFonts w:ascii="Arial" w:hAnsi="Arial" w:cs="Arial"/>
        </w:rPr>
        <w:t>7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AC46D4">
        <w:rPr>
          <w:rFonts w:ascii="Arial" w:hAnsi="Arial" w:cs="Arial"/>
        </w:rPr>
        <w:t>septiembre</w:t>
      </w:r>
      <w:r w:rsidR="006B3092">
        <w:rPr>
          <w:rFonts w:ascii="Arial" w:hAnsi="Arial" w:cs="Arial"/>
        </w:rPr>
        <w:t xml:space="preserve"> </w:t>
      </w:r>
      <w:r w:rsidR="00647F13">
        <w:rPr>
          <w:rFonts w:ascii="Arial" w:hAnsi="Arial" w:cs="Arial"/>
        </w:rPr>
        <w:t>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1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1F8EBC00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 w:rsidR="00A42F68"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4E53905E" w:rsidR="00073292" w:rsidRPr="00097309" w:rsidRDefault="00AC46D4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76D64814" wp14:editId="4B934DFF">
            <wp:extent cx="6332220" cy="3013075"/>
            <wp:effectExtent l="0" t="0" r="0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1"/>
    <w:p w14:paraId="5B76E078" w14:textId="3526D8D1" w:rsidR="005B6905" w:rsidRDefault="00D74789" w:rsidP="002B1BB3">
      <w:pPr>
        <w:shd w:val="clear" w:color="auto" w:fill="FFFFFF"/>
        <w:ind w:firstLine="28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1A6CBDE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2659AE0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37A9A141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5976A520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3CE5694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7BDBD" wp14:editId="42F6D4FA">
                <wp:simplePos x="0" y="0"/>
                <wp:positionH relativeFrom="column">
                  <wp:posOffset>55245</wp:posOffset>
                </wp:positionH>
                <wp:positionV relativeFrom="paragraph">
                  <wp:posOffset>231140</wp:posOffset>
                </wp:positionV>
                <wp:extent cx="5547360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AB8B0A3" id="Conector recto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2pt" to="441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B3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1B05B91E" w:rsidR="00073292" w:rsidRDefault="008D5CE3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73292" w:rsidRPr="003D7935">
        <w:rPr>
          <w:rFonts w:ascii="Arial" w:hAnsi="Arial" w:cs="Arial"/>
        </w:rPr>
        <w:t xml:space="preserve">IMOAM, </w:t>
      </w:r>
      <w:r w:rsidR="005767CD">
        <w:rPr>
          <w:rFonts w:ascii="Arial" w:hAnsi="Arial" w:cs="Arial"/>
        </w:rPr>
        <w:t>que</w:t>
      </w:r>
      <w:r w:rsidR="00073292"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="00073292"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="00073292"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7589232A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8D5CE3">
        <w:rPr>
          <w:rFonts w:ascii="Arial" w:hAnsi="Arial" w:cs="Arial"/>
          <w:shd w:val="clear" w:color="auto" w:fill="FFFFFF"/>
        </w:rPr>
        <w:t xml:space="preserve">l </w:t>
      </w:r>
      <w:r w:rsidRPr="00131E2B">
        <w:rPr>
          <w:rFonts w:ascii="Arial" w:hAnsi="Arial" w:cs="Arial"/>
          <w:shd w:val="clear" w:color="auto" w:fill="FFFFFF"/>
        </w:rPr>
        <w:t>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A32701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0207A9A5" w14:textId="7DCA3C92" w:rsidR="00073292" w:rsidRPr="005F7E0D" w:rsidRDefault="00073292" w:rsidP="003C3183">
      <w:pPr>
        <w:ind w:right="-1"/>
        <w:jc w:val="center"/>
        <w:rPr>
          <w:rFonts w:ascii="Arial" w:hAnsi="Arial" w:cs="Arial"/>
          <w:sz w:val="20"/>
          <w:szCs w:val="20"/>
        </w:rPr>
      </w:pPr>
    </w:p>
    <w:sectPr w:rsidR="00073292" w:rsidRPr="005F7E0D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A83A7" w14:textId="77777777" w:rsidR="00A32701" w:rsidRDefault="00A32701" w:rsidP="00E1569D">
      <w:r>
        <w:separator/>
      </w:r>
    </w:p>
  </w:endnote>
  <w:endnote w:type="continuationSeparator" w:id="0">
    <w:p w14:paraId="3A1234E8" w14:textId="77777777" w:rsidR="00A32701" w:rsidRDefault="00A32701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altName w:val="Arial Narro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9C50A" w14:textId="77777777" w:rsidR="00A32701" w:rsidRDefault="00A32701" w:rsidP="00E1569D">
      <w:r>
        <w:separator/>
      </w:r>
    </w:p>
  </w:footnote>
  <w:footnote w:type="continuationSeparator" w:id="0">
    <w:p w14:paraId="294256FF" w14:textId="77777777" w:rsidR="00A32701" w:rsidRDefault="00A32701" w:rsidP="00E1569D">
      <w:r>
        <w:continuationSeparator/>
      </w:r>
    </w:p>
  </w:footnote>
  <w:footnote w:id="1">
    <w:p w14:paraId="286A29D5" w14:textId="0B1E72F4" w:rsidR="009C4DC6" w:rsidRPr="005F7E0D" w:rsidRDefault="009C4DC6">
      <w:pPr>
        <w:pStyle w:val="Textonotapie"/>
        <w:rPr>
          <w:rFonts w:ascii="Arial" w:hAnsi="Arial" w:cs="Arial"/>
          <w:sz w:val="16"/>
          <w:szCs w:val="16"/>
          <w:lang w:val="en-US"/>
        </w:rPr>
      </w:pPr>
      <w:r w:rsidRPr="005F7E0D">
        <w:rPr>
          <w:rStyle w:val="Refdenotaalpie"/>
          <w:rFonts w:ascii="Arial" w:hAnsi="Arial" w:cs="Arial"/>
          <w:sz w:val="16"/>
          <w:szCs w:val="16"/>
        </w:rPr>
        <w:footnoteRef/>
      </w:r>
      <w:r w:rsidRPr="005F7E0D">
        <w:rPr>
          <w:rFonts w:ascii="Arial" w:hAnsi="Arial" w:cs="Arial"/>
          <w:sz w:val="16"/>
          <w:szCs w:val="16"/>
        </w:rPr>
        <w:t xml:space="preserve"> Alba-Cuellar Daniel, </w:t>
      </w:r>
      <w:r w:rsidRPr="009C4DC6">
        <w:rPr>
          <w:rFonts w:ascii="Arial" w:hAnsi="Arial" w:cs="Arial"/>
          <w:sz w:val="16"/>
          <w:szCs w:val="16"/>
        </w:rPr>
        <w:t>Hernández</w:t>
      </w:r>
      <w:r w:rsidRPr="005F7E0D">
        <w:rPr>
          <w:rFonts w:ascii="Arial" w:hAnsi="Arial" w:cs="Arial"/>
          <w:sz w:val="16"/>
          <w:szCs w:val="16"/>
        </w:rPr>
        <w:t xml:space="preserve">-Ramos Hugo (2020). </w:t>
      </w:r>
      <w:r w:rsidRPr="005F7E0D">
        <w:rPr>
          <w:rFonts w:ascii="Arial" w:hAnsi="Arial" w:cs="Arial"/>
          <w:i/>
          <w:sz w:val="16"/>
          <w:szCs w:val="16"/>
          <w:lang w:val="en-US"/>
        </w:rPr>
        <w:t>Early Monthly Estimation of Mexico’s Manufacturing Production Level using Electric Energy Consumption data</w:t>
      </w:r>
      <w:r w:rsidRPr="005F7E0D">
        <w:rPr>
          <w:rFonts w:ascii="Arial" w:hAnsi="Arial" w:cs="Arial"/>
          <w:sz w:val="16"/>
          <w:szCs w:val="16"/>
          <w:lang w:val="en-US"/>
        </w:rPr>
        <w:t xml:space="preserve"> (mimeo).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9B4F" w14:textId="0434DA1E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9F14B0">
      <w:rPr>
        <w:rFonts w:ascii="Arial" w:hAnsi="Arial"/>
        <w:b/>
        <w:color w:val="002060"/>
      </w:rPr>
      <w:t>7</w:t>
    </w:r>
    <w:r w:rsidR="00DF5087">
      <w:rPr>
        <w:rFonts w:ascii="Arial" w:hAnsi="Arial"/>
        <w:b/>
        <w:color w:val="002060"/>
      </w:rPr>
      <w:t>26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22</w:t>
    </w:r>
  </w:p>
  <w:p w14:paraId="5A1A03E2" w14:textId="5D6147B4" w:rsidR="00A36413" w:rsidRPr="0055097C" w:rsidRDefault="00A610AE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5</w:t>
    </w:r>
    <w:r w:rsidR="00D51007">
      <w:rPr>
        <w:rFonts w:ascii="Arial" w:hAnsi="Arial"/>
        <w:b/>
        <w:color w:val="002060"/>
        <w:lang w:val="pt-BR"/>
      </w:rPr>
      <w:t xml:space="preserve"> DE </w:t>
    </w:r>
    <w:r w:rsidR="00AC46D4">
      <w:rPr>
        <w:rFonts w:ascii="Arial" w:hAnsi="Arial"/>
        <w:b/>
        <w:color w:val="002060"/>
        <w:lang w:val="pt-BR"/>
      </w:rPr>
      <w:t>DIC</w:t>
    </w:r>
    <w:r w:rsidR="0031214F">
      <w:rPr>
        <w:rFonts w:ascii="Arial" w:hAnsi="Arial"/>
        <w:b/>
        <w:color w:val="002060"/>
        <w:lang w:val="pt-BR"/>
      </w:rPr>
      <w:t>IEMBRE</w:t>
    </w:r>
    <w:r w:rsidR="00AD1A0C" w:rsidRPr="0055097C">
      <w:rPr>
        <w:rFonts w:ascii="Arial" w:hAnsi="Arial"/>
        <w:b/>
        <w:color w:val="002060"/>
        <w:lang w:val="pt-BR"/>
      </w:rPr>
      <w:t xml:space="preserve"> </w:t>
    </w:r>
    <w:r w:rsidR="00A36413" w:rsidRPr="0055097C">
      <w:rPr>
        <w:rFonts w:ascii="Arial" w:hAnsi="Arial"/>
        <w:b/>
        <w:color w:val="002060"/>
        <w:lang w:val="pt-BR"/>
      </w:rPr>
      <w:t>D</w:t>
    </w:r>
    <w:r w:rsidR="0031214F">
      <w:rPr>
        <w:rFonts w:ascii="Arial" w:hAnsi="Arial"/>
        <w:b/>
        <w:color w:val="002060"/>
        <w:lang w:val="pt-BR"/>
      </w:rPr>
      <w:t>E</w:t>
    </w:r>
    <w:r w:rsidR="00A36413" w:rsidRPr="0055097C">
      <w:rPr>
        <w:rFonts w:ascii="Arial" w:hAnsi="Arial"/>
        <w:b/>
        <w:color w:val="002060"/>
        <w:lang w:val="pt-BR"/>
      </w:rPr>
      <w:t xml:space="preserve"> 202</w:t>
    </w:r>
    <w:r w:rsidR="00A36413">
      <w:rPr>
        <w:rFonts w:ascii="Arial" w:hAnsi="Arial"/>
        <w:b/>
        <w:color w:val="002060"/>
        <w:lang w:val="pt-BR"/>
      </w:rPr>
      <w:t>2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4290"/>
    <w:rsid w:val="00035511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4C1"/>
    <w:rsid w:val="000A37E8"/>
    <w:rsid w:val="000A3A24"/>
    <w:rsid w:val="000A5B1F"/>
    <w:rsid w:val="000B07C3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3AD"/>
    <w:rsid w:val="00146A36"/>
    <w:rsid w:val="00147DB4"/>
    <w:rsid w:val="001541CD"/>
    <w:rsid w:val="0015454C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C4AB0"/>
    <w:rsid w:val="001D5087"/>
    <w:rsid w:val="001F027B"/>
    <w:rsid w:val="001F29A9"/>
    <w:rsid w:val="001F5EDA"/>
    <w:rsid w:val="001F7409"/>
    <w:rsid w:val="0020048F"/>
    <w:rsid w:val="00203DBB"/>
    <w:rsid w:val="00212F71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67D36"/>
    <w:rsid w:val="00271894"/>
    <w:rsid w:val="00297843"/>
    <w:rsid w:val="002A0BC4"/>
    <w:rsid w:val="002A3DE0"/>
    <w:rsid w:val="002A444F"/>
    <w:rsid w:val="002B1BB3"/>
    <w:rsid w:val="002B4F17"/>
    <w:rsid w:val="002C39BA"/>
    <w:rsid w:val="002C6F70"/>
    <w:rsid w:val="002D5485"/>
    <w:rsid w:val="002E3C6A"/>
    <w:rsid w:val="00300006"/>
    <w:rsid w:val="0031214F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82839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F0391"/>
    <w:rsid w:val="003F0BA8"/>
    <w:rsid w:val="003F4753"/>
    <w:rsid w:val="00407A49"/>
    <w:rsid w:val="00410452"/>
    <w:rsid w:val="00425605"/>
    <w:rsid w:val="004349CB"/>
    <w:rsid w:val="004370CF"/>
    <w:rsid w:val="004442A1"/>
    <w:rsid w:val="00446F31"/>
    <w:rsid w:val="0044758D"/>
    <w:rsid w:val="0045103E"/>
    <w:rsid w:val="004546F3"/>
    <w:rsid w:val="00455F9B"/>
    <w:rsid w:val="004700A9"/>
    <w:rsid w:val="004702EB"/>
    <w:rsid w:val="00477FC7"/>
    <w:rsid w:val="00482DA2"/>
    <w:rsid w:val="00483C1E"/>
    <w:rsid w:val="00484091"/>
    <w:rsid w:val="004952F9"/>
    <w:rsid w:val="004979B1"/>
    <w:rsid w:val="00497D7F"/>
    <w:rsid w:val="004A2117"/>
    <w:rsid w:val="004A6635"/>
    <w:rsid w:val="004B2148"/>
    <w:rsid w:val="004B236F"/>
    <w:rsid w:val="004B2B8F"/>
    <w:rsid w:val="004B37F8"/>
    <w:rsid w:val="004D24BD"/>
    <w:rsid w:val="004D56FD"/>
    <w:rsid w:val="004F5ABC"/>
    <w:rsid w:val="004F5B4B"/>
    <w:rsid w:val="004F7C37"/>
    <w:rsid w:val="004F7FD1"/>
    <w:rsid w:val="00501975"/>
    <w:rsid w:val="005023EF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F5EA4"/>
    <w:rsid w:val="005F7842"/>
    <w:rsid w:val="005F7E0D"/>
    <w:rsid w:val="006211B7"/>
    <w:rsid w:val="00621646"/>
    <w:rsid w:val="00625266"/>
    <w:rsid w:val="0062719B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A500C"/>
    <w:rsid w:val="006A5205"/>
    <w:rsid w:val="006B3092"/>
    <w:rsid w:val="006C001C"/>
    <w:rsid w:val="006C1B64"/>
    <w:rsid w:val="006C1DED"/>
    <w:rsid w:val="006C2438"/>
    <w:rsid w:val="006C3E21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FEF"/>
    <w:rsid w:val="0071402E"/>
    <w:rsid w:val="00725FC1"/>
    <w:rsid w:val="00736D9C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801AA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E3286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716C"/>
    <w:rsid w:val="008521EF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2B1A"/>
    <w:rsid w:val="008C4C59"/>
    <w:rsid w:val="008D5CE3"/>
    <w:rsid w:val="008D7EC0"/>
    <w:rsid w:val="008E00BC"/>
    <w:rsid w:val="008E50C5"/>
    <w:rsid w:val="008F470E"/>
    <w:rsid w:val="009028C4"/>
    <w:rsid w:val="009173C5"/>
    <w:rsid w:val="00940A3B"/>
    <w:rsid w:val="00941E5D"/>
    <w:rsid w:val="00942B5F"/>
    <w:rsid w:val="00945155"/>
    <w:rsid w:val="00947779"/>
    <w:rsid w:val="00951AC2"/>
    <w:rsid w:val="00953A6E"/>
    <w:rsid w:val="00957021"/>
    <w:rsid w:val="009641A4"/>
    <w:rsid w:val="009641D5"/>
    <w:rsid w:val="00964F37"/>
    <w:rsid w:val="00971364"/>
    <w:rsid w:val="00981320"/>
    <w:rsid w:val="009818DC"/>
    <w:rsid w:val="00982AB5"/>
    <w:rsid w:val="0098506E"/>
    <w:rsid w:val="009A109C"/>
    <w:rsid w:val="009A6FC1"/>
    <w:rsid w:val="009C16A9"/>
    <w:rsid w:val="009C4DC6"/>
    <w:rsid w:val="009C7677"/>
    <w:rsid w:val="009D044C"/>
    <w:rsid w:val="009D2EE7"/>
    <w:rsid w:val="009D6738"/>
    <w:rsid w:val="009D6A15"/>
    <w:rsid w:val="009D77CC"/>
    <w:rsid w:val="009E432F"/>
    <w:rsid w:val="009E6DF2"/>
    <w:rsid w:val="009F14B0"/>
    <w:rsid w:val="009F49AB"/>
    <w:rsid w:val="009F5082"/>
    <w:rsid w:val="00A00115"/>
    <w:rsid w:val="00A0634F"/>
    <w:rsid w:val="00A06670"/>
    <w:rsid w:val="00A1275F"/>
    <w:rsid w:val="00A12DAF"/>
    <w:rsid w:val="00A17EEA"/>
    <w:rsid w:val="00A216CA"/>
    <w:rsid w:val="00A32701"/>
    <w:rsid w:val="00A32CD2"/>
    <w:rsid w:val="00A36413"/>
    <w:rsid w:val="00A36B4A"/>
    <w:rsid w:val="00A420BD"/>
    <w:rsid w:val="00A42F68"/>
    <w:rsid w:val="00A433AC"/>
    <w:rsid w:val="00A44C48"/>
    <w:rsid w:val="00A44DCF"/>
    <w:rsid w:val="00A46A31"/>
    <w:rsid w:val="00A47F4E"/>
    <w:rsid w:val="00A51ECA"/>
    <w:rsid w:val="00A60D0E"/>
    <w:rsid w:val="00A60D8D"/>
    <w:rsid w:val="00A610AE"/>
    <w:rsid w:val="00A92CF5"/>
    <w:rsid w:val="00AA5612"/>
    <w:rsid w:val="00AC46D4"/>
    <w:rsid w:val="00AD0B05"/>
    <w:rsid w:val="00AD1A0C"/>
    <w:rsid w:val="00AD3D45"/>
    <w:rsid w:val="00AD415B"/>
    <w:rsid w:val="00AE06BF"/>
    <w:rsid w:val="00AF0E5A"/>
    <w:rsid w:val="00AF20E2"/>
    <w:rsid w:val="00AF4238"/>
    <w:rsid w:val="00B0293F"/>
    <w:rsid w:val="00B02DCA"/>
    <w:rsid w:val="00B15029"/>
    <w:rsid w:val="00B1573C"/>
    <w:rsid w:val="00B31026"/>
    <w:rsid w:val="00B314F7"/>
    <w:rsid w:val="00B31620"/>
    <w:rsid w:val="00B32926"/>
    <w:rsid w:val="00B35C9A"/>
    <w:rsid w:val="00B43006"/>
    <w:rsid w:val="00B44112"/>
    <w:rsid w:val="00B441E1"/>
    <w:rsid w:val="00B51F67"/>
    <w:rsid w:val="00B641A4"/>
    <w:rsid w:val="00B66824"/>
    <w:rsid w:val="00B66E2B"/>
    <w:rsid w:val="00B707A9"/>
    <w:rsid w:val="00B76BCE"/>
    <w:rsid w:val="00B82CA0"/>
    <w:rsid w:val="00B84496"/>
    <w:rsid w:val="00B8568A"/>
    <w:rsid w:val="00BA53C2"/>
    <w:rsid w:val="00BA55EE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B3794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59C8"/>
    <w:rsid w:val="00D17203"/>
    <w:rsid w:val="00D23DC8"/>
    <w:rsid w:val="00D273D4"/>
    <w:rsid w:val="00D37837"/>
    <w:rsid w:val="00D51007"/>
    <w:rsid w:val="00D53392"/>
    <w:rsid w:val="00D54D2E"/>
    <w:rsid w:val="00D577A3"/>
    <w:rsid w:val="00D630D2"/>
    <w:rsid w:val="00D66855"/>
    <w:rsid w:val="00D67FDD"/>
    <w:rsid w:val="00D72D5B"/>
    <w:rsid w:val="00D7428B"/>
    <w:rsid w:val="00D74789"/>
    <w:rsid w:val="00D757D5"/>
    <w:rsid w:val="00D7624D"/>
    <w:rsid w:val="00D83BF5"/>
    <w:rsid w:val="00D86107"/>
    <w:rsid w:val="00D86167"/>
    <w:rsid w:val="00D86FF8"/>
    <w:rsid w:val="00D9412E"/>
    <w:rsid w:val="00DA7591"/>
    <w:rsid w:val="00DA7B5A"/>
    <w:rsid w:val="00DB40AD"/>
    <w:rsid w:val="00DB477D"/>
    <w:rsid w:val="00DB4FA1"/>
    <w:rsid w:val="00DC1271"/>
    <w:rsid w:val="00DC654C"/>
    <w:rsid w:val="00DC6768"/>
    <w:rsid w:val="00DC740F"/>
    <w:rsid w:val="00DD2B8E"/>
    <w:rsid w:val="00DD7116"/>
    <w:rsid w:val="00DE0B1F"/>
    <w:rsid w:val="00DE76F8"/>
    <w:rsid w:val="00DF5087"/>
    <w:rsid w:val="00E028D1"/>
    <w:rsid w:val="00E02DFE"/>
    <w:rsid w:val="00E05225"/>
    <w:rsid w:val="00E074C4"/>
    <w:rsid w:val="00E12385"/>
    <w:rsid w:val="00E1569D"/>
    <w:rsid w:val="00E21D28"/>
    <w:rsid w:val="00E269C0"/>
    <w:rsid w:val="00E27B29"/>
    <w:rsid w:val="00E630E9"/>
    <w:rsid w:val="00E66A96"/>
    <w:rsid w:val="00E74AD1"/>
    <w:rsid w:val="00E755E0"/>
    <w:rsid w:val="00E7625D"/>
    <w:rsid w:val="00E77F94"/>
    <w:rsid w:val="00E9471A"/>
    <w:rsid w:val="00EA7A39"/>
    <w:rsid w:val="00EB1787"/>
    <w:rsid w:val="00EB70DC"/>
    <w:rsid w:val="00EB73A2"/>
    <w:rsid w:val="00EC04F2"/>
    <w:rsid w:val="00EC17F8"/>
    <w:rsid w:val="00EC29D3"/>
    <w:rsid w:val="00EC79C5"/>
    <w:rsid w:val="00ED139D"/>
    <w:rsid w:val="00EE21C6"/>
    <w:rsid w:val="00EE66F0"/>
    <w:rsid w:val="00EE6EE5"/>
    <w:rsid w:val="00EE722F"/>
    <w:rsid w:val="00EF0744"/>
    <w:rsid w:val="00EF3ABF"/>
    <w:rsid w:val="00F17ABB"/>
    <w:rsid w:val="00F20099"/>
    <w:rsid w:val="00F2108F"/>
    <w:rsid w:val="00F22E73"/>
    <w:rsid w:val="00F4174A"/>
    <w:rsid w:val="00F45B2E"/>
    <w:rsid w:val="00F54185"/>
    <w:rsid w:val="00F60A04"/>
    <w:rsid w:val="00F624CF"/>
    <w:rsid w:val="00F661C7"/>
    <w:rsid w:val="00F728E6"/>
    <w:rsid w:val="00F7313B"/>
    <w:rsid w:val="00F81B25"/>
    <w:rsid w:val="00F85262"/>
    <w:rsid w:val="00F86532"/>
    <w:rsid w:val="00F9073B"/>
    <w:rsid w:val="00F92721"/>
    <w:rsid w:val="00F9459C"/>
    <w:rsid w:val="00FA0AFA"/>
    <w:rsid w:val="00FB72F4"/>
    <w:rsid w:val="00FB7473"/>
    <w:rsid w:val="00FC49B2"/>
    <w:rsid w:val="00FC6A0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4D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C4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805EF-BCA4-497C-B810-AD5ED4DF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Indicador Mensual Oportuno de la Actividad Manufacturera.</vt:lpstr>
    </vt:vector>
  </TitlesOfParts>
  <Manager>INEGI</Manager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Indicador Mensual Oportuno de la Actividad Manufacturera.</dc:title>
  <dc:subject/>
  <dc:creator>INEGI</dc:creator>
  <cp:keywords/>
  <dc:description/>
  <cp:lastModifiedBy>GUILLEN MEDINA MOISES</cp:lastModifiedBy>
  <cp:revision>6</cp:revision>
  <cp:lastPrinted>2022-12-03T02:06:00Z</cp:lastPrinted>
  <dcterms:created xsi:type="dcterms:W3CDTF">2022-12-02T17:14:00Z</dcterms:created>
  <dcterms:modified xsi:type="dcterms:W3CDTF">2022-12-03T02:07:00Z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</Properties>
</file>