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B5EA" w14:textId="77777777" w:rsidR="005662FB" w:rsidRDefault="005662FB" w:rsidP="005662FB">
      <w:pPr>
        <w:tabs>
          <w:tab w:val="left" w:pos="8789"/>
        </w:tabs>
        <w:ind w:left="284" w:right="51"/>
        <w:jc w:val="center"/>
      </w:pPr>
      <w:bookmarkStart w:id="0" w:name="_Hlk12021772"/>
      <w:bookmarkEnd w:id="0"/>
      <w:r>
        <w:rPr>
          <w:noProof/>
          <w:sz w:val="20"/>
          <w:lang w:val="es-MX" w:eastAsia="es-MX"/>
        </w:rPr>
        <mc:AlternateContent>
          <mc:Choice Requires="wps">
            <w:drawing>
              <wp:anchor distT="45720" distB="45720" distL="114300" distR="114300" simplePos="0" relativeHeight="251659264" behindDoc="0" locked="0" layoutInCell="1" allowOverlap="1" wp14:anchorId="58CC0D57" wp14:editId="2728ACE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BDA501A" w14:textId="77777777" w:rsidR="005662FB" w:rsidRPr="00265B8C" w:rsidRDefault="005662FB" w:rsidP="005662F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C0D57"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BDA501A" w14:textId="77777777" w:rsidR="005662FB" w:rsidRPr="00265B8C" w:rsidRDefault="005662FB" w:rsidP="005662F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55D78BDA" w14:textId="77777777" w:rsidR="005662FB" w:rsidRDefault="005662FB" w:rsidP="005662FB">
      <w:pPr>
        <w:tabs>
          <w:tab w:val="left" w:pos="8789"/>
        </w:tabs>
        <w:ind w:left="284" w:right="51"/>
        <w:jc w:val="center"/>
      </w:pPr>
    </w:p>
    <w:p w14:paraId="491D0CBA" w14:textId="77777777" w:rsidR="005662FB" w:rsidRDefault="005662FB" w:rsidP="005662FB">
      <w:pPr>
        <w:pStyle w:val="Profesin"/>
      </w:pPr>
    </w:p>
    <w:p w14:paraId="7A7E0FF0" w14:textId="396E1A79" w:rsidR="005662FB" w:rsidRPr="006C6332" w:rsidRDefault="005662FB" w:rsidP="005662FB">
      <w:pPr>
        <w:pStyle w:val="Profesin"/>
        <w:spacing w:before="120"/>
        <w:rPr>
          <w:spacing w:val="20"/>
          <w:sz w:val="24"/>
        </w:rPr>
      </w:pPr>
      <w:bookmarkStart w:id="1" w:name="_GoBack"/>
      <w:bookmarkEnd w:id="1"/>
      <w:r w:rsidRPr="006C6332">
        <w:rPr>
          <w:spacing w:val="20"/>
          <w:sz w:val="24"/>
        </w:rPr>
        <w:t>ÍNDICE NACIONAL DE PRECIOS AL CONSUMIDOR</w:t>
      </w:r>
    </w:p>
    <w:p w14:paraId="51365842" w14:textId="77777777" w:rsidR="005662FB" w:rsidRPr="006C6332" w:rsidRDefault="005662FB" w:rsidP="005662FB">
      <w:pPr>
        <w:pStyle w:val="Profesin"/>
        <w:rPr>
          <w:sz w:val="24"/>
          <w:szCs w:val="26"/>
        </w:rPr>
      </w:pPr>
      <w:r w:rsidRPr="006C6332">
        <w:rPr>
          <w:sz w:val="24"/>
          <w:szCs w:val="26"/>
        </w:rPr>
        <w:t>PRIMERA QUINCENA DE ENERO DE 2022</w:t>
      </w:r>
    </w:p>
    <w:p w14:paraId="2CE4AF60" w14:textId="77777777" w:rsidR="005662FB" w:rsidRPr="0089029B" w:rsidRDefault="005662FB" w:rsidP="005662FB">
      <w:pPr>
        <w:spacing w:before="360"/>
        <w:ind w:left="142" w:right="-1"/>
        <w:rPr>
          <w:spacing w:val="8"/>
        </w:rPr>
      </w:pPr>
      <w:r w:rsidRPr="0089029B">
        <w:rPr>
          <w:spacing w:val="8"/>
        </w:rPr>
        <w:t>En la primera quincena de 2022, el Índice Nacional de Precios al Consumidor (INPC) presentó un incremento de 0.39% respecto a la quincena inmediata anterior. Con este resultado la inflación general anual se ubicó en 7.13%. En el mismo periodo de 2021 la inflación quincenal fue de 0.51% y la anual de 3.33%.</w:t>
      </w:r>
    </w:p>
    <w:p w14:paraId="5C28AFB8" w14:textId="77777777" w:rsidR="005662FB" w:rsidRPr="0089029B" w:rsidRDefault="005662FB" w:rsidP="005662FB">
      <w:pPr>
        <w:spacing w:before="360"/>
        <w:ind w:left="142" w:right="-1"/>
      </w:pPr>
      <w:r w:rsidRPr="0089029B">
        <w:t>El índice de precios subyacente</w:t>
      </w:r>
      <w:r w:rsidRPr="0089029B">
        <w:rPr>
          <w:vertAlign w:val="superscript"/>
        </w:rPr>
        <w:footnoteReference w:id="1"/>
      </w:r>
      <w:r w:rsidRPr="0089029B">
        <w:t xml:space="preserve"> registró un aumento de 0.34% quincenal y de 6.11% anual. Al mismo tiempo, el índice de precios no subyacente mostró un alza de 0.53% quincenal y de 10.21% anual.</w:t>
      </w:r>
    </w:p>
    <w:p w14:paraId="1FEA0860" w14:textId="77777777" w:rsidR="005662FB" w:rsidRPr="0089029B" w:rsidRDefault="005662FB" w:rsidP="005662FB">
      <w:pPr>
        <w:spacing w:before="360"/>
        <w:ind w:left="142" w:right="-1"/>
      </w:pPr>
      <w:r w:rsidRPr="0089029B">
        <w:t>Al interior del índice subyacente, a tasa quincenal, los precios de las mercancías crecieron 0.62% y los de los servicios 0.02%.</w:t>
      </w:r>
    </w:p>
    <w:p w14:paraId="70501F3E" w14:textId="5EF7DB60" w:rsidR="005662FB" w:rsidRDefault="005662FB" w:rsidP="005662FB">
      <w:pPr>
        <w:spacing w:before="360"/>
        <w:ind w:left="142" w:right="-1"/>
      </w:pPr>
      <w:r w:rsidRPr="0089029B">
        <w:t>Dentro del índice no subyacente, los precios de los productos agropecuarios subieron 0.55% y los de los energéticos y tarifas autorizadas por el gobierno 0.51% a tasa quincenal.</w:t>
      </w:r>
    </w:p>
    <w:p w14:paraId="4CCB7B98" w14:textId="756C4D0A" w:rsidR="00DE16B5" w:rsidRDefault="00DE16B5">
      <w:pPr>
        <w:jc w:val="left"/>
      </w:pPr>
      <w:r>
        <w:br w:type="page"/>
      </w:r>
    </w:p>
    <w:p w14:paraId="56D479E2" w14:textId="77777777" w:rsidR="005662FB" w:rsidRDefault="005662FB" w:rsidP="005662FB">
      <w:pPr>
        <w:pStyle w:val="Prrafodelista"/>
        <w:keepNext/>
        <w:keepLines/>
        <w:widowControl w:val="0"/>
        <w:spacing w:before="360"/>
        <w:ind w:left="0"/>
        <w:jc w:val="center"/>
        <w:rPr>
          <w:b/>
          <w:bCs/>
          <w:smallCaps/>
          <w:color w:val="000000" w:themeColor="text1"/>
          <w:spacing w:val="1"/>
          <w:sz w:val="22"/>
          <w:szCs w:val="22"/>
        </w:rPr>
      </w:pPr>
    </w:p>
    <w:p w14:paraId="3551499D" w14:textId="77777777" w:rsidR="005662FB" w:rsidRPr="0091201A" w:rsidRDefault="005662FB" w:rsidP="005662FB">
      <w:pPr>
        <w:pStyle w:val="n01"/>
        <w:keepNext/>
        <w:spacing w:before="360"/>
        <w:ind w:left="0" w:firstLine="0"/>
        <w:jc w:val="center"/>
        <w:rPr>
          <w:rFonts w:ascii="Arial" w:hAnsi="Arial"/>
          <w:color w:val="auto"/>
          <w:sz w:val="20"/>
          <w:szCs w:val="20"/>
        </w:rPr>
      </w:pPr>
    </w:p>
    <w:p w14:paraId="0A81EC3F" w14:textId="77777777" w:rsidR="005662FB" w:rsidRPr="00B81C75" w:rsidRDefault="005662FB" w:rsidP="005662FB">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Pr="002660A9">
        <w:rPr>
          <w:b/>
          <w:bCs/>
          <w:smallCaps/>
          <w:color w:val="000000" w:themeColor="text1"/>
          <w:sz w:val="22"/>
          <w:szCs w:val="22"/>
        </w:rPr>
        <w:t>y sus componentes</w:t>
      </w:r>
    </w:p>
    <w:p w14:paraId="3550E90E" w14:textId="77777777" w:rsidR="005662FB" w:rsidRPr="00257AF9" w:rsidRDefault="005662FB" w:rsidP="005662FB">
      <w:pPr>
        <w:keepNext/>
        <w:keepLines/>
        <w:widowControl w:val="0"/>
        <w:jc w:val="center"/>
        <w:rPr>
          <w:sz w:val="18"/>
          <w:szCs w:val="18"/>
        </w:rPr>
      </w:pPr>
      <w:r>
        <w:rPr>
          <w:sz w:val="18"/>
          <w:szCs w:val="18"/>
        </w:rPr>
        <w:t>Cifras durante la primera quincena de enero</w:t>
      </w:r>
      <w:r w:rsidRPr="00257AF9">
        <w:rPr>
          <w:sz w:val="18"/>
          <w:szCs w:val="18"/>
        </w:rPr>
        <w:t xml:space="preserve"> de los años que se indica</w:t>
      </w:r>
      <w:r>
        <w:rPr>
          <w:sz w:val="18"/>
          <w:szCs w:val="18"/>
        </w:rPr>
        <w:t>n</w:t>
      </w:r>
    </w:p>
    <w:p w14:paraId="7C099274" w14:textId="77777777" w:rsidR="005662FB" w:rsidRDefault="005662FB" w:rsidP="005662FB">
      <w:pPr>
        <w:autoSpaceDE w:val="0"/>
        <w:autoSpaceDN w:val="0"/>
        <w:adjustRightInd w:val="0"/>
        <w:jc w:val="center"/>
        <w:rPr>
          <w:color w:val="006600"/>
          <w:sz w:val="18"/>
          <w:szCs w:val="16"/>
          <w:vertAlign w:val="superscript"/>
        </w:rPr>
      </w:pPr>
      <w:r w:rsidRPr="00F161D9">
        <w:rPr>
          <w:noProof/>
        </w:rPr>
        <w:drawing>
          <wp:inline distT="0" distB="0" distL="0" distR="0" wp14:anchorId="5E7EF6A2" wp14:editId="47C88C54">
            <wp:extent cx="5972810" cy="25206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0642"/>
                    </a:xfrm>
                    <a:prstGeom prst="rect">
                      <a:avLst/>
                    </a:prstGeom>
                    <a:noFill/>
                    <a:ln>
                      <a:noFill/>
                    </a:ln>
                  </pic:spPr>
                </pic:pic>
              </a:graphicData>
            </a:graphic>
          </wp:inline>
        </w:drawing>
      </w:r>
    </w:p>
    <w:p w14:paraId="16445A37" w14:textId="77777777" w:rsidR="005662FB" w:rsidRPr="00204508" w:rsidRDefault="005662FB" w:rsidP="005662FB">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57459D03" w14:textId="77777777" w:rsidR="005662FB" w:rsidRPr="00204508" w:rsidRDefault="005662FB" w:rsidP="005662FB">
      <w:pPr>
        <w:autoSpaceDE w:val="0"/>
        <w:autoSpaceDN w:val="0"/>
        <w:adjustRightInd w:val="0"/>
        <w:ind w:left="283" w:right="113" w:hanging="170"/>
        <w:rPr>
          <w:sz w:val="16"/>
          <w:szCs w:val="16"/>
        </w:rPr>
      </w:pPr>
      <w:r w:rsidRPr="00204508">
        <w:rPr>
          <w:sz w:val="18"/>
          <w:szCs w:val="16"/>
          <w:vertAlign w:val="superscript"/>
        </w:rPr>
        <w:t>2/</w:t>
      </w:r>
      <w:r w:rsidRPr="00204508">
        <w:rPr>
          <w:sz w:val="18"/>
          <w:szCs w:val="16"/>
          <w:vertAlign w:val="superscript"/>
        </w:rPr>
        <w:tab/>
      </w:r>
      <w:r w:rsidRPr="00204508">
        <w:rPr>
          <w:sz w:val="16"/>
          <w:szCs w:val="16"/>
        </w:rPr>
        <w:t>Incluye alimentos procesados, bebidas y tabaco, no incluye productos agropecuarios.</w:t>
      </w:r>
    </w:p>
    <w:p w14:paraId="24A55C4D" w14:textId="77777777" w:rsidR="005662FB" w:rsidRPr="00204508" w:rsidRDefault="005662FB" w:rsidP="005662FB">
      <w:pPr>
        <w:autoSpaceDE w:val="0"/>
        <w:autoSpaceDN w:val="0"/>
        <w:adjustRightInd w:val="0"/>
        <w:ind w:left="283" w:right="113" w:hanging="170"/>
        <w:rPr>
          <w:sz w:val="16"/>
          <w:szCs w:val="16"/>
        </w:rPr>
      </w:pPr>
      <w:r w:rsidRPr="00204508">
        <w:rPr>
          <w:sz w:val="18"/>
          <w:szCs w:val="16"/>
          <w:vertAlign w:val="superscript"/>
        </w:rPr>
        <w:t>3/</w:t>
      </w:r>
      <w:r w:rsidRPr="00204508">
        <w:rPr>
          <w:sz w:val="18"/>
          <w:szCs w:val="16"/>
          <w:vertAlign w:val="superscript"/>
        </w:rPr>
        <w:tab/>
      </w:r>
      <w:r w:rsidRPr="00204508">
        <w:rPr>
          <w:sz w:val="16"/>
          <w:szCs w:val="16"/>
        </w:rPr>
        <w:t>Incluye vivienda propia, renta de vivienda, servicio doméstico y otros servicios para el hogar.</w:t>
      </w:r>
    </w:p>
    <w:p w14:paraId="76D2B223" w14:textId="77777777" w:rsidR="005662FB" w:rsidRPr="00204508" w:rsidRDefault="005662FB" w:rsidP="005662FB">
      <w:pPr>
        <w:autoSpaceDE w:val="0"/>
        <w:autoSpaceDN w:val="0"/>
        <w:adjustRightInd w:val="0"/>
        <w:ind w:left="283" w:right="113" w:hanging="170"/>
        <w:rPr>
          <w:sz w:val="16"/>
          <w:szCs w:val="16"/>
        </w:rPr>
      </w:pPr>
      <w:r w:rsidRPr="00204508">
        <w:rPr>
          <w:sz w:val="18"/>
          <w:szCs w:val="16"/>
          <w:vertAlign w:val="superscript"/>
        </w:rPr>
        <w:t>4/</w:t>
      </w:r>
      <w:r w:rsidRPr="00204508">
        <w:rPr>
          <w:sz w:val="16"/>
          <w:szCs w:val="16"/>
        </w:rPr>
        <w:tab/>
        <w:t>Incluye loncherías, fondas y taquerías, restaurantes y similares, servicio de telefonía móvil, mantenimiento de automóvil, consulta médica, servicios turísticos en paquete, entre otros.</w:t>
      </w:r>
    </w:p>
    <w:p w14:paraId="0C08E373" w14:textId="77777777" w:rsidR="005662FB" w:rsidRPr="00A71198" w:rsidRDefault="005662FB" w:rsidP="005662FB">
      <w:pPr>
        <w:autoSpaceDE w:val="0"/>
        <w:autoSpaceDN w:val="0"/>
        <w:adjustRightInd w:val="0"/>
        <w:ind w:left="283" w:right="113" w:hanging="170"/>
        <w:rPr>
          <w:color w:val="006600"/>
          <w:sz w:val="16"/>
          <w:szCs w:val="16"/>
        </w:rPr>
      </w:pPr>
    </w:p>
    <w:p w14:paraId="4C0A7AA2" w14:textId="77777777" w:rsidR="005662FB" w:rsidRDefault="005662FB" w:rsidP="005662FB">
      <w:pPr>
        <w:pStyle w:val="p01"/>
        <w:keepLines w:val="0"/>
        <w:tabs>
          <w:tab w:val="left" w:pos="3261"/>
        </w:tabs>
        <w:spacing w:before="0"/>
        <w:ind w:left="1418"/>
        <w:jc w:val="right"/>
        <w:outlineLvl w:val="0"/>
        <w:rPr>
          <w:rFonts w:ascii="Arial" w:hAnsi="Arial" w:cs="Arial"/>
          <w:b/>
          <w:color w:val="000000"/>
          <w:szCs w:val="24"/>
        </w:rPr>
      </w:pPr>
    </w:p>
    <w:p w14:paraId="490F7A1C" w14:textId="77777777" w:rsidR="005662FB" w:rsidRDefault="005662FB" w:rsidP="005662FB">
      <w:pPr>
        <w:widowControl w:val="0"/>
        <w:autoSpaceDE w:val="0"/>
        <w:autoSpaceDN w:val="0"/>
        <w:adjustRightInd w:val="0"/>
        <w:spacing w:before="480"/>
        <w:ind w:left="142" w:right="-1"/>
        <w:rPr>
          <w:b/>
          <w:i/>
        </w:rPr>
      </w:pPr>
      <w:r w:rsidRPr="00E45F62">
        <w:rPr>
          <w:b/>
          <w:i/>
        </w:rPr>
        <w:t xml:space="preserve">Nota </w:t>
      </w:r>
      <w:r>
        <w:rPr>
          <w:b/>
          <w:i/>
        </w:rPr>
        <w:t>al usuario</w:t>
      </w:r>
    </w:p>
    <w:p w14:paraId="71CC552B" w14:textId="77777777" w:rsidR="005662FB" w:rsidRPr="00695B57" w:rsidRDefault="005662FB" w:rsidP="005662FB">
      <w:pPr>
        <w:pStyle w:val="Prrafodelista"/>
        <w:autoSpaceDE w:val="0"/>
        <w:autoSpaceDN w:val="0"/>
        <w:adjustRightInd w:val="0"/>
        <w:spacing w:before="240"/>
        <w:ind w:left="142" w:right="-1"/>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w:t>
      </w:r>
      <w:r>
        <w:rPr>
          <w:lang w:val="es-MX"/>
        </w:rPr>
        <w:t>la</w:t>
      </w:r>
      <w:r w:rsidRPr="00695B57">
        <w:rPr>
          <w:lang w:val="es-MX"/>
        </w:rPr>
        <w:t xml:space="preserve"> COVID-19, a partir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INPC seguirá utilizando medios electrónicos como el </w:t>
      </w:r>
      <w:r>
        <w:rPr>
          <w:lang w:val="es-MX"/>
        </w:rPr>
        <w:t>i</w:t>
      </w:r>
      <w:r w:rsidRPr="00695B57">
        <w:rPr>
          <w:lang w:val="es-MX"/>
        </w:rPr>
        <w:t>nternet, correo electrónico, teléfono y otras tecnologías de la información para obtener sus cotizaciones</w:t>
      </w:r>
      <w:r>
        <w:rPr>
          <w:lang w:val="es-MX"/>
        </w:rPr>
        <w:t xml:space="preserve"> en tanto</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31B5E818" w14:textId="49A23D82" w:rsidR="00DE16B5" w:rsidRDefault="00DE16B5">
      <w:pPr>
        <w:jc w:val="left"/>
        <w:rPr>
          <w:lang w:val="es-MX"/>
        </w:rPr>
      </w:pPr>
      <w:r>
        <w:rPr>
          <w:lang w:val="es-MX"/>
        </w:rPr>
        <w:br w:type="page"/>
      </w:r>
    </w:p>
    <w:p w14:paraId="701E8C43" w14:textId="77777777" w:rsidR="005662FB" w:rsidRDefault="005662FB" w:rsidP="005662FB">
      <w:pPr>
        <w:pStyle w:val="Prrafodelista"/>
        <w:autoSpaceDE w:val="0"/>
        <w:autoSpaceDN w:val="0"/>
        <w:adjustRightInd w:val="0"/>
        <w:spacing w:before="240"/>
        <w:ind w:left="0"/>
        <w:rPr>
          <w:lang w:val="es-MX"/>
        </w:rPr>
      </w:pPr>
    </w:p>
    <w:p w14:paraId="2A95BC22" w14:textId="77777777" w:rsidR="005662FB" w:rsidRPr="008B4FB7" w:rsidRDefault="005662FB" w:rsidP="005662FB">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enero de 2022</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w:t>
      </w:r>
      <w:r w:rsidRPr="00413162">
        <w:rPr>
          <w:lang w:val="es-MX"/>
        </w:rPr>
        <w:t>ocurr</w:t>
      </w:r>
      <w:r>
        <w:rPr>
          <w:lang w:val="es-MX"/>
        </w:rPr>
        <w:t>e</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propio 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4D5F2EE8" w14:textId="77777777" w:rsidR="005662FB" w:rsidRDefault="005662FB" w:rsidP="005662FB">
      <w:pPr>
        <w:pStyle w:val="Prrafodelista"/>
        <w:autoSpaceDE w:val="0"/>
        <w:autoSpaceDN w:val="0"/>
        <w:adjustRightInd w:val="0"/>
        <w:spacing w:before="240"/>
        <w:ind w:left="0"/>
        <w:rPr>
          <w:lang w:val="es-MX"/>
        </w:rPr>
      </w:pPr>
    </w:p>
    <w:p w14:paraId="579749DB" w14:textId="77777777" w:rsidR="005662FB" w:rsidRPr="00472632" w:rsidRDefault="005662FB" w:rsidP="005662FB">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p w14:paraId="61F92CA6" w14:textId="77777777" w:rsidR="005662FB" w:rsidRPr="00A71198" w:rsidRDefault="005662FB" w:rsidP="005662FB">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73BC466F" wp14:editId="18E6FAF3">
            <wp:extent cx="3513600" cy="1638000"/>
            <wp:effectExtent l="0" t="0" r="0" b="635"/>
            <wp:docPr id="4" name="Imagen 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2F32D132" w14:textId="77777777" w:rsidR="005662FB" w:rsidRDefault="005662FB" w:rsidP="005662FB">
      <w:pPr>
        <w:pStyle w:val="Prrafodelista"/>
        <w:autoSpaceDE w:val="0"/>
        <w:autoSpaceDN w:val="0"/>
        <w:adjustRightInd w:val="0"/>
        <w:spacing w:before="240"/>
        <w:ind w:left="0"/>
        <w:rPr>
          <w:lang w:val="es-MX"/>
        </w:rPr>
      </w:pPr>
    </w:p>
    <w:p w14:paraId="4B902C6D" w14:textId="77777777" w:rsidR="005662FB" w:rsidRDefault="005662FB" w:rsidP="005662FB">
      <w:pPr>
        <w:pStyle w:val="Prrafodelista"/>
        <w:autoSpaceDE w:val="0"/>
        <w:autoSpaceDN w:val="0"/>
        <w:adjustRightInd w:val="0"/>
        <w:spacing w:before="240"/>
        <w:ind w:left="0"/>
        <w:rPr>
          <w:lang w:val="es-MX"/>
        </w:rPr>
      </w:pPr>
    </w:p>
    <w:p w14:paraId="75053373" w14:textId="77777777" w:rsidR="005662FB" w:rsidRDefault="005662FB" w:rsidP="005662FB">
      <w:pPr>
        <w:pStyle w:val="p01"/>
        <w:keepLines w:val="0"/>
        <w:tabs>
          <w:tab w:val="left" w:pos="3261"/>
        </w:tabs>
        <w:spacing w:before="0"/>
        <w:ind w:left="1418"/>
        <w:outlineLvl w:val="0"/>
        <w:rPr>
          <w:rFonts w:ascii="Arial" w:hAnsi="Arial" w:cs="Arial"/>
          <w:b/>
          <w:color w:val="000000"/>
          <w:szCs w:val="24"/>
        </w:rPr>
      </w:pPr>
    </w:p>
    <w:p w14:paraId="6393CB85" w14:textId="77777777" w:rsidR="005662FB" w:rsidRDefault="005662FB" w:rsidP="005662FB">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p>
    <w:p w14:paraId="37F39A30" w14:textId="77777777" w:rsidR="005662FB" w:rsidRDefault="005662FB" w:rsidP="005662FB">
      <w:pPr>
        <w:pStyle w:val="NormalWeb"/>
        <w:spacing w:before="0" w:beforeAutospacing="0" w:after="0" w:afterAutospacing="0"/>
        <w:ind w:left="-426" w:right="-518"/>
        <w:contextualSpacing/>
        <w:jc w:val="center"/>
        <w:rPr>
          <w:rFonts w:ascii="Arial" w:hAnsi="Arial" w:cs="Arial"/>
          <w:sz w:val="20"/>
          <w:szCs w:val="20"/>
        </w:rPr>
      </w:pPr>
    </w:p>
    <w:p w14:paraId="176EFA5B" w14:textId="77777777" w:rsidR="005662FB" w:rsidRDefault="005662FB" w:rsidP="005662FB">
      <w:pPr>
        <w:pStyle w:val="NormalWeb"/>
        <w:spacing w:before="0" w:beforeAutospacing="0" w:after="0" w:afterAutospacing="0"/>
        <w:ind w:left="-426" w:right="-518"/>
        <w:contextualSpacing/>
        <w:jc w:val="center"/>
        <w:rPr>
          <w:rFonts w:ascii="Arial" w:hAnsi="Arial" w:cs="Arial"/>
          <w:sz w:val="20"/>
          <w:szCs w:val="20"/>
        </w:rPr>
      </w:pPr>
    </w:p>
    <w:p w14:paraId="17874383" w14:textId="77777777" w:rsidR="005662FB" w:rsidRDefault="005662FB" w:rsidP="005662FB">
      <w:pPr>
        <w:pStyle w:val="NormalWeb"/>
        <w:spacing w:before="0" w:beforeAutospacing="0" w:after="0" w:afterAutospacing="0"/>
        <w:ind w:left="-426" w:right="-518"/>
        <w:contextualSpacing/>
        <w:jc w:val="center"/>
        <w:rPr>
          <w:rFonts w:ascii="Arial" w:hAnsi="Arial" w:cs="Arial"/>
          <w:sz w:val="20"/>
          <w:szCs w:val="20"/>
        </w:rPr>
      </w:pPr>
    </w:p>
    <w:p w14:paraId="3B35B2E2" w14:textId="77777777" w:rsidR="005662FB" w:rsidRDefault="005662FB" w:rsidP="005662FB">
      <w:pPr>
        <w:pStyle w:val="NormalWeb"/>
        <w:spacing w:before="0" w:beforeAutospacing="0" w:after="0" w:afterAutospacing="0"/>
        <w:ind w:left="-426" w:right="-518"/>
        <w:contextualSpacing/>
        <w:jc w:val="center"/>
        <w:rPr>
          <w:rFonts w:ascii="Arial" w:hAnsi="Arial" w:cs="Arial"/>
          <w:sz w:val="20"/>
          <w:szCs w:val="20"/>
        </w:rPr>
      </w:pPr>
    </w:p>
    <w:p w14:paraId="161C6E15" w14:textId="77777777" w:rsidR="005662FB" w:rsidRDefault="005662FB" w:rsidP="005662FB">
      <w:pPr>
        <w:pStyle w:val="NormalWeb"/>
        <w:spacing w:after="0" w:afterAutospacing="0"/>
        <w:ind w:left="-426" w:right="-518"/>
        <w:contextualSpacing/>
        <w:jc w:val="center"/>
        <w:rPr>
          <w:rFonts w:ascii="Arial" w:hAnsi="Arial" w:cs="Arial"/>
          <w:sz w:val="20"/>
          <w:szCs w:val="20"/>
        </w:rPr>
      </w:pPr>
    </w:p>
    <w:p w14:paraId="5BB7D745" w14:textId="77777777" w:rsidR="005662FB" w:rsidRPr="003D7879" w:rsidRDefault="005662FB" w:rsidP="005662FB">
      <w:pPr>
        <w:pStyle w:val="NormalWeb"/>
        <w:spacing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36CA6263" w14:textId="77777777" w:rsidR="005662FB" w:rsidRPr="003D7879" w:rsidRDefault="005662FB" w:rsidP="005662FB">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0D2D2E29" w14:textId="77777777" w:rsidR="005662FB" w:rsidRPr="003D7879" w:rsidRDefault="005662FB" w:rsidP="005662FB">
      <w:pPr>
        <w:ind w:left="-426" w:right="-518"/>
        <w:contextualSpacing/>
        <w:jc w:val="center"/>
        <w:rPr>
          <w:sz w:val="22"/>
          <w:szCs w:val="22"/>
        </w:rPr>
      </w:pPr>
    </w:p>
    <w:p w14:paraId="1950853B" w14:textId="77777777" w:rsidR="005662FB" w:rsidRPr="003D7879" w:rsidRDefault="005662FB" w:rsidP="005662FB">
      <w:pPr>
        <w:ind w:left="-426" w:right="-518"/>
        <w:contextualSpacing/>
        <w:jc w:val="center"/>
        <w:rPr>
          <w:sz w:val="22"/>
          <w:szCs w:val="22"/>
        </w:rPr>
      </w:pPr>
      <w:r w:rsidRPr="003D7879">
        <w:rPr>
          <w:sz w:val="22"/>
          <w:szCs w:val="22"/>
        </w:rPr>
        <w:t xml:space="preserve">Dirección de Atención a Medios / Dirección General Adjunta de Comunicación </w:t>
      </w:r>
    </w:p>
    <w:p w14:paraId="4113F3F6" w14:textId="77777777" w:rsidR="005662FB" w:rsidRPr="00B70710" w:rsidRDefault="005662FB" w:rsidP="005662FB">
      <w:pPr>
        <w:ind w:left="-426" w:right="-518"/>
        <w:contextualSpacing/>
        <w:jc w:val="center"/>
        <w:rPr>
          <w:sz w:val="22"/>
          <w:szCs w:val="22"/>
        </w:rPr>
      </w:pPr>
    </w:p>
    <w:p w14:paraId="358301CE" w14:textId="77777777" w:rsidR="005662FB" w:rsidRDefault="005662FB" w:rsidP="005662FB">
      <w:pPr>
        <w:ind w:left="-425" w:right="-516"/>
        <w:contextualSpacing/>
        <w:jc w:val="center"/>
      </w:pPr>
      <w:r w:rsidRPr="008F0992">
        <w:rPr>
          <w:noProof/>
          <w:sz w:val="20"/>
          <w:lang w:val="es-MX" w:eastAsia="es-MX"/>
        </w:rPr>
        <w:drawing>
          <wp:inline distT="0" distB="0" distL="0" distR="0" wp14:anchorId="70360208" wp14:editId="62F8F13A">
            <wp:extent cx="318472" cy="322419"/>
            <wp:effectExtent l="0" t="0" r="5715" b="1905"/>
            <wp:docPr id="12" name="Imagen 12"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34B35E2" wp14:editId="775EE395">
            <wp:extent cx="327704" cy="325467"/>
            <wp:effectExtent l="0" t="0" r="0" b="0"/>
            <wp:docPr id="14" name="Imagen 14"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E4DCC16" wp14:editId="599B2342">
            <wp:extent cx="321276" cy="324093"/>
            <wp:effectExtent l="0" t="0" r="3175" b="0"/>
            <wp:docPr id="16" name="Imagen 16"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FA48ED1" wp14:editId="5707BAB8">
            <wp:extent cx="321276" cy="326574"/>
            <wp:effectExtent l="0" t="0" r="3175"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5E931A08" wp14:editId="4C5A820B">
            <wp:extent cx="2323070" cy="319707"/>
            <wp:effectExtent l="0" t="0" r="1270" b="4445"/>
            <wp:docPr id="18" name="Imagen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7DE902B7" w14:textId="77777777" w:rsidR="005662FB" w:rsidRPr="00157C43" w:rsidRDefault="005662FB" w:rsidP="005662FB">
      <w:pPr>
        <w:pStyle w:val="bullet"/>
        <w:tabs>
          <w:tab w:val="left" w:pos="8789"/>
        </w:tabs>
        <w:spacing w:before="0"/>
        <w:ind w:left="0" w:right="51" w:firstLine="0"/>
        <w:jc w:val="center"/>
        <w:rPr>
          <w:rFonts w:cs="Arial"/>
          <w:szCs w:val="24"/>
        </w:rPr>
        <w:sectPr w:rsidR="005662FB"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6F1A203D" w14:textId="42B4DEDE" w:rsidR="005662FB" w:rsidRPr="00A84CF6" w:rsidRDefault="005662FB" w:rsidP="005662FB">
      <w:pPr>
        <w:pStyle w:val="Profesin"/>
        <w:tabs>
          <w:tab w:val="left" w:pos="8647"/>
        </w:tabs>
        <w:contextualSpacing/>
        <w:rPr>
          <w:sz w:val="24"/>
        </w:rPr>
      </w:pPr>
      <w:r w:rsidRPr="00A84CF6">
        <w:rPr>
          <w:sz w:val="24"/>
        </w:rPr>
        <w:lastRenderedPageBreak/>
        <w:t>ANEXO</w:t>
      </w:r>
    </w:p>
    <w:p w14:paraId="2FD6CFF4" w14:textId="77777777" w:rsidR="005662FB" w:rsidRPr="005662FB" w:rsidRDefault="005662FB" w:rsidP="005662FB">
      <w:pPr>
        <w:pStyle w:val="Profesin"/>
        <w:tabs>
          <w:tab w:val="left" w:pos="8647"/>
        </w:tabs>
        <w:contextualSpacing/>
        <w:rPr>
          <w:sz w:val="12"/>
          <w:szCs w:val="12"/>
        </w:rPr>
      </w:pPr>
    </w:p>
    <w:p w14:paraId="5853A471" w14:textId="77777777" w:rsidR="005662FB" w:rsidRPr="00A84CF6" w:rsidRDefault="005662FB" w:rsidP="005662FB">
      <w:pPr>
        <w:pStyle w:val="Profesin"/>
        <w:tabs>
          <w:tab w:val="left" w:pos="8647"/>
        </w:tabs>
        <w:contextualSpacing/>
        <w:rPr>
          <w:sz w:val="24"/>
        </w:rPr>
      </w:pPr>
      <w:r w:rsidRPr="00A84CF6">
        <w:rPr>
          <w:sz w:val="24"/>
        </w:rPr>
        <w:t>NOTA TÉCNICA</w:t>
      </w:r>
    </w:p>
    <w:p w14:paraId="1BD86CA1" w14:textId="77777777" w:rsidR="005662FB" w:rsidRPr="00A84CF6" w:rsidRDefault="005662FB" w:rsidP="005662FB">
      <w:pPr>
        <w:pStyle w:val="Profesin"/>
        <w:tabs>
          <w:tab w:val="left" w:pos="8647"/>
        </w:tabs>
        <w:contextualSpacing/>
        <w:rPr>
          <w:sz w:val="14"/>
          <w:szCs w:val="16"/>
        </w:rPr>
      </w:pPr>
    </w:p>
    <w:p w14:paraId="27445CEE" w14:textId="77777777" w:rsidR="00DF2D89" w:rsidRPr="00A84CF6" w:rsidRDefault="00DF2D89" w:rsidP="00D74605">
      <w:pPr>
        <w:pStyle w:val="Profesin"/>
        <w:rPr>
          <w:spacing w:val="20"/>
          <w:sz w:val="24"/>
        </w:rPr>
      </w:pPr>
      <w:r w:rsidRPr="00A84CF6">
        <w:rPr>
          <w:spacing w:val="20"/>
          <w:sz w:val="24"/>
        </w:rPr>
        <w:t>ÍNDICE NACIONAL DE PRECIOS AL CONSUMIDOR</w:t>
      </w:r>
    </w:p>
    <w:p w14:paraId="4F13C34A" w14:textId="77777777" w:rsidR="007E5A9D" w:rsidRPr="00A84CF6" w:rsidRDefault="007E5A9D" w:rsidP="007E5A9D">
      <w:pPr>
        <w:pStyle w:val="Profesin"/>
        <w:rPr>
          <w:sz w:val="24"/>
          <w:szCs w:val="24"/>
        </w:rPr>
      </w:pPr>
      <w:r w:rsidRPr="00A84CF6">
        <w:rPr>
          <w:sz w:val="24"/>
          <w:szCs w:val="24"/>
        </w:rPr>
        <w:t>PRIMERA QUINCENA DE ENERO DE 2022</w:t>
      </w:r>
    </w:p>
    <w:p w14:paraId="1C7810F6" w14:textId="631D06E0"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2B3C9E3B" w14:textId="5A30CD55" w:rsidR="007E5A9D" w:rsidRDefault="007E5A9D" w:rsidP="007E5A9D">
      <w:pPr>
        <w:autoSpaceDE w:val="0"/>
        <w:autoSpaceDN w:val="0"/>
        <w:adjustRightInd w:val="0"/>
        <w:spacing w:before="240"/>
      </w:pPr>
      <w:bookmarkStart w:id="2" w:name="_Hlk33002076"/>
      <w:r w:rsidRPr="00A71198">
        <w:t>En la primer</w:t>
      </w:r>
      <w:r>
        <w:t xml:space="preserve">a quincena de enero de </w:t>
      </w:r>
      <w:r w:rsidRPr="00A71198">
        <w:t>20</w:t>
      </w:r>
      <w:r>
        <w:t>22</w:t>
      </w:r>
      <w:r w:rsidRPr="00A71198">
        <w:t>, el Índice Nacional de Precios al Consumidor</w:t>
      </w:r>
      <w:r>
        <w:t xml:space="preserve"> (INPC)</w:t>
      </w:r>
      <w:r w:rsidRPr="00A71198">
        <w:t xml:space="preserve"> </w:t>
      </w:r>
      <w:r>
        <w:t>registró un</w:t>
      </w:r>
      <w:r w:rsidR="00FF1F34">
        <w:t xml:space="preserve"> incremento</w:t>
      </w:r>
      <w:r>
        <w:t xml:space="preserve"> quincenal de 0.39</w:t>
      </w:r>
      <w:r w:rsidR="000748B1">
        <w:t>%</w:t>
      </w:r>
      <w:r>
        <w:t xml:space="preserve">. En el mismo periodo de 2021 </w:t>
      </w:r>
      <w:r w:rsidR="00FF1F34">
        <w:t xml:space="preserve">aumentó </w:t>
      </w:r>
      <w:r>
        <w:t>0.51</w:t>
      </w:r>
      <w:r w:rsidR="000748B1">
        <w:t>%</w:t>
      </w:r>
      <w:r>
        <w:t>.</w:t>
      </w:r>
    </w:p>
    <w:p w14:paraId="4F8F01B1" w14:textId="77777777" w:rsidR="007E5A9D" w:rsidRPr="0091201A" w:rsidRDefault="007E5A9D" w:rsidP="007E5A9D">
      <w:pPr>
        <w:pStyle w:val="n01"/>
        <w:spacing w:before="360"/>
        <w:ind w:left="0" w:firstLine="0"/>
        <w:jc w:val="center"/>
        <w:rPr>
          <w:rFonts w:ascii="Arial" w:hAnsi="Arial"/>
          <w:color w:val="auto"/>
          <w:sz w:val="20"/>
          <w:szCs w:val="20"/>
        </w:rPr>
      </w:pPr>
      <w:r w:rsidRPr="0091201A">
        <w:rPr>
          <w:rFonts w:ascii="Arial" w:hAnsi="Arial"/>
          <w:bCs/>
          <w:color w:val="auto"/>
          <w:sz w:val="20"/>
          <w:szCs w:val="20"/>
        </w:rPr>
        <w:t>Gráfica</w:t>
      </w:r>
      <w:r w:rsidRPr="0091201A">
        <w:rPr>
          <w:rFonts w:ascii="Arial" w:hAnsi="Arial"/>
          <w:color w:val="auto"/>
          <w:sz w:val="20"/>
          <w:szCs w:val="20"/>
        </w:rPr>
        <w:t xml:space="preserve"> 1</w:t>
      </w:r>
    </w:p>
    <w:p w14:paraId="3C40CF59" w14:textId="313B5B0F" w:rsidR="007E5A9D" w:rsidRPr="002660A9" w:rsidRDefault="002660A9" w:rsidP="007E5A9D">
      <w:pPr>
        <w:pStyle w:val="n01"/>
        <w:spacing w:before="0"/>
        <w:ind w:left="0" w:firstLine="0"/>
        <w:jc w:val="center"/>
        <w:rPr>
          <w:rFonts w:ascii="Arial" w:hAnsi="Arial"/>
          <w:b/>
          <w:bCs/>
          <w:smallCaps/>
          <w:color w:val="000000" w:themeColor="text1"/>
          <w:sz w:val="22"/>
          <w:szCs w:val="22"/>
        </w:rPr>
      </w:pPr>
      <w:r>
        <w:rPr>
          <w:rFonts w:ascii="Arial" w:hAnsi="Arial"/>
          <w:b/>
          <w:bCs/>
          <w:smallCaps/>
          <w:color w:val="000000" w:themeColor="text1"/>
          <w:sz w:val="22"/>
          <w:szCs w:val="22"/>
        </w:rPr>
        <w:t>Í</w:t>
      </w:r>
      <w:r w:rsidRPr="002660A9">
        <w:rPr>
          <w:rFonts w:ascii="Arial" w:hAnsi="Arial"/>
          <w:b/>
          <w:bCs/>
          <w:smallCaps/>
          <w:color w:val="000000" w:themeColor="text1"/>
          <w:sz w:val="22"/>
          <w:szCs w:val="22"/>
        </w:rPr>
        <w:t xml:space="preserve">ndice </w:t>
      </w:r>
      <w:r w:rsidR="005C0C11">
        <w:rPr>
          <w:rFonts w:ascii="Arial" w:hAnsi="Arial"/>
          <w:b/>
          <w:bCs/>
          <w:smallCaps/>
          <w:color w:val="000000" w:themeColor="text1"/>
          <w:sz w:val="22"/>
          <w:szCs w:val="22"/>
        </w:rPr>
        <w:t>N</w:t>
      </w:r>
      <w:r w:rsidRPr="002660A9">
        <w:rPr>
          <w:rFonts w:ascii="Arial" w:hAnsi="Arial"/>
          <w:b/>
          <w:bCs/>
          <w:smallCaps/>
          <w:color w:val="000000" w:themeColor="text1"/>
          <w:sz w:val="22"/>
          <w:szCs w:val="22"/>
        </w:rPr>
        <w:t xml:space="preserve">acional </w:t>
      </w:r>
      <w:r>
        <w:rPr>
          <w:rFonts w:ascii="Arial" w:hAnsi="Arial"/>
          <w:b/>
          <w:bCs/>
          <w:smallCaps/>
          <w:color w:val="000000" w:themeColor="text1"/>
          <w:sz w:val="22"/>
          <w:szCs w:val="22"/>
        </w:rPr>
        <w:t>d</w:t>
      </w:r>
      <w:r w:rsidRPr="002660A9">
        <w:rPr>
          <w:rFonts w:ascii="Arial" w:hAnsi="Arial"/>
          <w:b/>
          <w:bCs/>
          <w:smallCaps/>
          <w:color w:val="000000" w:themeColor="text1"/>
          <w:sz w:val="22"/>
          <w:szCs w:val="22"/>
        </w:rPr>
        <w:t xml:space="preserve">e </w:t>
      </w:r>
      <w:r w:rsidR="005C0C11">
        <w:rPr>
          <w:rFonts w:ascii="Arial" w:hAnsi="Arial"/>
          <w:b/>
          <w:bCs/>
          <w:smallCaps/>
          <w:color w:val="000000" w:themeColor="text1"/>
          <w:sz w:val="22"/>
          <w:szCs w:val="22"/>
        </w:rPr>
        <w:t>P</w:t>
      </w:r>
      <w:r w:rsidRPr="002660A9">
        <w:rPr>
          <w:rFonts w:ascii="Arial" w:hAnsi="Arial"/>
          <w:b/>
          <w:bCs/>
          <w:smallCaps/>
          <w:color w:val="000000" w:themeColor="text1"/>
          <w:sz w:val="22"/>
          <w:szCs w:val="22"/>
        </w:rPr>
        <w:t xml:space="preserve">recios </w:t>
      </w:r>
      <w:r>
        <w:rPr>
          <w:rFonts w:ascii="Arial" w:hAnsi="Arial"/>
          <w:b/>
          <w:bCs/>
          <w:smallCaps/>
          <w:color w:val="000000" w:themeColor="text1"/>
          <w:sz w:val="22"/>
          <w:szCs w:val="22"/>
        </w:rPr>
        <w:t>a</w:t>
      </w:r>
      <w:r w:rsidRPr="002660A9">
        <w:rPr>
          <w:rFonts w:ascii="Arial" w:hAnsi="Arial"/>
          <w:b/>
          <w:bCs/>
          <w:smallCaps/>
          <w:color w:val="000000" w:themeColor="text1"/>
          <w:sz w:val="22"/>
          <w:szCs w:val="22"/>
        </w:rPr>
        <w:t xml:space="preserve">l </w:t>
      </w:r>
      <w:r w:rsidR="005C0C11">
        <w:rPr>
          <w:rFonts w:ascii="Arial" w:hAnsi="Arial"/>
          <w:b/>
          <w:bCs/>
          <w:smallCaps/>
          <w:color w:val="000000" w:themeColor="text1"/>
          <w:sz w:val="22"/>
          <w:szCs w:val="22"/>
        </w:rPr>
        <w:t>C</w:t>
      </w:r>
      <w:r w:rsidRPr="002660A9">
        <w:rPr>
          <w:rFonts w:ascii="Arial" w:hAnsi="Arial"/>
          <w:b/>
          <w:bCs/>
          <w:smallCaps/>
          <w:color w:val="000000" w:themeColor="text1"/>
          <w:sz w:val="22"/>
          <w:szCs w:val="22"/>
        </w:rPr>
        <w:t>onsumidor</w:t>
      </w:r>
      <w:r w:rsidRPr="002660A9">
        <w:rPr>
          <w:rFonts w:ascii="Arial" w:hAnsi="Arial"/>
          <w:b/>
          <w:bCs/>
          <w:smallCaps/>
          <w:color w:val="FF0000"/>
          <w:sz w:val="22"/>
          <w:szCs w:val="22"/>
        </w:rPr>
        <w:t xml:space="preserve"> </w:t>
      </w:r>
    </w:p>
    <w:p w14:paraId="1D5F6054" w14:textId="77777777" w:rsidR="007E5A9D" w:rsidRPr="00FF1F34" w:rsidRDefault="007E5A9D" w:rsidP="007E5A9D">
      <w:pPr>
        <w:widowControl w:val="0"/>
        <w:autoSpaceDE w:val="0"/>
        <w:autoSpaceDN w:val="0"/>
        <w:adjustRightInd w:val="0"/>
        <w:spacing w:before="3" w:line="225" w:lineRule="exact"/>
        <w:jc w:val="center"/>
        <w:rPr>
          <w:sz w:val="18"/>
          <w:szCs w:val="18"/>
        </w:rPr>
      </w:pPr>
      <w:r w:rsidRPr="00FF1F34">
        <w:rPr>
          <w:sz w:val="18"/>
          <w:szCs w:val="18"/>
        </w:rPr>
        <w:t>Variación porcentual quincenal, en la primera quincena de enero de los años que se indican</w:t>
      </w:r>
    </w:p>
    <w:p w14:paraId="7DF7B5D9" w14:textId="2D006F38" w:rsidR="00DF50DE" w:rsidRPr="00A71198" w:rsidRDefault="00F161D9" w:rsidP="00DC305E">
      <w:pPr>
        <w:autoSpaceDE w:val="0"/>
        <w:autoSpaceDN w:val="0"/>
        <w:adjustRightInd w:val="0"/>
        <w:jc w:val="center"/>
        <w:rPr>
          <w:noProof/>
        </w:rPr>
      </w:pPr>
      <w:r>
        <w:rPr>
          <w:noProof/>
        </w:rPr>
        <w:drawing>
          <wp:inline distT="0" distB="0" distL="0" distR="0" wp14:anchorId="0E533B86" wp14:editId="2A1F4698">
            <wp:extent cx="5050555" cy="2898535"/>
            <wp:effectExtent l="0" t="0" r="17145" b="1651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74A3D4" w14:textId="709DDFCE" w:rsidR="007E5A9D" w:rsidRDefault="007E5A9D" w:rsidP="005662FB">
      <w:pPr>
        <w:autoSpaceDE w:val="0"/>
        <w:autoSpaceDN w:val="0"/>
        <w:adjustRightInd w:val="0"/>
        <w:spacing w:before="720"/>
        <w:rPr>
          <w:color w:val="000000" w:themeColor="text1"/>
        </w:rPr>
      </w:pPr>
      <w:r w:rsidRPr="00D25428">
        <w:rPr>
          <w:color w:val="000000" w:themeColor="text1"/>
        </w:rPr>
        <w:t xml:space="preserve">En el siguiente cuadro se presentan las variaciones e incidencias </w:t>
      </w:r>
      <w:r>
        <w:rPr>
          <w:color w:val="000000" w:themeColor="text1"/>
        </w:rPr>
        <w:t>registradas durante la primera quincena de enero de 2022 del INPC y sus componentes.</w:t>
      </w:r>
    </w:p>
    <w:p w14:paraId="0E006DFA" w14:textId="77777777" w:rsidR="00A84CF6" w:rsidRDefault="00A84CF6">
      <w:pPr>
        <w:jc w:val="left"/>
        <w:rPr>
          <w:color w:val="000000" w:themeColor="text1"/>
        </w:rPr>
      </w:pPr>
      <w:r>
        <w:rPr>
          <w:color w:val="000000" w:themeColor="text1"/>
        </w:rPr>
        <w:br w:type="page"/>
      </w:r>
    </w:p>
    <w:p w14:paraId="40EC4740" w14:textId="54AD0E0A" w:rsidR="007E5A9D" w:rsidRPr="0091201A" w:rsidRDefault="007E5A9D" w:rsidP="007E5A9D">
      <w:pPr>
        <w:pStyle w:val="n01"/>
        <w:keepNext/>
        <w:spacing w:before="360"/>
        <w:ind w:left="0" w:firstLine="0"/>
        <w:jc w:val="center"/>
        <w:rPr>
          <w:rFonts w:ascii="Arial" w:hAnsi="Arial"/>
          <w:color w:val="auto"/>
          <w:sz w:val="20"/>
          <w:szCs w:val="20"/>
        </w:rPr>
      </w:pPr>
      <w:r>
        <w:rPr>
          <w:rFonts w:ascii="Arial" w:hAnsi="Arial"/>
          <w:bCs/>
          <w:color w:val="auto"/>
          <w:sz w:val="20"/>
          <w:szCs w:val="20"/>
        </w:rPr>
        <w:lastRenderedPageBreak/>
        <w:t>Cuadro</w:t>
      </w:r>
      <w:r w:rsidRPr="0091201A">
        <w:rPr>
          <w:rFonts w:ascii="Arial" w:hAnsi="Arial"/>
          <w:color w:val="auto"/>
          <w:sz w:val="20"/>
          <w:szCs w:val="20"/>
        </w:rPr>
        <w:t xml:space="preserve"> 1</w:t>
      </w:r>
    </w:p>
    <w:p w14:paraId="43763293" w14:textId="7230BF0B" w:rsidR="007E5A9D" w:rsidRPr="00B81C75" w:rsidRDefault="007E5A9D" w:rsidP="007E5A9D">
      <w:pPr>
        <w:pStyle w:val="Prrafodelista"/>
        <w:keepNext/>
        <w:keepLines/>
        <w:widowControl w:val="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w:t>
      </w:r>
      <w:r w:rsidR="002660A9" w:rsidRPr="002660A9">
        <w:rPr>
          <w:b/>
          <w:bCs/>
          <w:smallCaps/>
          <w:color w:val="000000" w:themeColor="text1"/>
          <w:sz w:val="22"/>
          <w:szCs w:val="22"/>
        </w:rPr>
        <w:t>y sus componentes</w:t>
      </w:r>
    </w:p>
    <w:p w14:paraId="287F0074" w14:textId="77777777" w:rsidR="007E5A9D" w:rsidRPr="00257AF9" w:rsidRDefault="007E5A9D" w:rsidP="007E5A9D">
      <w:pPr>
        <w:keepNext/>
        <w:keepLines/>
        <w:widowControl w:val="0"/>
        <w:jc w:val="center"/>
        <w:rPr>
          <w:sz w:val="18"/>
          <w:szCs w:val="18"/>
        </w:rPr>
      </w:pPr>
      <w:r>
        <w:rPr>
          <w:sz w:val="18"/>
          <w:szCs w:val="18"/>
        </w:rPr>
        <w:t>Cifras durante la primera quincena de enero</w:t>
      </w:r>
      <w:r w:rsidRPr="00257AF9">
        <w:rPr>
          <w:sz w:val="18"/>
          <w:szCs w:val="18"/>
        </w:rPr>
        <w:t xml:space="preserve"> de los años que se indica</w:t>
      </w:r>
      <w:r>
        <w:rPr>
          <w:sz w:val="18"/>
          <w:szCs w:val="18"/>
        </w:rPr>
        <w:t>n</w:t>
      </w:r>
    </w:p>
    <w:p w14:paraId="2B412DD2" w14:textId="07F94F4E" w:rsidR="007E5A9D" w:rsidRDefault="00F161D9" w:rsidP="00F161D9">
      <w:pPr>
        <w:autoSpaceDE w:val="0"/>
        <w:autoSpaceDN w:val="0"/>
        <w:adjustRightInd w:val="0"/>
        <w:jc w:val="center"/>
        <w:rPr>
          <w:color w:val="006600"/>
          <w:sz w:val="18"/>
          <w:szCs w:val="16"/>
          <w:vertAlign w:val="superscript"/>
        </w:rPr>
      </w:pPr>
      <w:r w:rsidRPr="00F161D9">
        <w:rPr>
          <w:noProof/>
        </w:rPr>
        <w:drawing>
          <wp:inline distT="0" distB="0" distL="0" distR="0" wp14:anchorId="14F72213" wp14:editId="170A54D1">
            <wp:extent cx="5972810" cy="252064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20642"/>
                    </a:xfrm>
                    <a:prstGeom prst="rect">
                      <a:avLst/>
                    </a:prstGeom>
                    <a:noFill/>
                    <a:ln>
                      <a:noFill/>
                    </a:ln>
                  </pic:spPr>
                </pic:pic>
              </a:graphicData>
            </a:graphic>
          </wp:inline>
        </w:drawing>
      </w:r>
    </w:p>
    <w:p w14:paraId="7E87964B" w14:textId="77777777" w:rsidR="007E5A9D" w:rsidRPr="00204508" w:rsidRDefault="007E5A9D" w:rsidP="00FF1F34">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329DC69D" w14:textId="77777777" w:rsidR="007E5A9D" w:rsidRPr="00204508" w:rsidRDefault="007E5A9D" w:rsidP="00FF1F34">
      <w:pPr>
        <w:autoSpaceDE w:val="0"/>
        <w:autoSpaceDN w:val="0"/>
        <w:adjustRightInd w:val="0"/>
        <w:ind w:left="283" w:right="113" w:hanging="170"/>
        <w:rPr>
          <w:sz w:val="16"/>
          <w:szCs w:val="16"/>
        </w:rPr>
      </w:pPr>
      <w:r w:rsidRPr="00204508">
        <w:rPr>
          <w:sz w:val="18"/>
          <w:szCs w:val="16"/>
          <w:vertAlign w:val="superscript"/>
        </w:rPr>
        <w:t>2/</w:t>
      </w:r>
      <w:r w:rsidRPr="00204508">
        <w:rPr>
          <w:sz w:val="18"/>
          <w:szCs w:val="16"/>
          <w:vertAlign w:val="superscript"/>
        </w:rPr>
        <w:tab/>
      </w:r>
      <w:r w:rsidRPr="00204508">
        <w:rPr>
          <w:sz w:val="16"/>
          <w:szCs w:val="16"/>
        </w:rPr>
        <w:t>Incluye alimentos procesados, bebidas y tabaco, no incluye productos agropecuarios.</w:t>
      </w:r>
    </w:p>
    <w:p w14:paraId="69D9492D" w14:textId="77777777" w:rsidR="007E5A9D" w:rsidRPr="00204508" w:rsidRDefault="007E5A9D" w:rsidP="00FF1F34">
      <w:pPr>
        <w:autoSpaceDE w:val="0"/>
        <w:autoSpaceDN w:val="0"/>
        <w:adjustRightInd w:val="0"/>
        <w:ind w:left="283" w:right="113" w:hanging="170"/>
        <w:rPr>
          <w:sz w:val="16"/>
          <w:szCs w:val="16"/>
        </w:rPr>
      </w:pPr>
      <w:r w:rsidRPr="00204508">
        <w:rPr>
          <w:sz w:val="18"/>
          <w:szCs w:val="16"/>
          <w:vertAlign w:val="superscript"/>
        </w:rPr>
        <w:t>3/</w:t>
      </w:r>
      <w:r w:rsidRPr="00204508">
        <w:rPr>
          <w:sz w:val="18"/>
          <w:szCs w:val="16"/>
          <w:vertAlign w:val="superscript"/>
        </w:rPr>
        <w:tab/>
      </w:r>
      <w:r w:rsidRPr="00204508">
        <w:rPr>
          <w:sz w:val="16"/>
          <w:szCs w:val="16"/>
        </w:rPr>
        <w:t>Incluye vivienda propia, renta de vivienda, servicio doméstico y otros servicios para el hogar.</w:t>
      </w:r>
    </w:p>
    <w:p w14:paraId="4FD942E0" w14:textId="77777777" w:rsidR="007E5A9D" w:rsidRPr="00204508" w:rsidRDefault="007E5A9D" w:rsidP="00FF1F34">
      <w:pPr>
        <w:autoSpaceDE w:val="0"/>
        <w:autoSpaceDN w:val="0"/>
        <w:adjustRightInd w:val="0"/>
        <w:ind w:left="283" w:right="113" w:hanging="170"/>
        <w:rPr>
          <w:sz w:val="16"/>
          <w:szCs w:val="16"/>
        </w:rPr>
      </w:pPr>
      <w:r w:rsidRPr="00204508">
        <w:rPr>
          <w:sz w:val="18"/>
          <w:szCs w:val="16"/>
          <w:vertAlign w:val="superscript"/>
        </w:rPr>
        <w:t>4/</w:t>
      </w:r>
      <w:r w:rsidRPr="00204508">
        <w:rPr>
          <w:sz w:val="16"/>
          <w:szCs w:val="16"/>
        </w:rPr>
        <w:tab/>
        <w:t>Incluye loncherías, fondas y taquerías, restaurantes y similares, servicio de telefonía móvil, mantenimiento de automóvil, consulta médica, servicios turísticos en paquete, entre otros.</w:t>
      </w:r>
    </w:p>
    <w:p w14:paraId="4DB9E387" w14:textId="77777777" w:rsidR="007E5A9D" w:rsidRPr="00A71198" w:rsidRDefault="007E5A9D" w:rsidP="005662FB">
      <w:pPr>
        <w:pStyle w:val="n01"/>
        <w:keepLines w:val="0"/>
        <w:spacing w:before="720"/>
        <w:ind w:left="0" w:firstLine="0"/>
        <w:rPr>
          <w:rFonts w:ascii="Arial" w:hAnsi="Arial"/>
          <w:b/>
          <w:i/>
          <w:color w:val="auto"/>
        </w:rPr>
      </w:pPr>
      <w:r>
        <w:rPr>
          <w:rFonts w:ascii="Arial" w:hAnsi="Arial"/>
          <w:b/>
          <w:i/>
          <w:color w:val="auto"/>
        </w:rPr>
        <w:t>Componentes del INPC</w:t>
      </w:r>
    </w:p>
    <w:p w14:paraId="6F5A9D7D" w14:textId="7CBC3E5F" w:rsidR="007E5A9D" w:rsidRDefault="007E5A9D" w:rsidP="007E5A9D">
      <w:pPr>
        <w:autoSpaceDE w:val="0"/>
        <w:autoSpaceDN w:val="0"/>
        <w:adjustRightInd w:val="0"/>
        <w:spacing w:before="240"/>
      </w:pPr>
      <w:r w:rsidRPr="00A71198">
        <w:t xml:space="preserve">La </w:t>
      </w:r>
      <w:r w:rsidRPr="00FF1F34">
        <w:rPr>
          <w:szCs w:val="22"/>
        </w:rPr>
        <w:t>variación</w:t>
      </w:r>
      <w:r w:rsidRPr="00A71198">
        <w:t xml:space="preserve"> en la primera quincena de </w:t>
      </w:r>
      <w:r>
        <w:t>enero de 2022</w:t>
      </w:r>
      <w:r w:rsidRPr="00A71198">
        <w:t xml:space="preserve"> de los índices subyacente y no subyacente fue de 0.</w:t>
      </w:r>
      <w:r>
        <w:t>34</w:t>
      </w:r>
      <w:r w:rsidRPr="00A71198">
        <w:t xml:space="preserve"> y </w:t>
      </w:r>
      <w:r w:rsidR="006F51E0">
        <w:t xml:space="preserve">de </w:t>
      </w:r>
      <w:r>
        <w:t>0.53</w:t>
      </w:r>
      <w:r w:rsidR="000748B1">
        <w:t>%</w:t>
      </w:r>
      <w:r w:rsidR="006F51E0">
        <w:t>,</w:t>
      </w:r>
      <w:r>
        <w:t xml:space="preserve"> </w:t>
      </w:r>
      <w:r w:rsidRPr="00A71198">
        <w:t>respectivamente</w:t>
      </w:r>
      <w:r w:rsidR="006F51E0">
        <w:t xml:space="preserve">, mientras que en la misma quincena de 2021 fue de </w:t>
      </w:r>
      <w:r w:rsidRPr="00A71198">
        <w:t>0.</w:t>
      </w:r>
      <w:r>
        <w:t>24</w:t>
      </w:r>
      <w:r w:rsidRPr="00A71198">
        <w:t xml:space="preserve"> y </w:t>
      </w:r>
      <w:r w:rsidR="006F51E0">
        <w:t xml:space="preserve">de </w:t>
      </w:r>
      <w:r>
        <w:t>1.37</w:t>
      </w:r>
      <w:r w:rsidR="000748B1">
        <w:t>%</w:t>
      </w:r>
      <w:r>
        <w:t>.</w:t>
      </w:r>
    </w:p>
    <w:p w14:paraId="26D3667C" w14:textId="77777777" w:rsidR="007E5A9D" w:rsidRPr="0091201A" w:rsidRDefault="007E5A9D" w:rsidP="007E5A9D">
      <w:pPr>
        <w:pStyle w:val="n01"/>
        <w:keepNext/>
        <w:spacing w:before="360"/>
        <w:ind w:left="0" w:firstLine="0"/>
        <w:jc w:val="center"/>
        <w:rPr>
          <w:rFonts w:ascii="Arial" w:hAnsi="Arial"/>
          <w:color w:val="auto"/>
          <w:sz w:val="20"/>
          <w:szCs w:val="20"/>
        </w:rPr>
      </w:pPr>
      <w:r w:rsidRPr="0091201A">
        <w:rPr>
          <w:rFonts w:ascii="Arial" w:hAnsi="Arial"/>
          <w:bCs/>
          <w:color w:val="auto"/>
          <w:sz w:val="20"/>
          <w:szCs w:val="20"/>
        </w:rPr>
        <w:lastRenderedPageBreak/>
        <w:t>Gráfica</w:t>
      </w:r>
      <w:r w:rsidRPr="0091201A">
        <w:rPr>
          <w:rFonts w:ascii="Arial" w:hAnsi="Arial"/>
          <w:color w:val="auto"/>
          <w:sz w:val="20"/>
          <w:szCs w:val="20"/>
        </w:rPr>
        <w:t xml:space="preserve"> </w:t>
      </w:r>
      <w:r>
        <w:rPr>
          <w:rFonts w:ascii="Arial" w:hAnsi="Arial"/>
          <w:color w:val="auto"/>
          <w:sz w:val="20"/>
          <w:szCs w:val="20"/>
        </w:rPr>
        <w:t>2</w:t>
      </w:r>
    </w:p>
    <w:p w14:paraId="170F6EF4" w14:textId="520C8A16" w:rsidR="007E5A9D" w:rsidRPr="002660A9" w:rsidRDefault="002660A9" w:rsidP="007E5A9D">
      <w:pPr>
        <w:keepNext/>
        <w:keepLines/>
        <w:jc w:val="center"/>
        <w:rPr>
          <w:b/>
          <w:bCs/>
          <w:smallCaps/>
          <w:color w:val="000000" w:themeColor="text1"/>
          <w:sz w:val="22"/>
          <w:szCs w:val="22"/>
        </w:rPr>
      </w:pPr>
      <w:r w:rsidRPr="002660A9">
        <w:rPr>
          <w:b/>
          <w:bCs/>
          <w:smallCaps/>
          <w:color w:val="000000" w:themeColor="text1"/>
          <w:sz w:val="22"/>
          <w:szCs w:val="22"/>
        </w:rPr>
        <w:t xml:space="preserve">Índices de precios </w:t>
      </w:r>
      <w:r w:rsidR="005C0C11">
        <w:rPr>
          <w:b/>
          <w:bCs/>
          <w:smallCaps/>
          <w:color w:val="000000" w:themeColor="text1"/>
          <w:sz w:val="22"/>
          <w:szCs w:val="22"/>
        </w:rPr>
        <w:t>s</w:t>
      </w:r>
      <w:r w:rsidRPr="002660A9">
        <w:rPr>
          <w:b/>
          <w:bCs/>
          <w:smallCaps/>
          <w:color w:val="000000" w:themeColor="text1"/>
          <w:sz w:val="22"/>
          <w:szCs w:val="22"/>
        </w:rPr>
        <w:t xml:space="preserve">ubyacente y </w:t>
      </w:r>
      <w:r w:rsidR="005C0C11">
        <w:rPr>
          <w:b/>
          <w:bCs/>
          <w:smallCaps/>
          <w:color w:val="000000" w:themeColor="text1"/>
          <w:sz w:val="22"/>
          <w:szCs w:val="22"/>
        </w:rPr>
        <w:t>n</w:t>
      </w:r>
      <w:r w:rsidRPr="002660A9">
        <w:rPr>
          <w:b/>
          <w:bCs/>
          <w:smallCaps/>
          <w:color w:val="000000" w:themeColor="text1"/>
          <w:sz w:val="22"/>
          <w:szCs w:val="22"/>
        </w:rPr>
        <w:t>o subyacente</w:t>
      </w:r>
    </w:p>
    <w:p w14:paraId="46203A31" w14:textId="27839AC9" w:rsidR="007E5A9D" w:rsidRPr="00FF1F34" w:rsidRDefault="007E5A9D" w:rsidP="00FF1F34">
      <w:pPr>
        <w:keepNext/>
        <w:keepLines/>
        <w:widowControl w:val="0"/>
        <w:autoSpaceDE w:val="0"/>
        <w:autoSpaceDN w:val="0"/>
        <w:adjustRightInd w:val="0"/>
        <w:jc w:val="center"/>
        <w:rPr>
          <w:sz w:val="18"/>
          <w:szCs w:val="18"/>
        </w:rPr>
      </w:pPr>
      <w:r w:rsidRPr="00FF1F34">
        <w:rPr>
          <w:sz w:val="18"/>
          <w:szCs w:val="18"/>
        </w:rPr>
        <w:t>Variación porcentual</w:t>
      </w:r>
      <w:r w:rsidR="00FF1F34">
        <w:rPr>
          <w:sz w:val="18"/>
          <w:szCs w:val="18"/>
        </w:rPr>
        <w:t xml:space="preserve"> quincenal,</w:t>
      </w:r>
      <w:r w:rsidRPr="00FF1F34">
        <w:rPr>
          <w:sz w:val="18"/>
          <w:szCs w:val="18"/>
        </w:rPr>
        <w:t xml:space="preserve"> en la primera quincena de enero de los años que se indican</w:t>
      </w:r>
    </w:p>
    <w:p w14:paraId="5D654271" w14:textId="1BD72F49" w:rsidR="007E5A9D" w:rsidRPr="00F161D9" w:rsidRDefault="00F161D9" w:rsidP="007E5A9D">
      <w:pPr>
        <w:pStyle w:val="n01"/>
        <w:keepLines w:val="0"/>
        <w:spacing w:before="0"/>
        <w:ind w:left="0" w:firstLine="0"/>
        <w:jc w:val="center"/>
        <w:rPr>
          <w:rFonts w:ascii="Arial" w:hAnsi="Arial"/>
          <w:noProof/>
          <w:color w:val="auto"/>
        </w:rPr>
      </w:pPr>
      <w:r>
        <w:rPr>
          <w:noProof/>
        </w:rPr>
        <w:drawing>
          <wp:inline distT="0" distB="0" distL="0" distR="0" wp14:anchorId="293DC23C" wp14:editId="0B52E4DF">
            <wp:extent cx="5050555" cy="2880000"/>
            <wp:effectExtent l="0" t="0" r="17145" b="15875"/>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B2BE53" w14:textId="436C3A05" w:rsidR="007E5A9D" w:rsidRPr="00D25428" w:rsidRDefault="007E5A9D" w:rsidP="00F161D9">
      <w:pPr>
        <w:autoSpaceDE w:val="0"/>
        <w:autoSpaceDN w:val="0"/>
        <w:adjustRightInd w:val="0"/>
        <w:spacing w:before="240"/>
        <w:rPr>
          <w:color w:val="000000" w:themeColor="text1"/>
        </w:rPr>
      </w:pPr>
      <w:r w:rsidRPr="00FF1F34">
        <w:t>En</w:t>
      </w:r>
      <w:r>
        <w:rPr>
          <w:color w:val="000000" w:themeColor="text1"/>
        </w:rPr>
        <w:t xml:space="preserve"> la primera quincena de enero de 2022, l</w:t>
      </w:r>
      <w:r w:rsidRPr="00D25428">
        <w:rPr>
          <w:color w:val="000000" w:themeColor="text1"/>
        </w:rPr>
        <w:t xml:space="preserve">a </w:t>
      </w:r>
      <w:r>
        <w:rPr>
          <w:color w:val="000000" w:themeColor="text1"/>
        </w:rPr>
        <w:t xml:space="preserve">variación </w:t>
      </w:r>
      <w:r w:rsidRPr="00D25428">
        <w:rPr>
          <w:color w:val="000000" w:themeColor="text1"/>
        </w:rPr>
        <w:t xml:space="preserve">anual del INPC fue de </w:t>
      </w:r>
      <w:r>
        <w:rPr>
          <w:color w:val="000000" w:themeColor="text1"/>
        </w:rPr>
        <w:t>7.13</w:t>
      </w:r>
      <w:r w:rsidR="000748B1">
        <w:rPr>
          <w:color w:val="000000" w:themeColor="text1"/>
        </w:rPr>
        <w:t>%</w:t>
      </w:r>
      <w:r>
        <w:rPr>
          <w:color w:val="000000" w:themeColor="text1"/>
        </w:rPr>
        <w:t xml:space="preserve"> y la </w:t>
      </w:r>
      <w:r w:rsidRPr="00D25428">
        <w:rPr>
          <w:color w:val="000000" w:themeColor="text1"/>
        </w:rPr>
        <w:t xml:space="preserve">de los índices subyacente y no subyacente </w:t>
      </w:r>
      <w:r>
        <w:rPr>
          <w:color w:val="000000" w:themeColor="text1"/>
        </w:rPr>
        <w:t>de</w:t>
      </w:r>
      <w:r w:rsidRPr="00D25428">
        <w:rPr>
          <w:color w:val="000000" w:themeColor="text1"/>
        </w:rPr>
        <w:t xml:space="preserve"> </w:t>
      </w:r>
      <w:r>
        <w:rPr>
          <w:color w:val="000000" w:themeColor="text1"/>
        </w:rPr>
        <w:t xml:space="preserve">6.11 </w:t>
      </w:r>
      <w:r w:rsidRPr="00D25428">
        <w:rPr>
          <w:color w:val="000000" w:themeColor="text1"/>
        </w:rPr>
        <w:t xml:space="preserve">y </w:t>
      </w:r>
      <w:r>
        <w:rPr>
          <w:color w:val="000000" w:themeColor="text1"/>
        </w:rPr>
        <w:t>de 10.21</w:t>
      </w:r>
      <w:r w:rsidR="000748B1">
        <w:rPr>
          <w:color w:val="000000" w:themeColor="text1"/>
        </w:rPr>
        <w:t>%</w:t>
      </w:r>
      <w:r>
        <w:rPr>
          <w:color w:val="000000" w:themeColor="text1"/>
        </w:rPr>
        <w:t>, respectivamente. En el mismo periodo del año anterior, el INPC varió 3.33</w:t>
      </w:r>
      <w:r w:rsidR="000748B1">
        <w:rPr>
          <w:color w:val="000000" w:themeColor="text1"/>
        </w:rPr>
        <w:t>%</w:t>
      </w:r>
      <w:r>
        <w:rPr>
          <w:color w:val="000000" w:themeColor="text1"/>
        </w:rPr>
        <w:t xml:space="preserve"> y sus índices componentes aumentaron 3.83</w:t>
      </w:r>
      <w:r w:rsidRPr="00D25428">
        <w:rPr>
          <w:color w:val="000000" w:themeColor="text1"/>
        </w:rPr>
        <w:t xml:space="preserve"> </w:t>
      </w:r>
      <w:r>
        <w:rPr>
          <w:color w:val="000000" w:themeColor="text1"/>
        </w:rPr>
        <w:t>y 1.84</w:t>
      </w:r>
      <w:r w:rsidR="000748B1">
        <w:rPr>
          <w:color w:val="000000" w:themeColor="text1"/>
        </w:rPr>
        <w:t>%</w:t>
      </w:r>
      <w:r>
        <w:rPr>
          <w:color w:val="000000" w:themeColor="text1"/>
        </w:rPr>
        <w:t xml:space="preserve">, </w:t>
      </w:r>
      <w:r w:rsidR="006F51E0">
        <w:rPr>
          <w:color w:val="000000" w:themeColor="text1"/>
        </w:rPr>
        <w:t>en ese orden</w:t>
      </w:r>
      <w:r w:rsidRPr="00D25428">
        <w:rPr>
          <w:color w:val="000000" w:themeColor="text1"/>
        </w:rPr>
        <w:t>.</w:t>
      </w:r>
    </w:p>
    <w:p w14:paraId="343C1E64" w14:textId="77777777" w:rsidR="007E5A9D" w:rsidRPr="006E094F" w:rsidRDefault="007E5A9D" w:rsidP="00F161D9">
      <w:pPr>
        <w:pStyle w:val="n01"/>
        <w:keepNext/>
        <w:ind w:left="0" w:firstLine="0"/>
        <w:jc w:val="center"/>
        <w:rPr>
          <w:rFonts w:ascii="Arial" w:hAnsi="Arial"/>
          <w:bCs/>
          <w:color w:val="auto"/>
          <w:sz w:val="20"/>
          <w:szCs w:val="20"/>
        </w:rPr>
      </w:pPr>
      <w:r w:rsidRPr="0091201A">
        <w:rPr>
          <w:rFonts w:ascii="Arial" w:hAnsi="Arial"/>
          <w:bCs/>
          <w:color w:val="auto"/>
          <w:sz w:val="20"/>
          <w:szCs w:val="20"/>
        </w:rPr>
        <w:t>Gráfica</w:t>
      </w:r>
      <w:r w:rsidRPr="006E094F">
        <w:rPr>
          <w:rFonts w:ascii="Arial" w:hAnsi="Arial"/>
          <w:bCs/>
          <w:color w:val="auto"/>
          <w:sz w:val="20"/>
          <w:szCs w:val="20"/>
        </w:rPr>
        <w:t xml:space="preserve"> </w:t>
      </w:r>
      <w:r>
        <w:rPr>
          <w:rFonts w:ascii="Arial" w:hAnsi="Arial"/>
          <w:bCs/>
          <w:color w:val="auto"/>
          <w:sz w:val="20"/>
          <w:szCs w:val="20"/>
        </w:rPr>
        <w:t>3</w:t>
      </w:r>
    </w:p>
    <w:p w14:paraId="0166AA90" w14:textId="1638EF8C" w:rsidR="007E5A9D" w:rsidRPr="00FA0577" w:rsidRDefault="007E5A9D" w:rsidP="00FF1F34">
      <w:pPr>
        <w:pStyle w:val="n01"/>
        <w:keepNext/>
        <w:widowControl w:val="0"/>
        <w:spacing w:before="0"/>
        <w:ind w:left="0" w:firstLine="0"/>
        <w:jc w:val="center"/>
        <w:rPr>
          <w:rFonts w:ascii="Arial" w:hAnsi="Arial"/>
          <w:b/>
          <w:bCs/>
          <w:color w:val="000000" w:themeColor="text1"/>
          <w:sz w:val="22"/>
          <w:szCs w:val="22"/>
        </w:rPr>
      </w:pPr>
      <w:r w:rsidRPr="00FF1F34">
        <w:rPr>
          <w:rFonts w:ascii="Arial" w:hAnsi="Arial"/>
          <w:b/>
          <w:bCs/>
          <w:smallCaps/>
          <w:color w:val="000000" w:themeColor="text1"/>
          <w:sz w:val="22"/>
          <w:szCs w:val="22"/>
        </w:rPr>
        <w:t>INPC</w:t>
      </w:r>
      <w:r>
        <w:rPr>
          <w:rFonts w:ascii="Arial" w:hAnsi="Arial"/>
          <w:b/>
          <w:bCs/>
          <w:color w:val="000000" w:themeColor="text1"/>
          <w:sz w:val="22"/>
          <w:szCs w:val="22"/>
        </w:rPr>
        <w:t xml:space="preserve"> </w:t>
      </w:r>
      <w:r w:rsidR="002660A9" w:rsidRPr="002660A9">
        <w:rPr>
          <w:rFonts w:ascii="Arial" w:hAnsi="Arial"/>
          <w:b/>
          <w:bCs/>
          <w:smallCaps/>
          <w:color w:val="000000" w:themeColor="text1"/>
          <w:sz w:val="22"/>
          <w:szCs w:val="22"/>
        </w:rPr>
        <w:t>y sus componentes</w:t>
      </w:r>
    </w:p>
    <w:p w14:paraId="5AAA0DAF" w14:textId="74744D01" w:rsidR="007E5A9D" w:rsidRPr="00676816" w:rsidRDefault="007E5A9D" w:rsidP="007E5A9D">
      <w:pPr>
        <w:widowControl w:val="0"/>
        <w:autoSpaceDE w:val="0"/>
        <w:autoSpaceDN w:val="0"/>
        <w:adjustRightInd w:val="0"/>
        <w:jc w:val="center"/>
        <w:rPr>
          <w:color w:val="000000"/>
          <w:position w:val="-1"/>
          <w:sz w:val="18"/>
          <w:szCs w:val="20"/>
        </w:rPr>
      </w:pPr>
      <w:r w:rsidRPr="00676816">
        <w:rPr>
          <w:sz w:val="18"/>
          <w:szCs w:val="20"/>
        </w:rPr>
        <w:t xml:space="preserve">Variación </w:t>
      </w:r>
      <w:r w:rsidRPr="00676816">
        <w:rPr>
          <w:color w:val="000000" w:themeColor="text1"/>
          <w:sz w:val="18"/>
          <w:szCs w:val="20"/>
        </w:rPr>
        <w:t>porcentual anual</w:t>
      </w:r>
    </w:p>
    <w:p w14:paraId="48DBD555" w14:textId="5C5FEDD2" w:rsidR="007E5A9D" w:rsidRPr="00A71198" w:rsidRDefault="00F161D9" w:rsidP="007E5A9D">
      <w:pPr>
        <w:widowControl w:val="0"/>
        <w:autoSpaceDE w:val="0"/>
        <w:autoSpaceDN w:val="0"/>
        <w:adjustRightInd w:val="0"/>
        <w:jc w:val="center"/>
      </w:pPr>
      <w:r>
        <w:rPr>
          <w:noProof/>
        </w:rPr>
        <w:drawing>
          <wp:inline distT="0" distB="0" distL="0" distR="0" wp14:anchorId="67338BF2" wp14:editId="23A6F621">
            <wp:extent cx="5050555" cy="2880000"/>
            <wp:effectExtent l="0" t="0" r="17145" b="15875"/>
            <wp:docPr id="7" name="Gráfico 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DB534E" w14:textId="77777777" w:rsidR="007E5A9D" w:rsidRDefault="007E5A9D" w:rsidP="00FF1F34">
      <w:pPr>
        <w:keepNext/>
        <w:keepLines/>
        <w:autoSpaceDE w:val="0"/>
        <w:autoSpaceDN w:val="0"/>
        <w:adjustRightInd w:val="0"/>
        <w:spacing w:before="240"/>
      </w:pPr>
      <w:r w:rsidRPr="0004061B">
        <w:lastRenderedPageBreak/>
        <w:t>A continuación, se presentan los principales</w:t>
      </w:r>
      <w:r>
        <w:t xml:space="preserve"> productos</w:t>
      </w:r>
      <w:r w:rsidRPr="0004061B">
        <w:t xml:space="preserve"> genéricos cuyas variaciones de precios destacaron por su incidencia sobre la inflación general.</w:t>
      </w:r>
    </w:p>
    <w:p w14:paraId="5E179B12" w14:textId="77777777" w:rsidR="007E5A9D" w:rsidRPr="0091201A" w:rsidRDefault="007E5A9D" w:rsidP="007E5A9D">
      <w:pPr>
        <w:pStyle w:val="n01"/>
        <w:keepNext/>
        <w:spacing w:before="360"/>
        <w:ind w:left="0" w:firstLine="0"/>
        <w:jc w:val="center"/>
        <w:rPr>
          <w:rFonts w:ascii="Arial" w:hAnsi="Arial"/>
          <w:color w:val="auto"/>
          <w:sz w:val="20"/>
          <w:szCs w:val="20"/>
        </w:rPr>
      </w:pPr>
      <w:r>
        <w:rPr>
          <w:rFonts w:ascii="Arial" w:hAnsi="Arial"/>
          <w:bCs/>
          <w:color w:val="auto"/>
          <w:sz w:val="20"/>
          <w:szCs w:val="20"/>
        </w:rPr>
        <w:t>Cuadro</w:t>
      </w:r>
      <w:r w:rsidRPr="0091201A">
        <w:rPr>
          <w:rFonts w:ascii="Arial" w:hAnsi="Arial"/>
          <w:color w:val="auto"/>
          <w:sz w:val="20"/>
          <w:szCs w:val="20"/>
        </w:rPr>
        <w:t xml:space="preserve"> </w:t>
      </w:r>
      <w:r>
        <w:rPr>
          <w:rFonts w:ascii="Arial" w:hAnsi="Arial"/>
          <w:color w:val="auto"/>
          <w:sz w:val="20"/>
          <w:szCs w:val="20"/>
        </w:rPr>
        <w:t>2</w:t>
      </w:r>
    </w:p>
    <w:p w14:paraId="4AA4E32C" w14:textId="480027BE" w:rsidR="007E5A9D" w:rsidRPr="00704894" w:rsidRDefault="002660A9" w:rsidP="007E5A9D">
      <w:pPr>
        <w:keepNext/>
        <w:keepLines/>
        <w:autoSpaceDE w:val="0"/>
        <w:autoSpaceDN w:val="0"/>
        <w:adjustRightInd w:val="0"/>
        <w:jc w:val="center"/>
        <w:rPr>
          <w:b/>
          <w:bCs/>
          <w:smallCaps/>
          <w:color w:val="000000" w:themeColor="text1"/>
          <w:spacing w:val="1"/>
          <w:sz w:val="22"/>
          <w:szCs w:val="22"/>
        </w:rPr>
      </w:pPr>
      <w:r w:rsidRPr="00704894">
        <w:rPr>
          <w:b/>
          <w:bCs/>
          <w:smallCaps/>
          <w:color w:val="000000" w:themeColor="text1"/>
          <w:spacing w:val="1"/>
          <w:sz w:val="22"/>
          <w:szCs w:val="22"/>
        </w:rPr>
        <w:t xml:space="preserve">Índice </w:t>
      </w:r>
      <w:r w:rsid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sidR="005C0C11">
        <w:rPr>
          <w:b/>
          <w:bCs/>
          <w:smallCaps/>
          <w:color w:val="000000" w:themeColor="text1"/>
          <w:spacing w:val="1"/>
          <w:sz w:val="22"/>
          <w:szCs w:val="22"/>
        </w:rPr>
        <w:t>P</w:t>
      </w:r>
      <w:r w:rsidRPr="00704894">
        <w:rPr>
          <w:b/>
          <w:bCs/>
          <w:smallCaps/>
          <w:color w:val="000000" w:themeColor="text1"/>
          <w:spacing w:val="1"/>
          <w:sz w:val="22"/>
          <w:szCs w:val="22"/>
        </w:rPr>
        <w:t xml:space="preserve">recios al </w:t>
      </w:r>
      <w:r w:rsidR="005C0C11">
        <w:rPr>
          <w:b/>
          <w:bCs/>
          <w:smallCaps/>
          <w:color w:val="000000" w:themeColor="text1"/>
          <w:spacing w:val="1"/>
          <w:sz w:val="22"/>
          <w:szCs w:val="22"/>
        </w:rPr>
        <w:t>C</w:t>
      </w:r>
      <w:r w:rsidRPr="00704894">
        <w:rPr>
          <w:b/>
          <w:bCs/>
          <w:smallCaps/>
          <w:color w:val="000000" w:themeColor="text1"/>
          <w:spacing w:val="1"/>
          <w:sz w:val="22"/>
          <w:szCs w:val="22"/>
        </w:rPr>
        <w:t>onsumidor</w:t>
      </w:r>
    </w:p>
    <w:p w14:paraId="32ABDC76" w14:textId="2D8EFF41" w:rsidR="007E5A9D" w:rsidRPr="00FE61FF" w:rsidRDefault="002660A9" w:rsidP="007E5A9D">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06356DAB" w14:textId="77777777" w:rsidR="007E5A9D" w:rsidRPr="00676816" w:rsidRDefault="007E5A9D" w:rsidP="007E5A9D">
      <w:pPr>
        <w:widowControl w:val="0"/>
        <w:tabs>
          <w:tab w:val="left" w:pos="1220"/>
        </w:tabs>
        <w:autoSpaceDE w:val="0"/>
        <w:autoSpaceDN w:val="0"/>
        <w:adjustRightInd w:val="0"/>
        <w:jc w:val="center"/>
        <w:rPr>
          <w:color w:val="000000"/>
          <w:position w:val="-1"/>
          <w:sz w:val="18"/>
          <w:szCs w:val="20"/>
        </w:rPr>
      </w:pPr>
      <w:r w:rsidRPr="00676816">
        <w:rPr>
          <w:color w:val="000000"/>
          <w:position w:val="-1"/>
          <w:sz w:val="18"/>
          <w:szCs w:val="20"/>
        </w:rPr>
        <w:t>Primera quincena de enero de 2022</w:t>
      </w:r>
    </w:p>
    <w:p w14:paraId="4ABCE195" w14:textId="2217F1E7" w:rsidR="007E5A9D" w:rsidRPr="00A71198" w:rsidRDefault="00F161D9" w:rsidP="007E5A9D">
      <w:pPr>
        <w:autoSpaceDE w:val="0"/>
        <w:autoSpaceDN w:val="0"/>
        <w:adjustRightInd w:val="0"/>
        <w:jc w:val="center"/>
      </w:pPr>
      <w:r w:rsidRPr="00F161D9">
        <w:rPr>
          <w:noProof/>
        </w:rPr>
        <w:drawing>
          <wp:inline distT="0" distB="0" distL="0" distR="0" wp14:anchorId="0CB54E97" wp14:editId="0B227794">
            <wp:extent cx="5972810" cy="1786352"/>
            <wp:effectExtent l="0" t="0" r="889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6352"/>
                    </a:xfrm>
                    <a:prstGeom prst="rect">
                      <a:avLst/>
                    </a:prstGeom>
                    <a:noFill/>
                    <a:ln>
                      <a:noFill/>
                    </a:ln>
                  </pic:spPr>
                </pic:pic>
              </a:graphicData>
            </a:graphic>
          </wp:inline>
        </w:drawing>
      </w:r>
    </w:p>
    <w:p w14:paraId="75FABFAA" w14:textId="77777777" w:rsidR="000748B1" w:rsidRPr="00204508" w:rsidRDefault="000748B1" w:rsidP="000748B1">
      <w:pPr>
        <w:autoSpaceDE w:val="0"/>
        <w:autoSpaceDN w:val="0"/>
        <w:adjustRightInd w:val="0"/>
        <w:spacing w:line="276" w:lineRule="auto"/>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23151C7C" w14:textId="2D186D47" w:rsidR="007E5A9D" w:rsidRDefault="007E5A9D" w:rsidP="000748B1">
      <w:pPr>
        <w:keepNext/>
        <w:keepLines/>
        <w:autoSpaceDE w:val="0"/>
        <w:autoSpaceDN w:val="0"/>
        <w:adjustRightInd w:val="0"/>
        <w:spacing w:before="360"/>
      </w:pPr>
      <w:r>
        <w:t xml:space="preserve">En los siguientes cuadros se muestran las entidades federativas y ciudades </w:t>
      </w:r>
      <w:r w:rsidR="00EF3C53">
        <w:t xml:space="preserve">que en la primera quincena de enero de 2022 alcanzaron </w:t>
      </w:r>
      <w:r>
        <w:t>la</w:t>
      </w:r>
      <w:r w:rsidR="00EF3C53">
        <w:t>s</w:t>
      </w:r>
      <w:r>
        <w:t xml:space="preserve"> mayor</w:t>
      </w:r>
      <w:r w:rsidR="00EF3C53">
        <w:t>es</w:t>
      </w:r>
      <w:r>
        <w:t xml:space="preserve"> y menor</w:t>
      </w:r>
      <w:r w:rsidR="00EF3C53">
        <w:t xml:space="preserve">es </w:t>
      </w:r>
      <w:r>
        <w:t>variaci</w:t>
      </w:r>
      <w:r w:rsidR="00EF3C53">
        <w:t>ones</w:t>
      </w:r>
      <w:r>
        <w:t xml:space="preserve"> de</w:t>
      </w:r>
      <w:r w:rsidR="00EF3C53">
        <w:t>l</w:t>
      </w:r>
      <w:r>
        <w:t xml:space="preserve"> </w:t>
      </w:r>
      <w:r w:rsidR="00EF3C53">
        <w:t>INPC</w:t>
      </w:r>
      <w:r>
        <w:t>.</w:t>
      </w:r>
    </w:p>
    <w:p w14:paraId="7BF28142" w14:textId="77777777" w:rsidR="007E5A9D" w:rsidRPr="003C74AD" w:rsidRDefault="007E5A9D" w:rsidP="007E5A9D">
      <w:pPr>
        <w:pStyle w:val="n01"/>
        <w:keepNext/>
        <w:spacing w:before="360"/>
        <w:ind w:left="0" w:firstLine="0"/>
        <w:jc w:val="center"/>
        <w:rPr>
          <w:rFonts w:ascii="Arial" w:hAnsi="Arial"/>
          <w:bCs/>
          <w:color w:val="auto"/>
          <w:sz w:val="20"/>
          <w:szCs w:val="20"/>
        </w:rPr>
      </w:pPr>
      <w:r>
        <w:rPr>
          <w:rFonts w:ascii="Arial" w:hAnsi="Arial"/>
          <w:bCs/>
          <w:color w:val="auto"/>
          <w:sz w:val="20"/>
          <w:szCs w:val="20"/>
        </w:rPr>
        <w:t>Cuadro</w:t>
      </w:r>
      <w:r w:rsidRPr="003C74AD">
        <w:rPr>
          <w:rFonts w:ascii="Arial" w:hAnsi="Arial"/>
          <w:bCs/>
          <w:color w:val="auto"/>
          <w:sz w:val="20"/>
          <w:szCs w:val="20"/>
        </w:rPr>
        <w:t xml:space="preserve"> </w:t>
      </w:r>
      <w:r>
        <w:rPr>
          <w:rFonts w:ascii="Arial" w:hAnsi="Arial"/>
          <w:bCs/>
          <w:color w:val="auto"/>
          <w:sz w:val="20"/>
          <w:szCs w:val="20"/>
        </w:rPr>
        <w:t>3</w:t>
      </w:r>
    </w:p>
    <w:p w14:paraId="2155B45E" w14:textId="5686B1F7" w:rsidR="007E5A9D" w:rsidRPr="00704894" w:rsidRDefault="002660A9" w:rsidP="007E5A9D">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704894">
        <w:rPr>
          <w:b/>
          <w:bCs/>
          <w:smallCaps/>
          <w:color w:val="000000" w:themeColor="text1"/>
          <w:spacing w:val="1"/>
          <w:sz w:val="22"/>
          <w:szCs w:val="22"/>
        </w:rPr>
        <w:t xml:space="preserve">ndice </w:t>
      </w:r>
      <w:r w:rsidR="005C0C11" w:rsidRP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sidR="005C0C11">
        <w:rPr>
          <w:b/>
          <w:bCs/>
          <w:smallCaps/>
          <w:color w:val="000000" w:themeColor="text1"/>
          <w:spacing w:val="1"/>
          <w:sz w:val="22"/>
          <w:szCs w:val="22"/>
        </w:rPr>
        <w:t>P</w:t>
      </w:r>
      <w:r w:rsidRPr="00704894">
        <w:rPr>
          <w:b/>
          <w:bCs/>
          <w:smallCaps/>
          <w:color w:val="000000" w:themeColor="text1"/>
          <w:spacing w:val="1"/>
          <w:sz w:val="22"/>
          <w:szCs w:val="22"/>
        </w:rPr>
        <w:t xml:space="preserve">recios al </w:t>
      </w:r>
      <w:r w:rsidR="005C0C11">
        <w:rPr>
          <w:b/>
          <w:bCs/>
          <w:smallCaps/>
          <w:color w:val="000000" w:themeColor="text1"/>
          <w:spacing w:val="1"/>
          <w:sz w:val="22"/>
          <w:szCs w:val="22"/>
        </w:rPr>
        <w:t>C</w:t>
      </w:r>
      <w:r w:rsidRPr="00704894">
        <w:rPr>
          <w:b/>
          <w:bCs/>
          <w:smallCaps/>
          <w:color w:val="000000" w:themeColor="text1"/>
          <w:spacing w:val="1"/>
          <w:sz w:val="22"/>
          <w:szCs w:val="22"/>
        </w:rPr>
        <w:t>onsumidor</w:t>
      </w:r>
    </w:p>
    <w:p w14:paraId="6FF5497F" w14:textId="684F3A56" w:rsidR="007E5A9D" w:rsidRPr="00704894" w:rsidRDefault="002660A9" w:rsidP="007E5A9D">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301174B0" w14:textId="77777777" w:rsidR="007E5A9D" w:rsidRPr="00676816" w:rsidRDefault="007E5A9D" w:rsidP="007E5A9D">
      <w:pPr>
        <w:widowControl w:val="0"/>
        <w:tabs>
          <w:tab w:val="left" w:pos="1220"/>
        </w:tabs>
        <w:autoSpaceDE w:val="0"/>
        <w:autoSpaceDN w:val="0"/>
        <w:adjustRightInd w:val="0"/>
        <w:jc w:val="center"/>
        <w:rPr>
          <w:bCs/>
          <w:color w:val="000000" w:themeColor="text1"/>
          <w:spacing w:val="1"/>
          <w:sz w:val="18"/>
          <w:szCs w:val="20"/>
        </w:rPr>
      </w:pPr>
      <w:r w:rsidRPr="00676816">
        <w:rPr>
          <w:bCs/>
          <w:color w:val="000000" w:themeColor="text1"/>
          <w:spacing w:val="1"/>
          <w:sz w:val="18"/>
          <w:szCs w:val="20"/>
        </w:rPr>
        <w:t>Primera quincena de enero de 2022</w:t>
      </w:r>
    </w:p>
    <w:p w14:paraId="28B65EFA" w14:textId="463F0469" w:rsidR="007E5A9D" w:rsidRPr="00A71198" w:rsidRDefault="00F161D9" w:rsidP="007E5A9D">
      <w:pPr>
        <w:autoSpaceDE w:val="0"/>
        <w:autoSpaceDN w:val="0"/>
        <w:adjustRightInd w:val="0"/>
        <w:jc w:val="center"/>
        <w:rPr>
          <w:color w:val="006600"/>
        </w:rPr>
      </w:pPr>
      <w:r w:rsidRPr="00F161D9">
        <w:rPr>
          <w:noProof/>
        </w:rPr>
        <w:drawing>
          <wp:inline distT="0" distB="0" distL="0" distR="0" wp14:anchorId="66F164EF" wp14:editId="31D8DA8A">
            <wp:extent cx="5972810" cy="1132158"/>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2158"/>
                    </a:xfrm>
                    <a:prstGeom prst="rect">
                      <a:avLst/>
                    </a:prstGeom>
                    <a:noFill/>
                    <a:ln>
                      <a:noFill/>
                    </a:ln>
                  </pic:spPr>
                </pic:pic>
              </a:graphicData>
            </a:graphic>
          </wp:inline>
        </w:drawing>
      </w:r>
    </w:p>
    <w:p w14:paraId="54BADBC6" w14:textId="77777777" w:rsidR="000748B1" w:rsidRPr="00204508" w:rsidRDefault="000748B1" w:rsidP="000748B1">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5785B023" w14:textId="77777777" w:rsidR="007E5A9D" w:rsidRPr="003C74AD" w:rsidRDefault="007E5A9D" w:rsidP="007E5A9D">
      <w:pPr>
        <w:pStyle w:val="n01"/>
        <w:keepNext/>
        <w:spacing w:before="360"/>
        <w:ind w:left="0" w:firstLine="0"/>
        <w:jc w:val="center"/>
        <w:rPr>
          <w:rFonts w:ascii="Arial" w:hAnsi="Arial"/>
          <w:bCs/>
          <w:color w:val="auto"/>
          <w:sz w:val="20"/>
          <w:szCs w:val="20"/>
        </w:rPr>
      </w:pPr>
      <w:r>
        <w:rPr>
          <w:rFonts w:ascii="Arial" w:hAnsi="Arial"/>
          <w:bCs/>
          <w:color w:val="auto"/>
          <w:sz w:val="20"/>
          <w:szCs w:val="20"/>
        </w:rPr>
        <w:lastRenderedPageBreak/>
        <w:t>Cuadro</w:t>
      </w:r>
      <w:r w:rsidRPr="003C74AD">
        <w:rPr>
          <w:rFonts w:ascii="Arial" w:hAnsi="Arial"/>
          <w:bCs/>
          <w:color w:val="auto"/>
          <w:sz w:val="20"/>
          <w:szCs w:val="20"/>
        </w:rPr>
        <w:t xml:space="preserve"> </w:t>
      </w:r>
      <w:r>
        <w:rPr>
          <w:rFonts w:ascii="Arial" w:hAnsi="Arial"/>
          <w:bCs/>
          <w:color w:val="auto"/>
          <w:sz w:val="20"/>
          <w:szCs w:val="20"/>
        </w:rPr>
        <w:t>4</w:t>
      </w:r>
    </w:p>
    <w:p w14:paraId="3EC31EE2" w14:textId="7FFDF2D6" w:rsidR="007E5A9D" w:rsidRPr="00A71198" w:rsidRDefault="002660A9" w:rsidP="007E5A9D">
      <w:pPr>
        <w:keepNext/>
        <w:keepLines/>
        <w:autoSpaceDE w:val="0"/>
        <w:autoSpaceDN w:val="0"/>
        <w:adjustRightInd w:val="0"/>
        <w:jc w:val="center"/>
        <w:rPr>
          <w:b/>
          <w:bCs/>
          <w:smallCaps/>
          <w:color w:val="000000" w:themeColor="text1"/>
          <w:spacing w:val="1"/>
        </w:rPr>
      </w:pPr>
      <w:r>
        <w:rPr>
          <w:b/>
          <w:bCs/>
          <w:smallCaps/>
          <w:color w:val="000000" w:themeColor="text1"/>
          <w:spacing w:val="1"/>
          <w:sz w:val="22"/>
          <w:szCs w:val="22"/>
        </w:rPr>
        <w:t>Í</w:t>
      </w:r>
      <w:r w:rsidRPr="00704894">
        <w:rPr>
          <w:b/>
          <w:bCs/>
          <w:smallCaps/>
          <w:color w:val="000000" w:themeColor="text1"/>
          <w:spacing w:val="1"/>
          <w:sz w:val="22"/>
          <w:szCs w:val="22"/>
        </w:rPr>
        <w:t>ndice</w:t>
      </w:r>
      <w:r w:rsidRPr="00A71198">
        <w:rPr>
          <w:b/>
          <w:bCs/>
          <w:smallCaps/>
          <w:color w:val="000000" w:themeColor="text1"/>
          <w:spacing w:val="1"/>
        </w:rPr>
        <w:t xml:space="preserve"> </w:t>
      </w:r>
      <w:r w:rsidR="005C0C11">
        <w:rPr>
          <w:b/>
          <w:bCs/>
          <w:smallCaps/>
          <w:color w:val="000000" w:themeColor="text1"/>
          <w:spacing w:val="1"/>
          <w:sz w:val="22"/>
          <w:szCs w:val="22"/>
        </w:rPr>
        <w:t>N</w:t>
      </w:r>
      <w:r w:rsidRPr="00704894">
        <w:rPr>
          <w:b/>
          <w:bCs/>
          <w:smallCaps/>
          <w:color w:val="000000" w:themeColor="text1"/>
          <w:spacing w:val="1"/>
          <w:sz w:val="22"/>
          <w:szCs w:val="22"/>
        </w:rPr>
        <w:t xml:space="preserve">acional de </w:t>
      </w:r>
      <w:r w:rsidR="005C0C11">
        <w:rPr>
          <w:b/>
          <w:bCs/>
          <w:smallCaps/>
          <w:color w:val="000000" w:themeColor="text1"/>
          <w:spacing w:val="1"/>
          <w:sz w:val="22"/>
          <w:szCs w:val="22"/>
        </w:rPr>
        <w:t>P</w:t>
      </w:r>
      <w:r w:rsidRPr="00704894">
        <w:rPr>
          <w:b/>
          <w:bCs/>
          <w:smallCaps/>
          <w:color w:val="000000" w:themeColor="text1"/>
          <w:spacing w:val="1"/>
          <w:sz w:val="22"/>
          <w:szCs w:val="22"/>
        </w:rPr>
        <w:t xml:space="preserve">recios al </w:t>
      </w:r>
      <w:r w:rsidR="005C0C11">
        <w:rPr>
          <w:b/>
          <w:bCs/>
          <w:smallCaps/>
          <w:color w:val="000000" w:themeColor="text1"/>
          <w:spacing w:val="1"/>
          <w:sz w:val="22"/>
          <w:szCs w:val="22"/>
        </w:rPr>
        <w:t>C</w:t>
      </w:r>
      <w:r w:rsidRPr="00704894">
        <w:rPr>
          <w:b/>
          <w:bCs/>
          <w:smallCaps/>
          <w:color w:val="000000" w:themeColor="text1"/>
          <w:spacing w:val="1"/>
          <w:sz w:val="22"/>
          <w:szCs w:val="22"/>
        </w:rPr>
        <w:t>onsumidor</w:t>
      </w:r>
    </w:p>
    <w:p w14:paraId="5E849AB8" w14:textId="6B9E6AE6" w:rsidR="007E5A9D" w:rsidRDefault="002660A9" w:rsidP="007E5A9D">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20305DC9" w14:textId="4D05DA57" w:rsidR="007E5A9D" w:rsidRPr="000748B1" w:rsidRDefault="007E5A9D" w:rsidP="000748B1">
      <w:pPr>
        <w:keepNext/>
        <w:keepLines/>
        <w:widowControl w:val="0"/>
        <w:tabs>
          <w:tab w:val="left" w:pos="1220"/>
        </w:tabs>
        <w:autoSpaceDE w:val="0"/>
        <w:autoSpaceDN w:val="0"/>
        <w:adjustRightInd w:val="0"/>
        <w:jc w:val="center"/>
        <w:rPr>
          <w:bCs/>
          <w:color w:val="000000" w:themeColor="text1"/>
          <w:spacing w:val="1"/>
          <w:sz w:val="18"/>
          <w:szCs w:val="20"/>
        </w:rPr>
      </w:pPr>
      <w:r w:rsidRPr="000748B1">
        <w:rPr>
          <w:bCs/>
          <w:color w:val="000000" w:themeColor="text1"/>
          <w:spacing w:val="1"/>
          <w:sz w:val="18"/>
          <w:szCs w:val="20"/>
        </w:rPr>
        <w:t xml:space="preserve">Primera quincena de enero </w:t>
      </w:r>
      <w:r w:rsidR="00F161D9">
        <w:rPr>
          <w:bCs/>
          <w:color w:val="000000" w:themeColor="text1"/>
          <w:spacing w:val="1"/>
          <w:sz w:val="18"/>
          <w:szCs w:val="20"/>
        </w:rPr>
        <w:t xml:space="preserve">de </w:t>
      </w:r>
      <w:r w:rsidRPr="000748B1">
        <w:rPr>
          <w:bCs/>
          <w:color w:val="000000" w:themeColor="text1"/>
          <w:spacing w:val="1"/>
          <w:sz w:val="18"/>
          <w:szCs w:val="20"/>
        </w:rPr>
        <w:t>2022</w:t>
      </w:r>
    </w:p>
    <w:p w14:paraId="7A8AB2CB" w14:textId="3EC8404C" w:rsidR="007E5A9D" w:rsidRPr="00A71198" w:rsidRDefault="00F161D9" w:rsidP="007E5A9D">
      <w:pPr>
        <w:widowControl w:val="0"/>
        <w:tabs>
          <w:tab w:val="left" w:pos="1220"/>
        </w:tabs>
        <w:autoSpaceDE w:val="0"/>
        <w:autoSpaceDN w:val="0"/>
        <w:adjustRightInd w:val="0"/>
        <w:jc w:val="center"/>
        <w:rPr>
          <w:bCs/>
          <w:color w:val="000000" w:themeColor="text1"/>
          <w:spacing w:val="1"/>
        </w:rPr>
      </w:pPr>
      <w:r w:rsidRPr="00F161D9">
        <w:rPr>
          <w:noProof/>
        </w:rPr>
        <w:drawing>
          <wp:inline distT="0" distB="0" distL="0" distR="0" wp14:anchorId="50969D64" wp14:editId="4D3F8A17">
            <wp:extent cx="5972810" cy="190661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6610"/>
                    </a:xfrm>
                    <a:prstGeom prst="rect">
                      <a:avLst/>
                    </a:prstGeom>
                    <a:noFill/>
                    <a:ln>
                      <a:noFill/>
                    </a:ln>
                  </pic:spPr>
                </pic:pic>
              </a:graphicData>
            </a:graphic>
          </wp:inline>
        </w:drawing>
      </w:r>
    </w:p>
    <w:p w14:paraId="3BD7E162" w14:textId="77777777" w:rsidR="000748B1" w:rsidRPr="00204508" w:rsidRDefault="000748B1" w:rsidP="000748B1">
      <w:pPr>
        <w:autoSpaceDE w:val="0"/>
        <w:autoSpaceDN w:val="0"/>
        <w:adjustRightInd w:val="0"/>
        <w:ind w:left="283" w:right="113" w:hanging="170"/>
        <w:rPr>
          <w:rStyle w:val="Hipervnculo"/>
          <w:color w:val="auto"/>
          <w:sz w:val="16"/>
          <w:szCs w:val="28"/>
          <w:u w:val="none"/>
        </w:rPr>
      </w:pPr>
      <w:r w:rsidRPr="00204508">
        <w:rPr>
          <w:rStyle w:val="Hipervnculo"/>
          <w:color w:val="auto"/>
          <w:sz w:val="18"/>
          <w:szCs w:val="28"/>
          <w:u w:val="none"/>
        </w:rPr>
        <w:t>*</w:t>
      </w:r>
      <w:r w:rsidRPr="00204508">
        <w:rPr>
          <w:rStyle w:val="Hipervnculo"/>
          <w:color w:val="auto"/>
          <w:sz w:val="18"/>
          <w:szCs w:val="28"/>
          <w:u w:val="none"/>
        </w:rPr>
        <w:tab/>
      </w:r>
      <w:r w:rsidRPr="00204508">
        <w:rPr>
          <w:rStyle w:val="Hipervnculo"/>
          <w:color w:val="auto"/>
          <w:sz w:val="16"/>
          <w:szCs w:val="28"/>
          <w:u w:val="none"/>
        </w:rPr>
        <w:t>Las desagregaciones del INPC sólo tienen valor informativo.</w:t>
      </w:r>
    </w:p>
    <w:p w14:paraId="4853203D" w14:textId="63DF7BFD" w:rsidR="000748B1" w:rsidRDefault="007E5A9D" w:rsidP="000748B1">
      <w:pPr>
        <w:widowControl w:val="0"/>
        <w:autoSpaceDE w:val="0"/>
        <w:autoSpaceDN w:val="0"/>
        <w:adjustRightInd w:val="0"/>
        <w:spacing w:before="240"/>
      </w:pPr>
      <w:r w:rsidRPr="005D3641">
        <w:t>A continuación</w:t>
      </w:r>
      <w:r w:rsidR="00EF3C53">
        <w:t>,</w:t>
      </w:r>
      <w:r w:rsidRPr="005D3641">
        <w:t xml:space="preserve"> se muestra </w:t>
      </w:r>
      <w:r w:rsidR="00EF3C53">
        <w:t xml:space="preserve">el comportamiento </w:t>
      </w:r>
      <w:r w:rsidR="00EF3C53" w:rsidRPr="005D3641">
        <w:t>duran</w:t>
      </w:r>
      <w:r w:rsidR="00EF3C53">
        <w:t>te la primera quincena de enero de 2022</w:t>
      </w:r>
      <w:r w:rsidR="00EF3C53" w:rsidRPr="0004061B">
        <w:t xml:space="preserve"> de los subíndices que integran al </w:t>
      </w:r>
      <w:r w:rsidRPr="005D3641">
        <w:t>INPC</w:t>
      </w:r>
      <w:r w:rsidR="00EF3C53">
        <w:t xml:space="preserve"> según</w:t>
      </w:r>
      <w:r w:rsidRPr="005D3641">
        <w:t xml:space="preserve"> la Clasificación del Consumo Individual por Finalidades (CCIF), utilizada internacionalmente para los índices de</w:t>
      </w:r>
      <w:r>
        <w:t xml:space="preserve"> precios al </w:t>
      </w:r>
      <w:r w:rsidRPr="00A71198">
        <w:t>consumidor</w:t>
      </w:r>
      <w:r w:rsidRPr="000748B1">
        <w:rPr>
          <w:vertAlign w:val="superscript"/>
        </w:rPr>
        <w:footnoteReference w:id="2"/>
      </w:r>
      <w:r>
        <w:t xml:space="preserve">: </w:t>
      </w:r>
    </w:p>
    <w:p w14:paraId="764CC936" w14:textId="63EE4ED5" w:rsidR="007E5A9D" w:rsidRPr="003C74AD" w:rsidRDefault="007E5A9D" w:rsidP="007E5A9D">
      <w:pPr>
        <w:pStyle w:val="n01"/>
        <w:keepNext/>
        <w:spacing w:before="360"/>
        <w:ind w:left="0" w:firstLine="0"/>
        <w:jc w:val="center"/>
        <w:rPr>
          <w:rFonts w:ascii="Arial" w:hAnsi="Arial"/>
          <w:bCs/>
          <w:color w:val="auto"/>
          <w:sz w:val="20"/>
          <w:szCs w:val="20"/>
        </w:rPr>
      </w:pPr>
      <w:r w:rsidRPr="003C74AD">
        <w:rPr>
          <w:rFonts w:ascii="Arial" w:hAnsi="Arial"/>
          <w:bCs/>
          <w:color w:val="auto"/>
          <w:sz w:val="20"/>
          <w:szCs w:val="20"/>
        </w:rPr>
        <w:t>Cuadro 5</w:t>
      </w:r>
    </w:p>
    <w:p w14:paraId="7AD01FE3" w14:textId="0A4A1455" w:rsidR="007E5A9D" w:rsidRPr="002660A9" w:rsidRDefault="002660A9" w:rsidP="007E5A9D">
      <w:pPr>
        <w:keepNext/>
        <w:keepLine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Í</w:t>
      </w:r>
      <w:r w:rsidRPr="002660A9">
        <w:rPr>
          <w:b/>
          <w:bCs/>
          <w:smallCaps/>
          <w:color w:val="000000" w:themeColor="text1"/>
          <w:spacing w:val="1"/>
          <w:sz w:val="22"/>
          <w:szCs w:val="22"/>
        </w:rPr>
        <w:t xml:space="preserve">ndice </w:t>
      </w:r>
      <w:r w:rsidR="005C0C11">
        <w:rPr>
          <w:b/>
          <w:bCs/>
          <w:smallCaps/>
          <w:color w:val="000000" w:themeColor="text1"/>
          <w:spacing w:val="1"/>
          <w:sz w:val="22"/>
          <w:szCs w:val="22"/>
        </w:rPr>
        <w:t>N</w:t>
      </w:r>
      <w:r w:rsidRPr="002660A9">
        <w:rPr>
          <w:b/>
          <w:bCs/>
          <w:smallCaps/>
          <w:color w:val="000000" w:themeColor="text1"/>
          <w:spacing w:val="1"/>
          <w:sz w:val="22"/>
          <w:szCs w:val="22"/>
        </w:rPr>
        <w:t xml:space="preserve">acional de </w:t>
      </w:r>
      <w:r w:rsidR="005C0C11">
        <w:rPr>
          <w:b/>
          <w:bCs/>
          <w:smallCaps/>
          <w:color w:val="000000" w:themeColor="text1"/>
          <w:spacing w:val="1"/>
          <w:sz w:val="22"/>
          <w:szCs w:val="22"/>
        </w:rPr>
        <w:t>P</w:t>
      </w:r>
      <w:r w:rsidRPr="002660A9">
        <w:rPr>
          <w:b/>
          <w:bCs/>
          <w:smallCaps/>
          <w:color w:val="000000" w:themeColor="text1"/>
          <w:spacing w:val="1"/>
          <w:sz w:val="22"/>
          <w:szCs w:val="22"/>
        </w:rPr>
        <w:t xml:space="preserve">recios al </w:t>
      </w:r>
      <w:r w:rsidR="005C0C11">
        <w:rPr>
          <w:b/>
          <w:bCs/>
          <w:smallCaps/>
          <w:color w:val="000000" w:themeColor="text1"/>
          <w:spacing w:val="1"/>
          <w:sz w:val="22"/>
          <w:szCs w:val="22"/>
        </w:rPr>
        <w:t>C</w:t>
      </w:r>
      <w:r w:rsidRPr="002660A9">
        <w:rPr>
          <w:b/>
          <w:bCs/>
          <w:smallCaps/>
          <w:color w:val="000000" w:themeColor="text1"/>
          <w:spacing w:val="1"/>
          <w:sz w:val="22"/>
          <w:szCs w:val="22"/>
        </w:rPr>
        <w:t>onsumidor</w:t>
      </w:r>
    </w:p>
    <w:p w14:paraId="1D6450A9" w14:textId="5F2C9531" w:rsidR="007E5A9D" w:rsidRPr="002660A9" w:rsidRDefault="002660A9" w:rsidP="007E5A9D">
      <w:pPr>
        <w:keepNext/>
        <w:keepLines/>
        <w:autoSpaceDE w:val="0"/>
        <w:autoSpaceDN w:val="0"/>
        <w:adjustRightInd w:val="0"/>
        <w:jc w:val="center"/>
        <w:rPr>
          <w:smallCaps/>
          <w:sz w:val="22"/>
          <w:szCs w:val="22"/>
        </w:rPr>
      </w:pPr>
      <w:r w:rsidRPr="002660A9">
        <w:rPr>
          <w:b/>
          <w:bCs/>
          <w:smallCaps/>
          <w:color w:val="000000"/>
          <w:spacing w:val="1"/>
          <w:sz w:val="22"/>
          <w:szCs w:val="22"/>
        </w:rPr>
        <w:t>clasificación del consumo individual por finalidades</w:t>
      </w:r>
      <w:r w:rsidRPr="002660A9">
        <w:rPr>
          <w:smallCaps/>
          <w:sz w:val="22"/>
          <w:szCs w:val="22"/>
        </w:rPr>
        <w:t xml:space="preserve"> </w:t>
      </w:r>
    </w:p>
    <w:p w14:paraId="2C772D5A" w14:textId="77777777" w:rsidR="007E5A9D" w:rsidRPr="000748B1" w:rsidRDefault="007E5A9D" w:rsidP="007E5A9D">
      <w:pPr>
        <w:keepNext/>
        <w:keepLines/>
        <w:tabs>
          <w:tab w:val="left" w:pos="1220"/>
        </w:tabs>
        <w:autoSpaceDE w:val="0"/>
        <w:autoSpaceDN w:val="0"/>
        <w:adjustRightInd w:val="0"/>
        <w:jc w:val="center"/>
        <w:rPr>
          <w:bCs/>
          <w:color w:val="000000"/>
          <w:spacing w:val="1"/>
          <w:sz w:val="18"/>
          <w:szCs w:val="20"/>
        </w:rPr>
      </w:pPr>
      <w:r w:rsidRPr="000748B1">
        <w:rPr>
          <w:bCs/>
          <w:color w:val="000000"/>
          <w:spacing w:val="1"/>
          <w:sz w:val="18"/>
          <w:szCs w:val="20"/>
        </w:rPr>
        <w:t>Variación porcentual</w:t>
      </w:r>
    </w:p>
    <w:p w14:paraId="731393E2" w14:textId="3D0B9861" w:rsidR="007E5A9D" w:rsidRPr="00A71198" w:rsidRDefault="00F161D9" w:rsidP="007E5A9D">
      <w:pPr>
        <w:pStyle w:val="Prrafodelista"/>
        <w:keepNext/>
        <w:keepLines/>
        <w:autoSpaceDE w:val="0"/>
        <w:autoSpaceDN w:val="0"/>
        <w:adjustRightInd w:val="0"/>
        <w:ind w:left="0"/>
        <w:jc w:val="center"/>
      </w:pPr>
      <w:r w:rsidRPr="00F161D9">
        <w:rPr>
          <w:noProof/>
        </w:rPr>
        <w:drawing>
          <wp:inline distT="0" distB="0" distL="0" distR="0" wp14:anchorId="0C9A43F3" wp14:editId="0B9089F6">
            <wp:extent cx="5972810" cy="254608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6085"/>
                    </a:xfrm>
                    <a:prstGeom prst="rect">
                      <a:avLst/>
                    </a:prstGeom>
                    <a:noFill/>
                    <a:ln>
                      <a:noFill/>
                    </a:ln>
                  </pic:spPr>
                </pic:pic>
              </a:graphicData>
            </a:graphic>
          </wp:inline>
        </w:drawing>
      </w:r>
    </w:p>
    <w:p w14:paraId="3C947B10" w14:textId="77777777" w:rsidR="000748B1" w:rsidRPr="00204508" w:rsidRDefault="000748B1" w:rsidP="000748B1">
      <w:pPr>
        <w:autoSpaceDE w:val="0"/>
        <w:autoSpaceDN w:val="0"/>
        <w:adjustRightInd w:val="0"/>
        <w:ind w:left="283" w:right="113" w:hanging="170"/>
        <w:rPr>
          <w:sz w:val="16"/>
          <w:szCs w:val="16"/>
        </w:rPr>
      </w:pPr>
      <w:r w:rsidRPr="00204508">
        <w:rPr>
          <w:sz w:val="18"/>
          <w:szCs w:val="16"/>
          <w:vertAlign w:val="superscript"/>
        </w:rPr>
        <w:t>1/</w:t>
      </w:r>
      <w:r w:rsidRPr="00204508">
        <w:rPr>
          <w:sz w:val="18"/>
          <w:szCs w:val="16"/>
          <w:vertAlign w:val="superscript"/>
        </w:rPr>
        <w:tab/>
      </w:r>
      <w:r w:rsidRPr="00204508">
        <w:rPr>
          <w:sz w:val="16"/>
          <w:szCs w:val="16"/>
        </w:rPr>
        <w:t>Incluye productos y servicios de cuidado personal, relojes, maletas, seguro de automóvil, servicios funerarios y profesionales, entre otros</w:t>
      </w:r>
      <w:r w:rsidRPr="00321AF7">
        <w:rPr>
          <w:color w:val="006600"/>
          <w:sz w:val="16"/>
          <w:szCs w:val="16"/>
        </w:rPr>
        <w:t>.</w:t>
      </w:r>
    </w:p>
    <w:p w14:paraId="43184B77" w14:textId="167AF9F0" w:rsidR="00AA1D26" w:rsidRDefault="007E5A9D" w:rsidP="007E5A9D">
      <w:pPr>
        <w:autoSpaceDE w:val="0"/>
        <w:autoSpaceDN w:val="0"/>
        <w:adjustRightInd w:val="0"/>
        <w:spacing w:before="240"/>
        <w:rPr>
          <w:color w:val="000000" w:themeColor="text1"/>
        </w:rPr>
      </w:pPr>
      <w:r>
        <w:rPr>
          <w:color w:val="000000" w:themeColor="text1"/>
        </w:rPr>
        <w:lastRenderedPageBreak/>
        <w:t xml:space="preserve">Finalmente, en la primera quincena de enero de 2022,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Pr>
          <w:color w:val="000000" w:themeColor="text1"/>
        </w:rPr>
        <w:t xml:space="preserve"> registró un</w:t>
      </w:r>
      <w:r w:rsidR="00F161D9">
        <w:rPr>
          <w:color w:val="000000" w:themeColor="text1"/>
        </w:rPr>
        <w:t xml:space="preserve"> incremento</w:t>
      </w:r>
      <w:r>
        <w:rPr>
          <w:color w:val="000000" w:themeColor="text1"/>
        </w:rPr>
        <w:t xml:space="preserve"> quincenal de</w:t>
      </w:r>
      <w:r w:rsidRPr="00AF5DD6">
        <w:rPr>
          <w:color w:val="000000" w:themeColor="text1"/>
        </w:rPr>
        <w:t xml:space="preserve"> </w:t>
      </w:r>
      <w:r>
        <w:rPr>
          <w:color w:val="000000" w:themeColor="text1"/>
        </w:rPr>
        <w:t>0.52</w:t>
      </w:r>
      <w:r w:rsidR="00F161D9">
        <w:rPr>
          <w:color w:val="000000" w:themeColor="text1"/>
        </w:rPr>
        <w:t>%</w:t>
      </w:r>
      <w:r>
        <w:rPr>
          <w:color w:val="000000" w:themeColor="text1"/>
        </w:rPr>
        <w:t xml:space="preserve"> y </w:t>
      </w:r>
      <w:r w:rsidR="00F161D9">
        <w:rPr>
          <w:color w:val="000000" w:themeColor="text1"/>
        </w:rPr>
        <w:t xml:space="preserve">anual de </w:t>
      </w:r>
      <w:r>
        <w:rPr>
          <w:color w:val="000000" w:themeColor="text1"/>
        </w:rPr>
        <w:t>7.77</w:t>
      </w:r>
      <w:r w:rsidR="000748B1">
        <w:rPr>
          <w:color w:val="000000" w:themeColor="text1"/>
        </w:rPr>
        <w:t>%</w:t>
      </w:r>
      <w:r w:rsidR="003E1867">
        <w:rPr>
          <w:color w:val="000000" w:themeColor="text1"/>
        </w:rPr>
        <w:t>. E</w:t>
      </w:r>
      <w:r>
        <w:rPr>
          <w:color w:val="000000" w:themeColor="text1"/>
        </w:rPr>
        <w:t xml:space="preserv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21</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3E1867">
        <w:rPr>
          <w:color w:val="000000" w:themeColor="text1"/>
        </w:rPr>
        <w:t xml:space="preserve">de </w:t>
      </w:r>
      <w:r>
        <w:rPr>
          <w:color w:val="000000" w:themeColor="text1"/>
        </w:rPr>
        <w:t>0.71</w:t>
      </w:r>
      <w:r w:rsidRPr="00AF5DD6">
        <w:rPr>
          <w:color w:val="000000" w:themeColor="text1"/>
        </w:rPr>
        <w:t xml:space="preserve"> y </w:t>
      </w:r>
      <w:r>
        <w:rPr>
          <w:color w:val="000000" w:themeColor="text1"/>
        </w:rPr>
        <w:t>3.81</w:t>
      </w:r>
      <w:r w:rsidR="000748B1">
        <w:rPr>
          <w:color w:val="000000" w:themeColor="text1"/>
        </w:rPr>
        <w:t>%</w:t>
      </w:r>
      <w:r w:rsidR="00F161D9">
        <w:rPr>
          <w:color w:val="000000" w:themeColor="text1"/>
        </w:rPr>
        <w:t>, respectivamente</w:t>
      </w:r>
      <w:r>
        <w:rPr>
          <w:color w:val="000000" w:themeColor="text1"/>
        </w:rPr>
        <w:t>.</w:t>
      </w:r>
      <w:r w:rsidR="00AA1D26">
        <w:rPr>
          <w:color w:val="000000" w:themeColor="text1"/>
        </w:rPr>
        <w:t xml:space="preserve">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474CA5F5"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w:t>
      </w:r>
      <w:r w:rsidR="000748B1">
        <w:rPr>
          <w:lang w:val="es-MX"/>
        </w:rPr>
        <w:t>la</w:t>
      </w:r>
      <w:r w:rsidRPr="00695B57">
        <w:rPr>
          <w:lang w:val="es-MX"/>
        </w:rPr>
        <w:t xml:space="preserve"> COVID-19, a partir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0748B1">
        <w:rPr>
          <w:lang w:val="es-MX"/>
        </w:rPr>
        <w:t xml:space="preserve"> en tanto</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0FB22079"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0748B1">
        <w:rPr>
          <w:lang w:val="es-MX"/>
        </w:rPr>
        <w:t>enero de 2022</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w:t>
      </w:r>
      <w:r w:rsidR="00413162" w:rsidRPr="00413162">
        <w:rPr>
          <w:lang w:val="es-MX"/>
        </w:rPr>
        <w:t>ocurr</w:t>
      </w:r>
      <w:r w:rsidR="00F161D9">
        <w:rPr>
          <w:lang w:val="es-MX"/>
        </w:rPr>
        <w:t>e</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F161D9">
        <w:rPr>
          <w:lang w:val="es-MX"/>
        </w:rPr>
        <w:t xml:space="preserve">propio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0CAC807B" w:rsidR="00636E0F"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p w14:paraId="1AA9FBF6" w14:textId="77777777" w:rsidR="00F161D9" w:rsidRPr="00472632" w:rsidRDefault="00F161D9" w:rsidP="00F161D9">
      <w:pPr>
        <w:pStyle w:val="Texto"/>
        <w:autoSpaceDE w:val="0"/>
        <w:autoSpaceDN w:val="0"/>
        <w:adjustRightInd w:val="0"/>
        <w:spacing w:before="360" w:after="0" w:line="240" w:lineRule="auto"/>
        <w:ind w:firstLine="0"/>
        <w:jc w:val="center"/>
        <w:rPr>
          <w:b/>
          <w:sz w:val="22"/>
          <w:szCs w:val="24"/>
        </w:rPr>
      </w:pPr>
      <w:r w:rsidRPr="00472632">
        <w:rPr>
          <w:b/>
          <w:sz w:val="22"/>
          <w:szCs w:val="24"/>
        </w:rPr>
        <w:t>CERTIFICA</w:t>
      </w:r>
      <w:r>
        <w:rPr>
          <w:b/>
          <w:sz w:val="22"/>
          <w:szCs w:val="24"/>
        </w:rPr>
        <w:t>CIÓN ISO 9001:2015</w:t>
      </w:r>
    </w:p>
    <w:bookmarkEnd w:id="2"/>
    <w:p w14:paraId="3A872C33" w14:textId="431466A9" w:rsidR="006A3411" w:rsidRPr="00A71198" w:rsidRDefault="00EC1E5C" w:rsidP="00F161D9">
      <w:pPr>
        <w:pStyle w:val="Texto"/>
        <w:keepNext/>
        <w:keepLines/>
        <w:autoSpaceDE w:val="0"/>
        <w:autoSpaceDN w:val="0"/>
        <w:adjustRightInd w:val="0"/>
        <w:spacing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27A4F" w14:textId="77777777" w:rsidR="003B059B" w:rsidRDefault="003B059B">
      <w:r>
        <w:separator/>
      </w:r>
    </w:p>
  </w:endnote>
  <w:endnote w:type="continuationSeparator" w:id="0">
    <w:p w14:paraId="5516F348" w14:textId="77777777" w:rsidR="003B059B" w:rsidRDefault="003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E073" w14:textId="77777777" w:rsidR="005662FB" w:rsidRPr="00BB245B" w:rsidRDefault="005662FB"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5A4870" w:rsidRDefault="003B5757" w:rsidP="003076C4">
    <w:pPr>
      <w:pStyle w:val="Piedepgina"/>
      <w:jc w:val="center"/>
      <w:rPr>
        <w:b/>
        <w:color w:val="002060"/>
        <w:sz w:val="20"/>
        <w:szCs w:val="20"/>
        <w:lang w:val="es-MX"/>
      </w:rPr>
    </w:pPr>
    <w:r w:rsidRPr="005A487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5F30" w14:textId="77777777" w:rsidR="003B059B" w:rsidRDefault="003B059B">
      <w:r>
        <w:separator/>
      </w:r>
    </w:p>
  </w:footnote>
  <w:footnote w:type="continuationSeparator" w:id="0">
    <w:p w14:paraId="77447632" w14:textId="77777777" w:rsidR="003B059B" w:rsidRDefault="003B059B">
      <w:r>
        <w:continuationSeparator/>
      </w:r>
    </w:p>
  </w:footnote>
  <w:footnote w:id="1">
    <w:p w14:paraId="473BB15E" w14:textId="77777777" w:rsidR="005662FB" w:rsidRDefault="005662FB" w:rsidP="005662FB">
      <w:pPr>
        <w:pStyle w:val="Textonotapie"/>
        <w:ind w:left="170" w:hanging="170"/>
        <w:rPr>
          <w:sz w:val="16"/>
          <w:szCs w:val="16"/>
        </w:rPr>
      </w:pPr>
      <w:r w:rsidRPr="00866182">
        <w:rPr>
          <w:rStyle w:val="Refdenotaalpie"/>
          <w:color w:val="000000" w:themeColor="text1"/>
          <w:sz w:val="18"/>
          <w:szCs w:val="16"/>
        </w:rPr>
        <w:footnoteRef/>
      </w:r>
      <w:r w:rsidRPr="00866182">
        <w:rPr>
          <w:color w:val="000000" w:themeColor="text1"/>
          <w:sz w:val="16"/>
          <w:szCs w:val="16"/>
        </w:rPr>
        <w:tab/>
        <w:t xml:space="preserve">La inflación subyacente se obtiene eliminando del cálculo del INPC los bienes </w:t>
      </w:r>
      <w:r w:rsidRPr="00CA39BA">
        <w:rPr>
          <w:sz w:val="16"/>
          <w:szCs w:val="16"/>
        </w:rPr>
        <w:t>y servicios cuyos precios son más volátiles, o bien que su proceso de determinación no responde a condiciones de mercado. Así, los grupos que se excluyen son agropecuarios</w:t>
      </w:r>
      <w:r>
        <w:rPr>
          <w:sz w:val="16"/>
          <w:szCs w:val="16"/>
        </w:rPr>
        <w:t xml:space="preserve">, como los </w:t>
      </w:r>
      <w:r w:rsidRPr="00CA39BA">
        <w:rPr>
          <w:sz w:val="16"/>
          <w:szCs w:val="16"/>
        </w:rPr>
        <w:t xml:space="preserve">energéticos y tarifas autorizadas por distintos </w:t>
      </w:r>
      <w:r>
        <w:rPr>
          <w:sz w:val="16"/>
          <w:szCs w:val="16"/>
        </w:rPr>
        <w:t>ó</w:t>
      </w:r>
      <w:r w:rsidRPr="00CA39BA">
        <w:rPr>
          <w:sz w:val="16"/>
          <w:szCs w:val="16"/>
        </w:rPr>
        <w:t>rdenes de gobierno.</w:t>
      </w:r>
      <w:r>
        <w:rPr>
          <w:sz w:val="16"/>
          <w:szCs w:val="16"/>
        </w:rPr>
        <w:t xml:space="preserve"> </w:t>
      </w:r>
    </w:p>
    <w:p w14:paraId="58104707" w14:textId="77777777" w:rsidR="005662FB" w:rsidRDefault="005662FB" w:rsidP="005662FB">
      <w:pPr>
        <w:pStyle w:val="Textonotapie"/>
        <w:ind w:left="170" w:hanging="170"/>
        <w:rPr>
          <w:sz w:val="16"/>
          <w:szCs w:val="16"/>
        </w:rPr>
      </w:pPr>
    </w:p>
    <w:p w14:paraId="0381B642" w14:textId="77777777" w:rsidR="005662FB" w:rsidRDefault="005662FB" w:rsidP="005662FB">
      <w:pPr>
        <w:pStyle w:val="Textonotapie"/>
        <w:ind w:left="170" w:hanging="170"/>
        <w:rPr>
          <w:sz w:val="16"/>
          <w:szCs w:val="16"/>
        </w:rPr>
      </w:pPr>
    </w:p>
    <w:p w14:paraId="2239A5DF" w14:textId="77777777" w:rsidR="005662FB" w:rsidRPr="00FF1F34" w:rsidRDefault="005662FB" w:rsidP="005662FB">
      <w:pPr>
        <w:pStyle w:val="Textonotapie"/>
        <w:ind w:left="170" w:hanging="170"/>
        <w:rPr>
          <w:sz w:val="16"/>
          <w:szCs w:val="16"/>
        </w:rPr>
      </w:pPr>
    </w:p>
  </w:footnote>
  <w:footnote w:id="2">
    <w:p w14:paraId="2C6CA5F9" w14:textId="57E174A2" w:rsidR="007E5A9D" w:rsidRPr="00CA39BA" w:rsidRDefault="007E5A9D" w:rsidP="007E5A9D">
      <w:pPr>
        <w:pStyle w:val="Textonotapie"/>
        <w:ind w:left="170" w:hanging="170"/>
        <w:rPr>
          <w:sz w:val="16"/>
          <w:szCs w:val="16"/>
          <w:lang w:val="es-MX"/>
        </w:rPr>
      </w:pPr>
      <w:r w:rsidRPr="00F7583A">
        <w:rPr>
          <w:rStyle w:val="Refdenotaalpie"/>
          <w:sz w:val="18"/>
          <w:szCs w:val="16"/>
        </w:rPr>
        <w:footnoteRef/>
      </w:r>
      <w:r w:rsidRPr="00F7583A">
        <w:rPr>
          <w:sz w:val="18"/>
          <w:szCs w:val="16"/>
        </w:rPr>
        <w:tab/>
      </w:r>
      <w:r w:rsidRPr="00C841B1">
        <w:rPr>
          <w:i/>
          <w:sz w:val="16"/>
          <w:szCs w:val="16"/>
        </w:rPr>
        <w:t>Manual del Índice de Precios al Consumidor: Teoría y Práctica</w:t>
      </w:r>
      <w:r>
        <w:rPr>
          <w:sz w:val="16"/>
          <w:szCs w:val="16"/>
        </w:rPr>
        <w:t>, p</w:t>
      </w:r>
      <w:r w:rsidR="00F161D9">
        <w:rPr>
          <w:sz w:val="16"/>
          <w:szCs w:val="16"/>
        </w:rPr>
        <w:t>á</w:t>
      </w:r>
      <w:r>
        <w:rPr>
          <w:sz w:val="16"/>
          <w:szCs w:val="16"/>
        </w:rPr>
        <w:t>gina 26. OIT, FMI, OCDE, Eurostat, UNECE, Banco Mundial.</w:t>
      </w:r>
    </w:p>
  </w:footnote>
  <w:footnote w:id="3">
    <w:p w14:paraId="0C489E4D" w14:textId="77777777" w:rsidR="007E5A9D" w:rsidRPr="009C5908" w:rsidRDefault="007E5A9D" w:rsidP="007E5A9D">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0FB7" w14:textId="09DF2F1B" w:rsidR="005662FB" w:rsidRPr="00265B8C" w:rsidRDefault="005662FB" w:rsidP="00F41FAF">
    <w:pPr>
      <w:pStyle w:val="Encabezado"/>
      <w:framePr w:w="5518" w:hSpace="141" w:wrap="auto" w:vAnchor="text" w:hAnchor="page" w:x="5575" w:y="31"/>
      <w:ind w:left="567" w:hanging="11"/>
      <w:jc w:val="right"/>
      <w:rPr>
        <w:b/>
        <w:color w:val="002060"/>
      </w:rPr>
    </w:pPr>
    <w:r w:rsidRPr="00265B8C">
      <w:rPr>
        <w:b/>
        <w:color w:val="002060"/>
      </w:rPr>
      <w:t xml:space="preserve">COMUNICADO DE PRENSA NÚM. </w:t>
    </w:r>
    <w:r w:rsidR="00F41FAF">
      <w:rPr>
        <w:b/>
        <w:color w:val="002060"/>
      </w:rPr>
      <w:t>23</w:t>
    </w:r>
    <w:r w:rsidRPr="00265B8C">
      <w:rPr>
        <w:b/>
        <w:color w:val="002060"/>
      </w:rPr>
      <w:t>/</w:t>
    </w:r>
    <w:r>
      <w:rPr>
        <w:b/>
        <w:color w:val="002060"/>
      </w:rPr>
      <w:t>22</w:t>
    </w:r>
  </w:p>
  <w:p w14:paraId="5C709FB1" w14:textId="77777777" w:rsidR="005662FB" w:rsidRPr="00265B8C" w:rsidRDefault="005662FB" w:rsidP="00F41FAF">
    <w:pPr>
      <w:pStyle w:val="Encabezado"/>
      <w:framePr w:w="5518" w:hSpace="141" w:wrap="auto" w:vAnchor="text" w:hAnchor="page" w:x="5575" w:y="31"/>
      <w:ind w:left="567" w:hanging="11"/>
      <w:jc w:val="right"/>
      <w:rPr>
        <w:b/>
        <w:color w:val="002060"/>
        <w:lang w:val="pt-BR"/>
      </w:rPr>
    </w:pPr>
    <w:r>
      <w:rPr>
        <w:b/>
        <w:color w:val="002060"/>
        <w:lang w:val="pt-BR"/>
      </w:rPr>
      <w:t xml:space="preserve">24 </w:t>
    </w:r>
    <w:r w:rsidRPr="00265B8C">
      <w:rPr>
        <w:b/>
        <w:color w:val="002060"/>
        <w:lang w:val="pt-BR"/>
      </w:rPr>
      <w:t>D</w:t>
    </w:r>
    <w:r>
      <w:rPr>
        <w:b/>
        <w:color w:val="002060"/>
        <w:lang w:val="pt-BR"/>
      </w:rPr>
      <w:t>E ENERO D</w:t>
    </w:r>
    <w:r w:rsidRPr="00265B8C">
      <w:rPr>
        <w:b/>
        <w:color w:val="002060"/>
        <w:lang w:val="pt-BR"/>
      </w:rPr>
      <w:t>E 20</w:t>
    </w:r>
    <w:r>
      <w:rPr>
        <w:b/>
        <w:color w:val="002060"/>
        <w:lang w:val="pt-BR"/>
      </w:rPr>
      <w:t>22</w:t>
    </w:r>
  </w:p>
  <w:p w14:paraId="67AB3CB0" w14:textId="7835944B" w:rsidR="005662FB" w:rsidRPr="00265B8C" w:rsidRDefault="005662FB" w:rsidP="00F41FAF">
    <w:pPr>
      <w:pStyle w:val="Encabezado"/>
      <w:framePr w:w="5518" w:hSpace="141" w:wrap="auto" w:vAnchor="text" w:hAnchor="page" w:x="557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sidR="00DD0E1D">
      <w:rPr>
        <w:b/>
        <w:color w:val="002060"/>
        <w:lang w:val="pt-BR"/>
      </w:rPr>
      <w:t>12</w:t>
    </w:r>
  </w:p>
  <w:p w14:paraId="2F4421A7" w14:textId="77777777" w:rsidR="005662FB" w:rsidRDefault="005662FB" w:rsidP="007B5BED">
    <w:pPr>
      <w:pStyle w:val="Encabezado"/>
      <w:ind w:left="284"/>
    </w:pPr>
    <w:r>
      <w:rPr>
        <w:noProof/>
      </w:rPr>
      <w:drawing>
        <wp:inline distT="0" distB="0" distL="0" distR="0" wp14:anchorId="7B490C6D" wp14:editId="5266ED5C">
          <wp:extent cx="807892" cy="8391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58" cy="86740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32010C9B" w:rsidR="00BC75C4" w:rsidRDefault="00B940B6" w:rsidP="005662FB">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FE0BA8"/>
    <w:multiLevelType w:val="hybridMultilevel"/>
    <w:tmpl w:val="DAD020F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1F2BAE"/>
    <w:multiLevelType w:val="singleLevel"/>
    <w:tmpl w:val="FFFFFFFF"/>
    <w:lvl w:ilvl="0">
      <w:numFmt w:val="decimal"/>
      <w:lvlText w:val="*"/>
      <w:lvlJc w:val="left"/>
    </w:lvl>
  </w:abstractNum>
  <w:abstractNum w:abstractNumId="12"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3"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4"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1"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7"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72643ECB"/>
    <w:multiLevelType w:val="hybridMultilevel"/>
    <w:tmpl w:val="C352B3A6"/>
    <w:lvl w:ilvl="0" w:tplc="81143F46">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8"/>
  </w:num>
  <w:num w:numId="4">
    <w:abstractNumId w:val="11"/>
  </w:num>
  <w:num w:numId="5">
    <w:abstractNumId w:val="14"/>
  </w:num>
  <w:num w:numId="6">
    <w:abstractNumId w:val="6"/>
  </w:num>
  <w:num w:numId="7">
    <w:abstractNumId w:val="9"/>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6"/>
  </w:num>
  <w:num w:numId="12">
    <w:abstractNumId w:val="29"/>
  </w:num>
  <w:num w:numId="13">
    <w:abstractNumId w:val="31"/>
  </w:num>
  <w:num w:numId="14">
    <w:abstractNumId w:val="18"/>
  </w:num>
  <w:num w:numId="15">
    <w:abstractNumId w:val="15"/>
  </w:num>
  <w:num w:numId="16">
    <w:abstractNumId w:val="23"/>
  </w:num>
  <w:num w:numId="17">
    <w:abstractNumId w:val="17"/>
  </w:num>
  <w:num w:numId="18">
    <w:abstractNumId w:val="22"/>
  </w:num>
  <w:num w:numId="19">
    <w:abstractNumId w:val="10"/>
  </w:num>
  <w:num w:numId="20">
    <w:abstractNumId w:val="0"/>
  </w:num>
  <w:num w:numId="21">
    <w:abstractNumId w:val="16"/>
  </w:num>
  <w:num w:numId="22">
    <w:abstractNumId w:val="5"/>
  </w:num>
  <w:num w:numId="23">
    <w:abstractNumId w:val="20"/>
  </w:num>
  <w:num w:numId="24">
    <w:abstractNumId w:val="19"/>
  </w:num>
  <w:num w:numId="25">
    <w:abstractNumId w:val="24"/>
  </w:num>
  <w:num w:numId="26">
    <w:abstractNumId w:val="27"/>
  </w:num>
  <w:num w:numId="27">
    <w:abstractNumId w:val="13"/>
  </w:num>
  <w:num w:numId="28">
    <w:abstractNumId w:val="12"/>
  </w:num>
  <w:num w:numId="29">
    <w:abstractNumId w:val="2"/>
  </w:num>
  <w:num w:numId="30">
    <w:abstractNumId w:val="7"/>
  </w:num>
  <w:num w:numId="31">
    <w:abstractNumId w:val="21"/>
  </w:num>
  <w:num w:numId="32">
    <w:abstractNumId w:val="25"/>
  </w:num>
  <w:num w:numId="33">
    <w:abstractNumId w:val="3"/>
  </w:num>
  <w:num w:numId="34">
    <w:abstractNumId w:val="30"/>
  </w:num>
  <w:num w:numId="35">
    <w:abstractNumId w:val="2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48B1"/>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202E"/>
    <w:rsid w:val="000F3491"/>
    <w:rsid w:val="000F3986"/>
    <w:rsid w:val="000F3C45"/>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298"/>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59C6"/>
    <w:rsid w:val="001F60DA"/>
    <w:rsid w:val="001F65A4"/>
    <w:rsid w:val="001F65E0"/>
    <w:rsid w:val="001F6EE3"/>
    <w:rsid w:val="001F7362"/>
    <w:rsid w:val="001F7AE9"/>
    <w:rsid w:val="001F7CFD"/>
    <w:rsid w:val="002011D5"/>
    <w:rsid w:val="00201C2D"/>
    <w:rsid w:val="00203367"/>
    <w:rsid w:val="00204438"/>
    <w:rsid w:val="0020450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3F11"/>
    <w:rsid w:val="0024405D"/>
    <w:rsid w:val="00244516"/>
    <w:rsid w:val="00244745"/>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9AA"/>
    <w:rsid w:val="00253B15"/>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9E2"/>
    <w:rsid w:val="00262BA8"/>
    <w:rsid w:val="00262BC8"/>
    <w:rsid w:val="002636D4"/>
    <w:rsid w:val="002641D9"/>
    <w:rsid w:val="002643C5"/>
    <w:rsid w:val="00264917"/>
    <w:rsid w:val="00264D97"/>
    <w:rsid w:val="002651EC"/>
    <w:rsid w:val="00265DC2"/>
    <w:rsid w:val="002660A9"/>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879"/>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27F"/>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475"/>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0E8"/>
    <w:rsid w:val="002F11F9"/>
    <w:rsid w:val="002F1274"/>
    <w:rsid w:val="002F13E0"/>
    <w:rsid w:val="002F16CB"/>
    <w:rsid w:val="002F1742"/>
    <w:rsid w:val="002F1AB0"/>
    <w:rsid w:val="002F238B"/>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888"/>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AFD"/>
    <w:rsid w:val="003A5EEB"/>
    <w:rsid w:val="003A5F81"/>
    <w:rsid w:val="003A701E"/>
    <w:rsid w:val="003A7161"/>
    <w:rsid w:val="003A7200"/>
    <w:rsid w:val="003A75C6"/>
    <w:rsid w:val="003A79FF"/>
    <w:rsid w:val="003A7DFF"/>
    <w:rsid w:val="003A7E72"/>
    <w:rsid w:val="003B00E9"/>
    <w:rsid w:val="003B02DF"/>
    <w:rsid w:val="003B059B"/>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1867"/>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0FC"/>
    <w:rsid w:val="00417F13"/>
    <w:rsid w:val="004203CA"/>
    <w:rsid w:val="004208D7"/>
    <w:rsid w:val="00420CA2"/>
    <w:rsid w:val="00421878"/>
    <w:rsid w:val="004219C1"/>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15F"/>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5A9"/>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49A0"/>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019"/>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2FB"/>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D35"/>
    <w:rsid w:val="005777C8"/>
    <w:rsid w:val="00577AD5"/>
    <w:rsid w:val="00577F23"/>
    <w:rsid w:val="00580414"/>
    <w:rsid w:val="00580A50"/>
    <w:rsid w:val="00580A72"/>
    <w:rsid w:val="0058107B"/>
    <w:rsid w:val="0058149F"/>
    <w:rsid w:val="0058161B"/>
    <w:rsid w:val="005817A5"/>
    <w:rsid w:val="00581B22"/>
    <w:rsid w:val="00581DF3"/>
    <w:rsid w:val="00582853"/>
    <w:rsid w:val="00582893"/>
    <w:rsid w:val="00582C76"/>
    <w:rsid w:val="00583A87"/>
    <w:rsid w:val="0058403B"/>
    <w:rsid w:val="005842BA"/>
    <w:rsid w:val="005843E6"/>
    <w:rsid w:val="005845FA"/>
    <w:rsid w:val="00584AC0"/>
    <w:rsid w:val="00585C21"/>
    <w:rsid w:val="00586B7C"/>
    <w:rsid w:val="00586F8F"/>
    <w:rsid w:val="005874CD"/>
    <w:rsid w:val="00587515"/>
    <w:rsid w:val="00587597"/>
    <w:rsid w:val="00587A79"/>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5DF"/>
    <w:rsid w:val="005A09E5"/>
    <w:rsid w:val="005A1473"/>
    <w:rsid w:val="005A19FF"/>
    <w:rsid w:val="005A2074"/>
    <w:rsid w:val="005A24AE"/>
    <w:rsid w:val="005A3394"/>
    <w:rsid w:val="005A403A"/>
    <w:rsid w:val="005A43BE"/>
    <w:rsid w:val="005A4624"/>
    <w:rsid w:val="005A4870"/>
    <w:rsid w:val="005A5011"/>
    <w:rsid w:val="005A508D"/>
    <w:rsid w:val="005A60BA"/>
    <w:rsid w:val="005A6E09"/>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00"/>
    <w:rsid w:val="005B5DBE"/>
    <w:rsid w:val="005B66DA"/>
    <w:rsid w:val="005B6927"/>
    <w:rsid w:val="005B698D"/>
    <w:rsid w:val="005B6B33"/>
    <w:rsid w:val="005B6B72"/>
    <w:rsid w:val="005B6BFD"/>
    <w:rsid w:val="005B7331"/>
    <w:rsid w:val="005B75B6"/>
    <w:rsid w:val="005B789E"/>
    <w:rsid w:val="005B7F6E"/>
    <w:rsid w:val="005C043D"/>
    <w:rsid w:val="005C0C11"/>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E8B"/>
    <w:rsid w:val="00672FC9"/>
    <w:rsid w:val="00673881"/>
    <w:rsid w:val="00673BA4"/>
    <w:rsid w:val="00674C5D"/>
    <w:rsid w:val="00674ED8"/>
    <w:rsid w:val="00675793"/>
    <w:rsid w:val="006759A7"/>
    <w:rsid w:val="00675C5E"/>
    <w:rsid w:val="00676816"/>
    <w:rsid w:val="00676F0B"/>
    <w:rsid w:val="006773D1"/>
    <w:rsid w:val="006801BB"/>
    <w:rsid w:val="006802E3"/>
    <w:rsid w:val="00680CC6"/>
    <w:rsid w:val="0068122E"/>
    <w:rsid w:val="0068241B"/>
    <w:rsid w:val="00683889"/>
    <w:rsid w:val="006838CA"/>
    <w:rsid w:val="006842A2"/>
    <w:rsid w:val="006844B8"/>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B767F"/>
    <w:rsid w:val="006C0867"/>
    <w:rsid w:val="006C12F3"/>
    <w:rsid w:val="006C215A"/>
    <w:rsid w:val="006C24C7"/>
    <w:rsid w:val="006C273C"/>
    <w:rsid w:val="006C2FF1"/>
    <w:rsid w:val="006C374A"/>
    <w:rsid w:val="006C3A0F"/>
    <w:rsid w:val="006C3B9C"/>
    <w:rsid w:val="006C479E"/>
    <w:rsid w:val="006C54EE"/>
    <w:rsid w:val="006C57FE"/>
    <w:rsid w:val="006C5AB5"/>
    <w:rsid w:val="006C6332"/>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1E0"/>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56A"/>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5BED"/>
    <w:rsid w:val="007B69B8"/>
    <w:rsid w:val="007B69E8"/>
    <w:rsid w:val="007B6C17"/>
    <w:rsid w:val="007B6CF7"/>
    <w:rsid w:val="007B743C"/>
    <w:rsid w:val="007C009E"/>
    <w:rsid w:val="007C0165"/>
    <w:rsid w:val="007C048B"/>
    <w:rsid w:val="007C0508"/>
    <w:rsid w:val="007C057E"/>
    <w:rsid w:val="007C0643"/>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039"/>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5A9D"/>
    <w:rsid w:val="007E61B7"/>
    <w:rsid w:val="007E64FF"/>
    <w:rsid w:val="007E6A29"/>
    <w:rsid w:val="007E6F62"/>
    <w:rsid w:val="007E6FEA"/>
    <w:rsid w:val="007E7C7B"/>
    <w:rsid w:val="007E7E0F"/>
    <w:rsid w:val="007E7F8F"/>
    <w:rsid w:val="007F015E"/>
    <w:rsid w:val="007F1160"/>
    <w:rsid w:val="007F19B9"/>
    <w:rsid w:val="007F21B0"/>
    <w:rsid w:val="007F2773"/>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0DF"/>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947"/>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0D3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679FE"/>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55E"/>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703"/>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CF6"/>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0923"/>
    <w:rsid w:val="00AA1128"/>
    <w:rsid w:val="00AA1A7C"/>
    <w:rsid w:val="00AA1ADA"/>
    <w:rsid w:val="00AA1D26"/>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6B22"/>
    <w:rsid w:val="00AC7042"/>
    <w:rsid w:val="00AC752F"/>
    <w:rsid w:val="00AC7B8D"/>
    <w:rsid w:val="00AC7E49"/>
    <w:rsid w:val="00AD099F"/>
    <w:rsid w:val="00AD16B8"/>
    <w:rsid w:val="00AD1C10"/>
    <w:rsid w:val="00AD2565"/>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EF9"/>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4A3D"/>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3E3D"/>
    <w:rsid w:val="00C2455C"/>
    <w:rsid w:val="00C24638"/>
    <w:rsid w:val="00C26495"/>
    <w:rsid w:val="00C26B77"/>
    <w:rsid w:val="00C273ED"/>
    <w:rsid w:val="00C27447"/>
    <w:rsid w:val="00C27891"/>
    <w:rsid w:val="00C27D45"/>
    <w:rsid w:val="00C300F5"/>
    <w:rsid w:val="00C30AE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0F10"/>
    <w:rsid w:val="00C714F2"/>
    <w:rsid w:val="00C71A56"/>
    <w:rsid w:val="00C72FA0"/>
    <w:rsid w:val="00C730CC"/>
    <w:rsid w:val="00C73705"/>
    <w:rsid w:val="00C740DE"/>
    <w:rsid w:val="00C7532A"/>
    <w:rsid w:val="00C75721"/>
    <w:rsid w:val="00C760A6"/>
    <w:rsid w:val="00C762B7"/>
    <w:rsid w:val="00C763D3"/>
    <w:rsid w:val="00C76825"/>
    <w:rsid w:val="00C77B63"/>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6DC9"/>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5B6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54BD"/>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B0E"/>
    <w:rsid w:val="00DA50E4"/>
    <w:rsid w:val="00DA5BEB"/>
    <w:rsid w:val="00DA69F8"/>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05E"/>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0E1D"/>
    <w:rsid w:val="00DD12EF"/>
    <w:rsid w:val="00DD157D"/>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6B5"/>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0DE"/>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47E39"/>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2E8A"/>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0E67"/>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1009"/>
    <w:rsid w:val="00ED13EB"/>
    <w:rsid w:val="00ED1462"/>
    <w:rsid w:val="00ED14A1"/>
    <w:rsid w:val="00ED17FA"/>
    <w:rsid w:val="00ED1856"/>
    <w:rsid w:val="00ED24B6"/>
    <w:rsid w:val="00ED25D2"/>
    <w:rsid w:val="00ED35A5"/>
    <w:rsid w:val="00ED35C0"/>
    <w:rsid w:val="00ED3F38"/>
    <w:rsid w:val="00ED4124"/>
    <w:rsid w:val="00ED462A"/>
    <w:rsid w:val="00ED49DF"/>
    <w:rsid w:val="00ED5030"/>
    <w:rsid w:val="00ED5424"/>
    <w:rsid w:val="00ED547D"/>
    <w:rsid w:val="00ED596C"/>
    <w:rsid w:val="00ED5ACF"/>
    <w:rsid w:val="00ED642C"/>
    <w:rsid w:val="00ED76BF"/>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5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1D9"/>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1FAF"/>
    <w:rsid w:val="00F42037"/>
    <w:rsid w:val="00F423F6"/>
    <w:rsid w:val="00F42415"/>
    <w:rsid w:val="00F424D3"/>
    <w:rsid w:val="00F4284C"/>
    <w:rsid w:val="00F43E81"/>
    <w:rsid w:val="00F443B0"/>
    <w:rsid w:val="00F444E7"/>
    <w:rsid w:val="00F447EA"/>
    <w:rsid w:val="00F44943"/>
    <w:rsid w:val="00F45159"/>
    <w:rsid w:val="00F453DF"/>
    <w:rsid w:val="00F46E7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E55"/>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93B"/>
    <w:rsid w:val="00FE4135"/>
    <w:rsid w:val="00FE4608"/>
    <w:rsid w:val="00FE4826"/>
    <w:rsid w:val="00FE5DD2"/>
    <w:rsid w:val="00FE66DF"/>
    <w:rsid w:val="00FE6845"/>
    <w:rsid w:val="00FE6AD1"/>
    <w:rsid w:val="00FE6C84"/>
    <w:rsid w:val="00FE78FD"/>
    <w:rsid w:val="00FE7BA2"/>
    <w:rsid w:val="00FF0586"/>
    <w:rsid w:val="00FF0724"/>
    <w:rsid w:val="00FF09BD"/>
    <w:rsid w:val="00FF1744"/>
    <w:rsid w:val="00FF1F3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paragraph" w:styleId="Revisin">
    <w:name w:val="Revision"/>
    <w:hidden/>
    <w:uiPriority w:val="99"/>
    <w:semiHidden/>
    <w:rsid w:val="00394888"/>
    <w:rPr>
      <w:rFonts w:ascii="Arial" w:hAnsi="Arial" w:cs="Arial"/>
      <w:sz w:val="24"/>
      <w:szCs w:val="24"/>
      <w:lang w:val="es-ES_tradnl" w:eastAsia="es-ES"/>
    </w:rPr>
  </w:style>
  <w:style w:type="character" w:styleId="Refdecomentario">
    <w:name w:val="annotation reference"/>
    <w:basedOn w:val="Fuentedeprrafopredeter"/>
    <w:semiHidden/>
    <w:unhideWhenUsed/>
    <w:rsid w:val="00DF50DE"/>
    <w:rPr>
      <w:sz w:val="16"/>
      <w:szCs w:val="16"/>
    </w:rPr>
  </w:style>
  <w:style w:type="paragraph" w:styleId="Asuntodelcomentario">
    <w:name w:val="annotation subject"/>
    <w:basedOn w:val="Textocomentario"/>
    <w:next w:val="Textocomentario"/>
    <w:link w:val="AsuntodelcomentarioCar"/>
    <w:semiHidden/>
    <w:unhideWhenUsed/>
    <w:rsid w:val="00DF50DE"/>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F50DE"/>
    <w:rPr>
      <w:rFonts w:ascii="Arial" w:hAnsi="Arial" w:cs="Arial"/>
      <w:b/>
      <w:bCs/>
      <w:lang w:val="es-ES_tradnl" w:eastAsia="es-ES"/>
    </w:rPr>
  </w:style>
  <w:style w:type="character" w:customStyle="1" w:styleId="PiedepginaCar">
    <w:name w:val="Pie de página Car"/>
    <w:basedOn w:val="Fuentedeprrafopredeter"/>
    <w:link w:val="Piedepgina"/>
    <w:uiPriority w:val="99"/>
    <w:rsid w:val="005662FB"/>
    <w:rPr>
      <w:rFonts w:ascii="Arial" w:hAnsi="Arial" w:cs="Arial"/>
      <w:sz w:val="24"/>
      <w:szCs w:val="24"/>
      <w:lang w:val="es-ES_tradnl" w:eastAsia="es-ES"/>
    </w:rPr>
  </w:style>
  <w:style w:type="paragraph" w:customStyle="1" w:styleId="p01">
    <w:name w:val="p01"/>
    <w:basedOn w:val="Normal"/>
    <w:next w:val="p0"/>
    <w:rsid w:val="005662FB"/>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640780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212580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1.%20INPC%20%20%201a%20q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F8-49F9-A83C-4D5158BEA04A}"/>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F8-49F9-A83C-4D5158BEA04A}"/>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F8-49F9-A83C-4D5158BEA04A}"/>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F8-49F9-A83C-4D5158BEA04A}"/>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F8-49F9-A83C-4D5158BEA04A}"/>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F8-49F9-A83C-4D5158BEA04A}"/>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2018'!$R$395:$AA$395</c:f>
              <c:numCache>
                <c:formatCode>0.00</c:formatCode>
                <c:ptCount val="10"/>
                <c:pt idx="0">
                  <c:v>0.15377733042553998</c:v>
                </c:pt>
                <c:pt idx="1">
                  <c:v>0.67600841652861954</c:v>
                </c:pt>
                <c:pt idx="2">
                  <c:v>-0.18687403656530677</c:v>
                </c:pt>
                <c:pt idx="3">
                  <c:v>2.6949183945026958E-2</c:v>
                </c:pt>
                <c:pt idx="4">
                  <c:v>1.5131246227384643</c:v>
                </c:pt>
                <c:pt idx="5">
                  <c:v>0.23818066614248387</c:v>
                </c:pt>
                <c:pt idx="6">
                  <c:v>0.10971725959297765</c:v>
                </c:pt>
                <c:pt idx="7">
                  <c:v>0.2667169313415968</c:v>
                </c:pt>
                <c:pt idx="8">
                  <c:v>0.51383326933275908</c:v>
                </c:pt>
                <c:pt idx="9">
                  <c:v>0.38870041086315626</c:v>
                </c:pt>
              </c:numCache>
            </c:numRef>
          </c:val>
          <c:extLst>
            <c:ext xmlns:c16="http://schemas.microsoft.com/office/drawing/2014/chart" uri="{C3380CC4-5D6E-409C-BE32-E72D297353CC}">
              <c16:uniqueId val="{00000006-E4F8-49F9-A83C-4D5158BEA04A}"/>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1.6"/>
          <c:min val="-0.4"/>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2"/>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5B-4D9D-86E4-DFD480725753}"/>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2018'!$R$410:$AA$410</c:f>
              <c:numCache>
                <c:formatCode>0.00</c:formatCode>
                <c:ptCount val="10"/>
                <c:pt idx="0">
                  <c:v>0.1770481522511326</c:v>
                </c:pt>
                <c:pt idx="1">
                  <c:v>0.69109392041353035</c:v>
                </c:pt>
                <c:pt idx="2">
                  <c:v>-9.174899646457732E-2</c:v>
                </c:pt>
                <c:pt idx="3">
                  <c:v>0.08</c:v>
                </c:pt>
                <c:pt idx="4">
                  <c:v>0.36656411195420191</c:v>
                </c:pt>
                <c:pt idx="5">
                  <c:v>0.16898183937630226</c:v>
                </c:pt>
                <c:pt idx="6">
                  <c:v>0.08</c:v>
                </c:pt>
                <c:pt idx="7">
                  <c:v>0.20327326956505093</c:v>
                </c:pt>
                <c:pt idx="8">
                  <c:v>0.23554110139823348</c:v>
                </c:pt>
                <c:pt idx="9">
                  <c:v>0.34186263337822509</c:v>
                </c:pt>
              </c:numCache>
            </c:numRef>
          </c:val>
          <c:extLst>
            <c:ext xmlns:c16="http://schemas.microsoft.com/office/drawing/2014/chart" uri="{C3380CC4-5D6E-409C-BE32-E72D297353CC}">
              <c16:uniqueId val="{00000001-195B-4D9D-86E4-DFD480725753}"/>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5B-4D9D-86E4-DFD480725753}"/>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5B-4D9D-86E4-DFD480725753}"/>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5B-4D9D-86E4-DFD480725753}"/>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5B-4D9D-86E4-DFD480725753}"/>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5B-4D9D-86E4-DFD480725753}"/>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5B-4D9D-86E4-DFD480725753}"/>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2018'!$R$394:$AA$394</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'Datos base 2q jul 2018'!$R$425:$AA$425</c:f>
              <c:numCache>
                <c:formatCode>0.00</c:formatCode>
                <c:ptCount val="10"/>
                <c:pt idx="0">
                  <c:v>0.08</c:v>
                </c:pt>
                <c:pt idx="1">
                  <c:v>0.62732959204564542</c:v>
                </c:pt>
                <c:pt idx="2">
                  <c:v>-0.4751895588636223</c:v>
                </c:pt>
                <c:pt idx="3">
                  <c:v>-0.13023532508434754</c:v>
                </c:pt>
                <c:pt idx="4">
                  <c:v>5.0298071818851859</c:v>
                </c:pt>
                <c:pt idx="5">
                  <c:v>0.433617001848977</c:v>
                </c:pt>
                <c:pt idx="6">
                  <c:v>0.19210145941157558</c:v>
                </c:pt>
                <c:pt idx="7">
                  <c:v>0.45737318707207525</c:v>
                </c:pt>
                <c:pt idx="8">
                  <c:v>1.3703097147735397</c:v>
                </c:pt>
                <c:pt idx="9">
                  <c:v>0.52591419640147141</c:v>
                </c:pt>
              </c:numCache>
            </c:numRef>
          </c:val>
          <c:extLst>
            <c:ext xmlns:c16="http://schemas.microsoft.com/office/drawing/2014/chart" uri="{C3380CC4-5D6E-409C-BE32-E72D297353CC}">
              <c16:uniqueId val="{00000008-195B-4D9D-86E4-DFD480725753}"/>
            </c:ext>
          </c:extLst>
        </c:ser>
        <c:dLbls>
          <c:showLegendKey val="0"/>
          <c:showVal val="0"/>
          <c:showCatName val="0"/>
          <c:showSerName val="0"/>
          <c:showPercent val="0"/>
          <c:showBubbleSize val="0"/>
        </c:dLbls>
        <c:gapWidth val="40"/>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5.5"/>
          <c:min val="-1"/>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1"/>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B4-4611-A452-B7BE886C67D1}"/>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2018'!$A$173:$B$389</c:f>
              <c:multiLvlStrCache>
                <c:ptCount val="217"/>
                <c:lvl>
                  <c:pt idx="0">
                    <c:v>1qEne</c:v>
                  </c:pt>
                  <c:pt idx="1">
                    <c:v>2qEne</c:v>
                  </c:pt>
                  <c:pt idx="2">
                    <c:v>1qFeb</c:v>
                  </c:pt>
                  <c:pt idx="3">
                    <c:v>2qFeb</c:v>
                  </c:pt>
                  <c:pt idx="4">
                    <c:v>1qMar</c:v>
                  </c:pt>
                  <c:pt idx="5">
                    <c:v>2qMar</c:v>
                  </c:pt>
                  <c:pt idx="6">
                    <c:v>1qAbr</c:v>
                  </c:pt>
                  <c:pt idx="7">
                    <c:v>2qAbr</c:v>
                  </c:pt>
                  <c:pt idx="8">
                    <c:v>1qMay</c:v>
                  </c:pt>
                  <c:pt idx="9">
                    <c:v>2qMay</c:v>
                  </c:pt>
                  <c:pt idx="10">
                    <c:v>1qJun</c:v>
                  </c:pt>
                  <c:pt idx="11">
                    <c:v>2qJun</c:v>
                  </c:pt>
                  <c:pt idx="12">
                    <c:v>1qJul</c:v>
                  </c:pt>
                  <c:pt idx="13">
                    <c:v>2qJul</c:v>
                  </c:pt>
                  <c:pt idx="14">
                    <c:v>1qAgo</c:v>
                  </c:pt>
                  <c:pt idx="15">
                    <c:v>2qAgo</c:v>
                  </c:pt>
                  <c:pt idx="16">
                    <c:v>1qSep</c:v>
                  </c:pt>
                  <c:pt idx="17">
                    <c:v>2qSep</c:v>
                  </c:pt>
                  <c:pt idx="18">
                    <c:v>1qOct</c:v>
                  </c:pt>
                  <c:pt idx="19">
                    <c:v>2qOct</c:v>
                  </c:pt>
                  <c:pt idx="20">
                    <c:v>1qNov</c:v>
                  </c:pt>
                  <c:pt idx="21">
                    <c:v>2qNov</c:v>
                  </c:pt>
                  <c:pt idx="22">
                    <c:v>1qDic</c:v>
                  </c:pt>
                  <c:pt idx="23">
                    <c:v>2qDic</c:v>
                  </c:pt>
                  <c:pt idx="24">
                    <c:v>1qEne</c:v>
                  </c:pt>
                  <c:pt idx="25">
                    <c:v>2qEne</c:v>
                  </c:pt>
                  <c:pt idx="26">
                    <c:v>1qFeb</c:v>
                  </c:pt>
                  <c:pt idx="27">
                    <c:v>2qFeb</c:v>
                  </c:pt>
                  <c:pt idx="28">
                    <c:v>1qMar</c:v>
                  </c:pt>
                  <c:pt idx="29">
                    <c:v>2qMar</c:v>
                  </c:pt>
                  <c:pt idx="30">
                    <c:v>1qAbr</c:v>
                  </c:pt>
                  <c:pt idx="31">
                    <c:v>2qAbr</c:v>
                  </c:pt>
                  <c:pt idx="32">
                    <c:v>1qMay</c:v>
                  </c:pt>
                  <c:pt idx="33">
                    <c:v>2qMay</c:v>
                  </c:pt>
                  <c:pt idx="34">
                    <c:v>1qJun</c:v>
                  </c:pt>
                  <c:pt idx="35">
                    <c:v>2qJun</c:v>
                  </c:pt>
                  <c:pt idx="36">
                    <c:v>1qJul</c:v>
                  </c:pt>
                  <c:pt idx="37">
                    <c:v>2qJul</c:v>
                  </c:pt>
                  <c:pt idx="38">
                    <c:v>1qAgo</c:v>
                  </c:pt>
                  <c:pt idx="39">
                    <c:v>2qAgo</c:v>
                  </c:pt>
                  <c:pt idx="40">
                    <c:v>1qSep</c:v>
                  </c:pt>
                  <c:pt idx="41">
                    <c:v>2qSep</c:v>
                  </c:pt>
                  <c:pt idx="42">
                    <c:v>1qOct</c:v>
                  </c:pt>
                  <c:pt idx="43">
                    <c:v>2qOct</c:v>
                  </c:pt>
                  <c:pt idx="44">
                    <c:v>1qNov</c:v>
                  </c:pt>
                  <c:pt idx="45">
                    <c:v>2qNov</c:v>
                  </c:pt>
                  <c:pt idx="46">
                    <c:v>1qDic</c:v>
                  </c:pt>
                  <c:pt idx="47">
                    <c:v>2qDic</c:v>
                  </c:pt>
                  <c:pt idx="48">
                    <c:v>1qEne</c:v>
                  </c:pt>
                  <c:pt idx="49">
                    <c:v>2qEne</c:v>
                  </c:pt>
                  <c:pt idx="50">
                    <c:v>1qFeb</c:v>
                  </c:pt>
                  <c:pt idx="51">
                    <c:v>2qFeb</c:v>
                  </c:pt>
                  <c:pt idx="52">
                    <c:v>1qMar</c:v>
                  </c:pt>
                  <c:pt idx="53">
                    <c:v>2qMar</c:v>
                  </c:pt>
                  <c:pt idx="54">
                    <c:v>1qAbr</c:v>
                  </c:pt>
                  <c:pt idx="55">
                    <c:v>2qAbr</c:v>
                  </c:pt>
                  <c:pt idx="56">
                    <c:v>1qMay</c:v>
                  </c:pt>
                  <c:pt idx="57">
                    <c:v>2qMay</c:v>
                  </c:pt>
                  <c:pt idx="58">
                    <c:v>1qJun</c:v>
                  </c:pt>
                  <c:pt idx="59">
                    <c:v>2qJun</c:v>
                  </c:pt>
                  <c:pt idx="60">
                    <c:v>1qJul</c:v>
                  </c:pt>
                  <c:pt idx="61">
                    <c:v>2qJul</c:v>
                  </c:pt>
                  <c:pt idx="62">
                    <c:v>1qAgo</c:v>
                  </c:pt>
                  <c:pt idx="63">
                    <c:v>2qAgo</c:v>
                  </c:pt>
                  <c:pt idx="64">
                    <c:v>1qSep</c:v>
                  </c:pt>
                  <c:pt idx="65">
                    <c:v>2qSep</c:v>
                  </c:pt>
                  <c:pt idx="66">
                    <c:v>1qOct</c:v>
                  </c:pt>
                  <c:pt idx="67">
                    <c:v>2qOct</c:v>
                  </c:pt>
                  <c:pt idx="68">
                    <c:v>1qNov</c:v>
                  </c:pt>
                  <c:pt idx="69">
                    <c:v>2qNov</c:v>
                  </c:pt>
                  <c:pt idx="70">
                    <c:v>1qDic</c:v>
                  </c:pt>
                  <c:pt idx="71">
                    <c:v>2qDic</c:v>
                  </c:pt>
                  <c:pt idx="72">
                    <c:v>1qEne</c:v>
                  </c:pt>
                  <c:pt idx="73">
                    <c:v>2qEne</c:v>
                  </c:pt>
                  <c:pt idx="74">
                    <c:v>1qFeb</c:v>
                  </c:pt>
                  <c:pt idx="75">
                    <c:v>2qFeb</c:v>
                  </c:pt>
                  <c:pt idx="76">
                    <c:v>1qMar</c:v>
                  </c:pt>
                  <c:pt idx="77">
                    <c:v>2qMar</c:v>
                  </c:pt>
                  <c:pt idx="78">
                    <c:v>1qAbr</c:v>
                  </c:pt>
                  <c:pt idx="79">
                    <c:v>2qAbr</c:v>
                  </c:pt>
                  <c:pt idx="80">
                    <c:v>1qMay</c:v>
                  </c:pt>
                  <c:pt idx="81">
                    <c:v>2qMay</c:v>
                  </c:pt>
                  <c:pt idx="82">
                    <c:v>1qJun</c:v>
                  </c:pt>
                  <c:pt idx="83">
                    <c:v>2qJun</c:v>
                  </c:pt>
                  <c:pt idx="84">
                    <c:v>1qJul</c:v>
                  </c:pt>
                  <c:pt idx="85">
                    <c:v>2qJul</c:v>
                  </c:pt>
                  <c:pt idx="86">
                    <c:v>1qAgo</c:v>
                  </c:pt>
                  <c:pt idx="87">
                    <c:v>2qAgo</c:v>
                  </c:pt>
                  <c:pt idx="88">
                    <c:v>1qSep</c:v>
                  </c:pt>
                  <c:pt idx="89">
                    <c:v>2qSep</c:v>
                  </c:pt>
                  <c:pt idx="90">
                    <c:v>1qOct</c:v>
                  </c:pt>
                  <c:pt idx="91">
                    <c:v>2qOct</c:v>
                  </c:pt>
                  <c:pt idx="92">
                    <c:v>1qNov</c:v>
                  </c:pt>
                  <c:pt idx="93">
                    <c:v>2qNov</c:v>
                  </c:pt>
                  <c:pt idx="94">
                    <c:v>1qDic</c:v>
                  </c:pt>
                  <c:pt idx="95">
                    <c:v>2qDic</c:v>
                  </c:pt>
                  <c:pt idx="96">
                    <c:v>1qEne</c:v>
                  </c:pt>
                  <c:pt idx="97">
                    <c:v>2qEne</c:v>
                  </c:pt>
                  <c:pt idx="98">
                    <c:v>1qFeb</c:v>
                  </c:pt>
                  <c:pt idx="99">
                    <c:v>2qFeb</c:v>
                  </c:pt>
                  <c:pt idx="100">
                    <c:v>1qMar</c:v>
                  </c:pt>
                  <c:pt idx="101">
                    <c:v>2qMar</c:v>
                  </c:pt>
                  <c:pt idx="102">
                    <c:v>1qAbr</c:v>
                  </c:pt>
                  <c:pt idx="103">
                    <c:v>2qAbr</c:v>
                  </c:pt>
                  <c:pt idx="104">
                    <c:v>1qMay</c:v>
                  </c:pt>
                  <c:pt idx="105">
                    <c:v>2qMay</c:v>
                  </c:pt>
                  <c:pt idx="106">
                    <c:v>1qJun</c:v>
                  </c:pt>
                  <c:pt idx="107">
                    <c:v>2qJun</c:v>
                  </c:pt>
                  <c:pt idx="108">
                    <c:v>1qJul</c:v>
                  </c:pt>
                  <c:pt idx="109">
                    <c:v>2qJul</c:v>
                  </c:pt>
                  <c:pt idx="110">
                    <c:v>1qAgo</c:v>
                  </c:pt>
                  <c:pt idx="111">
                    <c:v>2qAgo</c:v>
                  </c:pt>
                  <c:pt idx="112">
                    <c:v>1qSep</c:v>
                  </c:pt>
                  <c:pt idx="113">
                    <c:v>2qSep</c:v>
                  </c:pt>
                  <c:pt idx="114">
                    <c:v>1qOct</c:v>
                  </c:pt>
                  <c:pt idx="115">
                    <c:v>2qOct</c:v>
                  </c:pt>
                  <c:pt idx="116">
                    <c:v>1qNov</c:v>
                  </c:pt>
                  <c:pt idx="117">
                    <c:v>2qNov</c:v>
                  </c:pt>
                  <c:pt idx="118">
                    <c:v>1qDic</c:v>
                  </c:pt>
                  <c:pt idx="119">
                    <c:v>2qDic</c:v>
                  </c:pt>
                  <c:pt idx="120">
                    <c:v>1qEne</c:v>
                  </c:pt>
                  <c:pt idx="121">
                    <c:v>2qEne</c:v>
                  </c:pt>
                  <c:pt idx="122">
                    <c:v>1qFeb</c:v>
                  </c:pt>
                  <c:pt idx="123">
                    <c:v>2qFeb</c:v>
                  </c:pt>
                  <c:pt idx="124">
                    <c:v>1qMar</c:v>
                  </c:pt>
                  <c:pt idx="125">
                    <c:v>2qMar</c:v>
                  </c:pt>
                  <c:pt idx="126">
                    <c:v>1qAbr</c:v>
                  </c:pt>
                  <c:pt idx="127">
                    <c:v>2qAbr</c:v>
                  </c:pt>
                  <c:pt idx="128">
                    <c:v>1qMay</c:v>
                  </c:pt>
                  <c:pt idx="129">
                    <c:v>2qMay</c:v>
                  </c:pt>
                  <c:pt idx="130">
                    <c:v>1qJun</c:v>
                  </c:pt>
                  <c:pt idx="131">
                    <c:v>2qJun</c:v>
                  </c:pt>
                  <c:pt idx="132">
                    <c:v>1qJul</c:v>
                  </c:pt>
                  <c:pt idx="133">
                    <c:v>2qJul</c:v>
                  </c:pt>
                  <c:pt idx="134">
                    <c:v>1qAgo</c:v>
                  </c:pt>
                  <c:pt idx="135">
                    <c:v>2qAgo</c:v>
                  </c:pt>
                  <c:pt idx="136">
                    <c:v>1qSep</c:v>
                  </c:pt>
                  <c:pt idx="137">
                    <c:v>2qSep</c:v>
                  </c:pt>
                  <c:pt idx="138">
                    <c:v>1qOct</c:v>
                  </c:pt>
                  <c:pt idx="139">
                    <c:v>2qOct</c:v>
                  </c:pt>
                  <c:pt idx="140">
                    <c:v>1qNov</c:v>
                  </c:pt>
                  <c:pt idx="141">
                    <c:v>2qNov</c:v>
                  </c:pt>
                  <c:pt idx="142">
                    <c:v>1qDic</c:v>
                  </c:pt>
                  <c:pt idx="143">
                    <c:v>2qDic</c:v>
                  </c:pt>
                  <c:pt idx="144">
                    <c:v>1qEne</c:v>
                  </c:pt>
                  <c:pt idx="145">
                    <c:v>2qEne</c:v>
                  </c:pt>
                  <c:pt idx="146">
                    <c:v>1qFeb</c:v>
                  </c:pt>
                  <c:pt idx="147">
                    <c:v>2qFeb</c:v>
                  </c:pt>
                  <c:pt idx="148">
                    <c:v>1qMar</c:v>
                  </c:pt>
                  <c:pt idx="149">
                    <c:v>2qMar</c:v>
                  </c:pt>
                  <c:pt idx="150">
                    <c:v>1qAbr</c:v>
                  </c:pt>
                  <c:pt idx="151">
                    <c:v>2qAbr</c:v>
                  </c:pt>
                  <c:pt idx="152">
                    <c:v>1qMay</c:v>
                  </c:pt>
                  <c:pt idx="153">
                    <c:v>2qMay</c:v>
                  </c:pt>
                  <c:pt idx="154">
                    <c:v>1qJun</c:v>
                  </c:pt>
                  <c:pt idx="155">
                    <c:v>2qJun</c:v>
                  </c:pt>
                  <c:pt idx="156">
                    <c:v>1qJul</c:v>
                  </c:pt>
                  <c:pt idx="157">
                    <c:v>2qJul</c:v>
                  </c:pt>
                  <c:pt idx="158">
                    <c:v>1qAgo</c:v>
                  </c:pt>
                  <c:pt idx="159">
                    <c:v>2qAgo</c:v>
                  </c:pt>
                  <c:pt idx="160">
                    <c:v>1qSep</c:v>
                  </c:pt>
                  <c:pt idx="161">
                    <c:v>2qSep</c:v>
                  </c:pt>
                  <c:pt idx="162">
                    <c:v>1qOct</c:v>
                  </c:pt>
                  <c:pt idx="163">
                    <c:v>2qOct</c:v>
                  </c:pt>
                  <c:pt idx="164">
                    <c:v>1qNov</c:v>
                  </c:pt>
                  <c:pt idx="165">
                    <c:v>2qNov</c:v>
                  </c:pt>
                  <c:pt idx="166">
                    <c:v>1qDic</c:v>
                  </c:pt>
                  <c:pt idx="167">
                    <c:v>2qDic</c:v>
                  </c:pt>
                  <c:pt idx="168">
                    <c:v>1qEne</c:v>
                  </c:pt>
                  <c:pt idx="169">
                    <c:v>2qEne</c:v>
                  </c:pt>
                  <c:pt idx="170">
                    <c:v>1qFeb</c:v>
                  </c:pt>
                  <c:pt idx="171">
                    <c:v>2qFeb</c:v>
                  </c:pt>
                  <c:pt idx="172">
                    <c:v>1qMar</c:v>
                  </c:pt>
                  <c:pt idx="173">
                    <c:v>2qMar</c:v>
                  </c:pt>
                  <c:pt idx="174">
                    <c:v>1qAbr</c:v>
                  </c:pt>
                  <c:pt idx="175">
                    <c:v>2qAbr</c:v>
                  </c:pt>
                  <c:pt idx="176">
                    <c:v>1qMay</c:v>
                  </c:pt>
                  <c:pt idx="177">
                    <c:v>2qMay</c:v>
                  </c:pt>
                  <c:pt idx="178">
                    <c:v>1qJun</c:v>
                  </c:pt>
                  <c:pt idx="179">
                    <c:v>2qJun</c:v>
                  </c:pt>
                  <c:pt idx="180">
                    <c:v>1qJul</c:v>
                  </c:pt>
                  <c:pt idx="181">
                    <c:v>2qJul</c:v>
                  </c:pt>
                  <c:pt idx="182">
                    <c:v>1qAgo</c:v>
                  </c:pt>
                  <c:pt idx="183">
                    <c:v>2qAgo</c:v>
                  </c:pt>
                  <c:pt idx="184">
                    <c:v>1qSep</c:v>
                  </c:pt>
                  <c:pt idx="185">
                    <c:v>2qSep</c:v>
                  </c:pt>
                  <c:pt idx="186">
                    <c:v>1qOct</c:v>
                  </c:pt>
                  <c:pt idx="187">
                    <c:v>2qOct</c:v>
                  </c:pt>
                  <c:pt idx="188">
                    <c:v>1qNov</c:v>
                  </c:pt>
                  <c:pt idx="189">
                    <c:v>2qNov</c:v>
                  </c:pt>
                  <c:pt idx="190">
                    <c:v>1qDic</c:v>
                  </c:pt>
                  <c:pt idx="191">
                    <c:v>2qDic</c:v>
                  </c:pt>
                  <c:pt idx="192">
                    <c:v>1qEne</c:v>
                  </c:pt>
                  <c:pt idx="193">
                    <c:v>2qEne</c:v>
                  </c:pt>
                  <c:pt idx="194">
                    <c:v>1qFeb</c:v>
                  </c:pt>
                  <c:pt idx="195">
                    <c:v>2qFeb</c:v>
                  </c:pt>
                  <c:pt idx="196">
                    <c:v>1qMar</c:v>
                  </c:pt>
                  <c:pt idx="197">
                    <c:v>2qMar</c:v>
                  </c:pt>
                  <c:pt idx="198">
                    <c:v>1qAbr</c:v>
                  </c:pt>
                  <c:pt idx="199">
                    <c:v>2qAbr</c:v>
                  </c:pt>
                  <c:pt idx="200">
                    <c:v>1qMay</c:v>
                  </c:pt>
                  <c:pt idx="201">
                    <c:v>2qMay</c:v>
                  </c:pt>
                  <c:pt idx="202">
                    <c:v>1qJun</c:v>
                  </c:pt>
                  <c:pt idx="203">
                    <c:v>2qJun</c:v>
                  </c:pt>
                  <c:pt idx="204">
                    <c:v>1qJul</c:v>
                  </c:pt>
                  <c:pt idx="205">
                    <c:v>2qJul</c:v>
                  </c:pt>
                  <c:pt idx="206">
                    <c:v>1qAgo</c:v>
                  </c:pt>
                  <c:pt idx="207">
                    <c:v>2qAgo</c:v>
                  </c:pt>
                  <c:pt idx="208">
                    <c:v>1qSep</c:v>
                  </c:pt>
                  <c:pt idx="209">
                    <c:v>2qSep</c:v>
                  </c:pt>
                  <c:pt idx="210">
                    <c:v>1qOct</c:v>
                  </c:pt>
                  <c:pt idx="211">
                    <c:v>2qOct</c:v>
                  </c:pt>
                  <c:pt idx="212">
                    <c:v>1qNov</c:v>
                  </c:pt>
                  <c:pt idx="213">
                    <c:v>2qNov</c:v>
                  </c:pt>
                  <c:pt idx="214">
                    <c:v>1qDic</c:v>
                  </c:pt>
                  <c:pt idx="215">
                    <c:v>2qDic</c:v>
                  </c:pt>
                  <c:pt idx="216">
                    <c:v>1qEne</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2022</c:v>
                  </c:pt>
                </c:lvl>
              </c:multiLvlStrCache>
            </c:multiLvlStrRef>
          </c:cat>
          <c:val>
            <c:numRef>
              <c:f>'Datos base 2q jul 2018'!$D$173:$D$389</c:f>
              <c:numCache>
                <c:formatCode>0.00</c:formatCode>
                <c:ptCount val="217"/>
                <c:pt idx="0">
                  <c:v>3.2107184018440211</c:v>
                </c:pt>
                <c:pt idx="1">
                  <c:v>3.2973345588235308</c:v>
                </c:pt>
                <c:pt idx="2">
                  <c:v>3.4720627631075369</c:v>
                </c:pt>
                <c:pt idx="3">
                  <c:v>3.634501440591146</c:v>
                </c:pt>
                <c:pt idx="4">
                  <c:v>4.1245299987562261</c:v>
                </c:pt>
                <c:pt idx="5">
                  <c:v>4.3809159575485159</c:v>
                </c:pt>
                <c:pt idx="6">
                  <c:v>4.7199339439675789</c:v>
                </c:pt>
                <c:pt idx="7">
                  <c:v>4.5800136144428123</c:v>
                </c:pt>
                <c:pt idx="8">
                  <c:v>4.7185534136778191</c:v>
                </c:pt>
                <c:pt idx="9">
                  <c:v>4.5444492523679036</c:v>
                </c:pt>
                <c:pt idx="10">
                  <c:v>4.2438079158912814</c:v>
                </c:pt>
                <c:pt idx="11">
                  <c:v>3.9316811788345425</c:v>
                </c:pt>
                <c:pt idx="12">
                  <c:v>3.528503483706158</c:v>
                </c:pt>
                <c:pt idx="13">
                  <c:v>3.4158326270581392</c:v>
                </c:pt>
                <c:pt idx="14">
                  <c:v>3.5443254655077352</c:v>
                </c:pt>
                <c:pt idx="15">
                  <c:v>3.3689423551288482</c:v>
                </c:pt>
                <c:pt idx="16">
                  <c:v>3.4599259939242977</c:v>
                </c:pt>
                <c:pt idx="17">
                  <c:v>3.3217097118664887</c:v>
                </c:pt>
                <c:pt idx="18">
                  <c:v>3.2720259654734472</c:v>
                </c:pt>
                <c:pt idx="19">
                  <c:v>3.4472049689440953</c:v>
                </c:pt>
                <c:pt idx="20">
                  <c:v>3.5108031896020431</c:v>
                </c:pt>
                <c:pt idx="21">
                  <c:v>3.7268126584409909</c:v>
                </c:pt>
                <c:pt idx="22">
                  <c:v>3.8602906879116397</c:v>
                </c:pt>
                <c:pt idx="23">
                  <c:v>4.0886130216779497</c:v>
                </c:pt>
                <c:pt idx="24">
                  <c:v>4.6313614918623145</c:v>
                </c:pt>
                <c:pt idx="25">
                  <c:v>4.335817298780249</c:v>
                </c:pt>
                <c:pt idx="26">
                  <c:v>4.2117818934987694</c:v>
                </c:pt>
                <c:pt idx="27">
                  <c:v>4.2551815864336904</c:v>
                </c:pt>
                <c:pt idx="28">
                  <c:v>3.8940752719788327</c:v>
                </c:pt>
                <c:pt idx="29">
                  <c:v>3.6227237753270081</c:v>
                </c:pt>
                <c:pt idx="30">
                  <c:v>3.5270926927661179</c:v>
                </c:pt>
                <c:pt idx="31">
                  <c:v>3.4672436238288107</c:v>
                </c:pt>
                <c:pt idx="32">
                  <c:v>3.4433905851832236</c:v>
                </c:pt>
                <c:pt idx="33">
                  <c:v>3.5779656184177719</c:v>
                </c:pt>
                <c:pt idx="34">
                  <c:v>3.7103156344897048</c:v>
                </c:pt>
                <c:pt idx="35">
                  <c:v>3.7958368241283909</c:v>
                </c:pt>
                <c:pt idx="36">
                  <c:v>4.001141605059888</c:v>
                </c:pt>
                <c:pt idx="37">
                  <c:v>4.144643547763315</c:v>
                </c:pt>
                <c:pt idx="38">
                  <c:v>4.0704989851305564</c:v>
                </c:pt>
                <c:pt idx="39">
                  <c:v>4.2283511541462131</c:v>
                </c:pt>
                <c:pt idx="40">
                  <c:v>4.2141177977187114</c:v>
                </c:pt>
                <c:pt idx="41">
                  <c:v>4.2200962189254909</c:v>
                </c:pt>
                <c:pt idx="42">
                  <c:v>4.319823636048949</c:v>
                </c:pt>
                <c:pt idx="43">
                  <c:v>4.275720276921116</c:v>
                </c:pt>
                <c:pt idx="44">
                  <c:v>4.1584730014974358</c:v>
                </c:pt>
                <c:pt idx="45">
                  <c:v>4.1791044776119204</c:v>
                </c:pt>
                <c:pt idx="46">
                  <c:v>4.191068156504886</c:v>
                </c:pt>
                <c:pt idx="47">
                  <c:v>3.9718852128754896</c:v>
                </c:pt>
                <c:pt idx="48">
                  <c:v>3.0807541800071165</c:v>
                </c:pt>
                <c:pt idx="49">
                  <c:v>3.0496579905836412</c:v>
                </c:pt>
                <c:pt idx="50">
                  <c:v>3.0353847245883201</c:v>
                </c:pt>
                <c:pt idx="51">
                  <c:v>2.9652270210409597</c:v>
                </c:pt>
                <c:pt idx="52">
                  <c:v>2.9724949146546393</c:v>
                </c:pt>
                <c:pt idx="53">
                  <c:v>3.3015990877509354</c:v>
                </c:pt>
                <c:pt idx="54">
                  <c:v>3.0270021343110427</c:v>
                </c:pt>
                <c:pt idx="55">
                  <c:v>3.0976430976431031</c:v>
                </c:pt>
                <c:pt idx="56">
                  <c:v>2.9303475507808314</c:v>
                </c:pt>
                <c:pt idx="57">
                  <c:v>2.8212163998188555</c:v>
                </c:pt>
                <c:pt idx="58">
                  <c:v>2.8739507728345943</c:v>
                </c:pt>
                <c:pt idx="59">
                  <c:v>2.8667222508027153</c:v>
                </c:pt>
                <c:pt idx="60">
                  <c:v>2.760146948169786</c:v>
                </c:pt>
                <c:pt idx="61">
                  <c:v>2.7188569306536725</c:v>
                </c:pt>
                <c:pt idx="62">
                  <c:v>2.6431212658741687</c:v>
                </c:pt>
                <c:pt idx="63">
                  <c:v>2.5325372924041352</c:v>
                </c:pt>
                <c:pt idx="64">
                  <c:v>2.5287457210567879</c:v>
                </c:pt>
                <c:pt idx="65">
                  <c:v>2.509039210868119</c:v>
                </c:pt>
                <c:pt idx="66">
                  <c:v>2.4730384665763943</c:v>
                </c:pt>
                <c:pt idx="67">
                  <c:v>2.4872844019088571</c:v>
                </c:pt>
                <c:pt idx="68">
                  <c:v>2.2672948349326192</c:v>
                </c:pt>
                <c:pt idx="69">
                  <c:v>2.1624148408487054</c:v>
                </c:pt>
                <c:pt idx="70">
                  <c:v>2.0026207348402476</c:v>
                </c:pt>
                <c:pt idx="71">
                  <c:v>2.2571283402657554</c:v>
                </c:pt>
                <c:pt idx="72">
                  <c:v>2.4761871893981242</c:v>
                </c:pt>
                <c:pt idx="73">
                  <c:v>2.7507909278208404</c:v>
                </c:pt>
                <c:pt idx="74">
                  <c:v>2.9356297093649055</c:v>
                </c:pt>
                <c:pt idx="75">
                  <c:v>2.7989537264889646</c:v>
                </c:pt>
                <c:pt idx="76">
                  <c:v>2.7131949394920647</c:v>
                </c:pt>
                <c:pt idx="77">
                  <c:v>2.4892608375691108</c:v>
                </c:pt>
                <c:pt idx="78">
                  <c:v>2.5985301070185352</c:v>
                </c:pt>
                <c:pt idx="79">
                  <c:v>2.4846161779366516</c:v>
                </c:pt>
                <c:pt idx="80">
                  <c:v>2.5324220876282051</c:v>
                </c:pt>
                <c:pt idx="81">
                  <c:v>2.6608975023318471</c:v>
                </c:pt>
                <c:pt idx="82">
                  <c:v>2.5487101198022941</c:v>
                </c:pt>
                <c:pt idx="83">
                  <c:v>2.528152861848342</c:v>
                </c:pt>
                <c:pt idx="84">
                  <c:v>2.7161599889734105</c:v>
                </c:pt>
                <c:pt idx="85">
                  <c:v>2.5935235078416721</c:v>
                </c:pt>
                <c:pt idx="86">
                  <c:v>2.7968841352271587</c:v>
                </c:pt>
                <c:pt idx="87">
                  <c:v>2.6580669540871518</c:v>
                </c:pt>
                <c:pt idx="88">
                  <c:v>2.8807218498257776</c:v>
                </c:pt>
                <c:pt idx="89">
                  <c:v>3.057179792306961</c:v>
                </c:pt>
                <c:pt idx="90">
                  <c:v>3.0891288230632474</c:v>
                </c:pt>
                <c:pt idx="91">
                  <c:v>3.0372678209646473</c:v>
                </c:pt>
                <c:pt idx="92">
                  <c:v>3.2942093050827412</c:v>
                </c:pt>
                <c:pt idx="93">
                  <c:v>3.3156240202682721</c:v>
                </c:pt>
                <c:pt idx="94">
                  <c:v>3.4786724250133023</c:v>
                </c:pt>
                <c:pt idx="95">
                  <c:v>3.2440080173822237</c:v>
                </c:pt>
                <c:pt idx="96">
                  <c:v>4.777981713169539</c:v>
                </c:pt>
                <c:pt idx="97">
                  <c:v>4.6587915499102257</c:v>
                </c:pt>
                <c:pt idx="98">
                  <c:v>4.7091204176217527</c:v>
                </c:pt>
                <c:pt idx="99">
                  <c:v>5.0202971332914927</c:v>
                </c:pt>
                <c:pt idx="100">
                  <c:v>5.2872313738607115</c:v>
                </c:pt>
                <c:pt idx="101">
                  <c:v>5.417839042840094</c:v>
                </c:pt>
                <c:pt idx="102">
                  <c:v>5.6234186229661951</c:v>
                </c:pt>
                <c:pt idx="103">
                  <c:v>6.0102140934363444</c:v>
                </c:pt>
                <c:pt idx="104">
                  <c:v>6.165838038257343</c:v>
                </c:pt>
                <c:pt idx="105">
                  <c:v>6.163087095878649</c:v>
                </c:pt>
                <c:pt idx="106">
                  <c:v>6.299623200107658</c:v>
                </c:pt>
                <c:pt idx="107">
                  <c:v>6.3268464164970579</c:v>
                </c:pt>
                <c:pt idx="108">
                  <c:v>6.2824985742561026</c:v>
                </c:pt>
                <c:pt idx="109">
                  <c:v>6.5938399322073762</c:v>
                </c:pt>
                <c:pt idx="110">
                  <c:v>6.5882687498431682</c:v>
                </c:pt>
                <c:pt idx="111">
                  <c:v>6.7378882818970585</c:v>
                </c:pt>
                <c:pt idx="112">
                  <c:v>6.5287578218612659</c:v>
                </c:pt>
                <c:pt idx="113">
                  <c:v>6.1664091445280791</c:v>
                </c:pt>
                <c:pt idx="114">
                  <c:v>6.2989782759646946</c:v>
                </c:pt>
                <c:pt idx="115">
                  <c:v>6.44321805654236</c:v>
                </c:pt>
                <c:pt idx="116">
                  <c:v>6.5947399488423954</c:v>
                </c:pt>
                <c:pt idx="117">
                  <c:v>6.67350118920693</c:v>
                </c:pt>
                <c:pt idx="118">
                  <c:v>6.694054901704555</c:v>
                </c:pt>
                <c:pt idx="119">
                  <c:v>6.8510693834934884</c:v>
                </c:pt>
                <c:pt idx="120">
                  <c:v>5.5090840424591905</c:v>
                </c:pt>
                <c:pt idx="121">
                  <c:v>5.5824989779313308</c:v>
                </c:pt>
                <c:pt idx="122">
                  <c:v>5.4472967250705189</c:v>
                </c:pt>
                <c:pt idx="123">
                  <c:v>5.2322013500912563</c:v>
                </c:pt>
                <c:pt idx="124">
                  <c:v>5.1734133886095535</c:v>
                </c:pt>
                <c:pt idx="125">
                  <c:v>4.8978298748613769</c:v>
                </c:pt>
                <c:pt idx="126">
                  <c:v>4.6926310779725515</c:v>
                </c:pt>
                <c:pt idx="127">
                  <c:v>4.4101128039615771</c:v>
                </c:pt>
                <c:pt idx="128">
                  <c:v>4.4591902339130147</c:v>
                </c:pt>
                <c:pt idx="129">
                  <c:v>4.5540631562264844</c:v>
                </c:pt>
                <c:pt idx="130">
                  <c:v>4.5361036823698937</c:v>
                </c:pt>
                <c:pt idx="131">
                  <c:v>4.7584019489199445</c:v>
                </c:pt>
                <c:pt idx="132">
                  <c:v>4.848217033465648</c:v>
                </c:pt>
                <c:pt idx="133">
                  <c:v>4.7746485524927875</c:v>
                </c:pt>
                <c:pt idx="134">
                  <c:v>4.8106327469043819</c:v>
                </c:pt>
                <c:pt idx="135">
                  <c:v>4.9991362129370582</c:v>
                </c:pt>
                <c:pt idx="136">
                  <c:v>4.875270500382749</c:v>
                </c:pt>
                <c:pt idx="137">
                  <c:v>5.1659896244943289</c:v>
                </c:pt>
                <c:pt idx="138">
                  <c:v>4.9352188627597346</c:v>
                </c:pt>
                <c:pt idx="139">
                  <c:v>4.8739609906784294</c:v>
                </c:pt>
                <c:pt idx="140">
                  <c:v>4.5607966774342428</c:v>
                </c:pt>
                <c:pt idx="141">
                  <c:v>4.8719965556213225</c:v>
                </c:pt>
                <c:pt idx="142">
                  <c:v>5.0045431705618117</c:v>
                </c:pt>
                <c:pt idx="143">
                  <c:v>4.6580435901155077</c:v>
                </c:pt>
                <c:pt idx="144">
                  <c:v>4.5239157686302747</c:v>
                </c:pt>
                <c:pt idx="145">
                  <c:v>4.2087945881513358</c:v>
                </c:pt>
                <c:pt idx="146">
                  <c:v>3.8917269000841048</c:v>
                </c:pt>
                <c:pt idx="147">
                  <c:v>3.9890243717717704</c:v>
                </c:pt>
                <c:pt idx="148">
                  <c:v>3.9499307543024047</c:v>
                </c:pt>
                <c:pt idx="149">
                  <c:v>4.0592034671257489</c:v>
                </c:pt>
                <c:pt idx="150">
                  <c:v>4.3839885442395508</c:v>
                </c:pt>
                <c:pt idx="151">
                  <c:v>4.4431349885217726</c:v>
                </c:pt>
                <c:pt idx="152">
                  <c:v>4.4323088028570456</c:v>
                </c:pt>
                <c:pt idx="153">
                  <c:v>4.1312712555516722</c:v>
                </c:pt>
                <c:pt idx="154">
                  <c:v>4.0008340965341755</c:v>
                </c:pt>
                <c:pt idx="155">
                  <c:v>3.8935918758730175</c:v>
                </c:pt>
                <c:pt idx="156">
                  <c:v>3.8420065175997649</c:v>
                </c:pt>
                <c:pt idx="157">
                  <c:v>3.7200000000000135</c:v>
                </c:pt>
                <c:pt idx="158">
                  <c:v>3.2877231097336064</c:v>
                </c:pt>
                <c:pt idx="159">
                  <c:v>3.0365358054868268</c:v>
                </c:pt>
                <c:pt idx="160">
                  <c:v>2.9861696326773419</c:v>
                </c:pt>
                <c:pt idx="161">
                  <c:v>3.0078241061701556</c:v>
                </c:pt>
                <c:pt idx="162">
                  <c:v>3.0067474253245492</c:v>
                </c:pt>
                <c:pt idx="163">
                  <c:v>3.032243446393919</c:v>
                </c:pt>
                <c:pt idx="164">
                  <c:v>3.1008890455488989</c:v>
                </c:pt>
                <c:pt idx="165">
                  <c:v>2.8495310959960203</c:v>
                </c:pt>
                <c:pt idx="166">
                  <c:v>2.6336985317664396</c:v>
                </c:pt>
                <c:pt idx="167">
                  <c:v>3.0225648594065553</c:v>
                </c:pt>
                <c:pt idx="168">
                  <c:v>3.1841326802773886</c:v>
                </c:pt>
                <c:pt idx="169">
                  <c:v>3.2915664520133503</c:v>
                </c:pt>
                <c:pt idx="170">
                  <c:v>3.5210515586016711</c:v>
                </c:pt>
                <c:pt idx="171">
                  <c:v>3.8691226369364999</c:v>
                </c:pt>
                <c:pt idx="172">
                  <c:v>3.7122274331576643</c:v>
                </c:pt>
                <c:pt idx="173">
                  <c:v>2.7864434936302875</c:v>
                </c:pt>
                <c:pt idx="174">
                  <c:v>2.0811393126636419</c:v>
                </c:pt>
                <c:pt idx="175">
                  <c:v>2.2131669917537335</c:v>
                </c:pt>
                <c:pt idx="176">
                  <c:v>2.8251815980629558</c:v>
                </c:pt>
                <c:pt idx="177">
                  <c:v>2.850333281661765</c:v>
                </c:pt>
                <c:pt idx="178">
                  <c:v>3.167837248728516</c:v>
                </c:pt>
                <c:pt idx="179">
                  <c:v>3.4999467946175451</c:v>
                </c:pt>
                <c:pt idx="180">
                  <c:v>3.5859687035714969</c:v>
                </c:pt>
                <c:pt idx="181">
                  <c:v>3.6608175858079419</c:v>
                </c:pt>
                <c:pt idx="182">
                  <c:v>3.9896952972733115</c:v>
                </c:pt>
                <c:pt idx="183">
                  <c:v>4.1071583555937012</c:v>
                </c:pt>
                <c:pt idx="184">
                  <c:v>4.0961906870625935</c:v>
                </c:pt>
                <c:pt idx="185">
                  <c:v>3.9324276250636871</c:v>
                </c:pt>
                <c:pt idx="186">
                  <c:v>4.0854242482283132</c:v>
                </c:pt>
                <c:pt idx="187">
                  <c:v>4.0875060954038176</c:v>
                </c:pt>
                <c:pt idx="188">
                  <c:v>3.4292823293668411</c:v>
                </c:pt>
                <c:pt idx="189">
                  <c:v>3.2336113404116031</c:v>
                </c:pt>
                <c:pt idx="190">
                  <c:v>3.2194623828749194</c:v>
                </c:pt>
                <c:pt idx="191">
                  <c:v>3.0809104189246419</c:v>
                </c:pt>
                <c:pt idx="192">
                  <c:v>3.3349625897657642</c:v>
                </c:pt>
                <c:pt idx="193">
                  <c:v>3.7350008450228103</c:v>
                </c:pt>
                <c:pt idx="194">
                  <c:v>3.8448553959263365</c:v>
                </c:pt>
                <c:pt idx="195">
                  <c:v>3.6755303758598368</c:v>
                </c:pt>
                <c:pt idx="196">
                  <c:v>4.115464225110486</c:v>
                </c:pt>
                <c:pt idx="197">
                  <c:v>5.2235440040593089</c:v>
                </c:pt>
                <c:pt idx="198">
                  <c:v>6.0546117079172834</c:v>
                </c:pt>
                <c:pt idx="199">
                  <c:v>6.1159710544712569</c:v>
                </c:pt>
                <c:pt idx="200">
                  <c:v>5.7965281113717033</c:v>
                </c:pt>
                <c:pt idx="201">
                  <c:v>5.9901279225305624</c:v>
                </c:pt>
                <c:pt idx="202">
                  <c:v>6.0171839053476699</c:v>
                </c:pt>
                <c:pt idx="203">
                  <c:v>5.7397351179071183</c:v>
                </c:pt>
                <c:pt idx="204">
                  <c:v>5.7520187015115836</c:v>
                </c:pt>
                <c:pt idx="205">
                  <c:v>5.8604685770622345</c:v>
                </c:pt>
                <c:pt idx="206">
                  <c:v>5.5828237935737643</c:v>
                </c:pt>
                <c:pt idx="207">
                  <c:v>5.6013561080440155</c:v>
                </c:pt>
                <c:pt idx="208">
                  <c:v>5.8724521880664318</c:v>
                </c:pt>
                <c:pt idx="209">
                  <c:v>6.1269045394414325</c:v>
                </c:pt>
                <c:pt idx="210">
                  <c:v>6.1222236534604235</c:v>
                </c:pt>
                <c:pt idx="211">
                  <c:v>6.3557531553710316</c:v>
                </c:pt>
                <c:pt idx="212">
                  <c:v>7.0461849233311975</c:v>
                </c:pt>
                <c:pt idx="213">
                  <c:v>7.7048924182682095</c:v>
                </c:pt>
                <c:pt idx="214">
                  <c:v>7.4499853436904546</c:v>
                </c:pt>
                <c:pt idx="215">
                  <c:v>7.2594949439537722</c:v>
                </c:pt>
                <c:pt idx="216">
                  <c:v>7.1259641973511751</c:v>
                </c:pt>
              </c:numCache>
            </c:numRef>
          </c:val>
          <c:smooth val="0"/>
          <c:extLst>
            <c:ext xmlns:c16="http://schemas.microsoft.com/office/drawing/2014/chart" uri="{C3380CC4-5D6E-409C-BE32-E72D297353CC}">
              <c16:uniqueId val="{00000001-5AB4-4611-A452-B7BE886C67D1}"/>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B4-4611-A452-B7BE886C67D1}"/>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2018'!$A$173:$B$389</c:f>
              <c:multiLvlStrCache>
                <c:ptCount val="217"/>
                <c:lvl>
                  <c:pt idx="0">
                    <c:v>1qEne</c:v>
                  </c:pt>
                  <c:pt idx="1">
                    <c:v>2qEne</c:v>
                  </c:pt>
                  <c:pt idx="2">
                    <c:v>1qFeb</c:v>
                  </c:pt>
                  <c:pt idx="3">
                    <c:v>2qFeb</c:v>
                  </c:pt>
                  <c:pt idx="4">
                    <c:v>1qMar</c:v>
                  </c:pt>
                  <c:pt idx="5">
                    <c:v>2qMar</c:v>
                  </c:pt>
                  <c:pt idx="6">
                    <c:v>1qAbr</c:v>
                  </c:pt>
                  <c:pt idx="7">
                    <c:v>2qAbr</c:v>
                  </c:pt>
                  <c:pt idx="8">
                    <c:v>1qMay</c:v>
                  </c:pt>
                  <c:pt idx="9">
                    <c:v>2qMay</c:v>
                  </c:pt>
                  <c:pt idx="10">
                    <c:v>1qJun</c:v>
                  </c:pt>
                  <c:pt idx="11">
                    <c:v>2qJun</c:v>
                  </c:pt>
                  <c:pt idx="12">
                    <c:v>1qJul</c:v>
                  </c:pt>
                  <c:pt idx="13">
                    <c:v>2qJul</c:v>
                  </c:pt>
                  <c:pt idx="14">
                    <c:v>1qAgo</c:v>
                  </c:pt>
                  <c:pt idx="15">
                    <c:v>2qAgo</c:v>
                  </c:pt>
                  <c:pt idx="16">
                    <c:v>1qSep</c:v>
                  </c:pt>
                  <c:pt idx="17">
                    <c:v>2qSep</c:v>
                  </c:pt>
                  <c:pt idx="18">
                    <c:v>1qOct</c:v>
                  </c:pt>
                  <c:pt idx="19">
                    <c:v>2qOct</c:v>
                  </c:pt>
                  <c:pt idx="20">
                    <c:v>1qNov</c:v>
                  </c:pt>
                  <c:pt idx="21">
                    <c:v>2qNov</c:v>
                  </c:pt>
                  <c:pt idx="22">
                    <c:v>1qDic</c:v>
                  </c:pt>
                  <c:pt idx="23">
                    <c:v>2qDic</c:v>
                  </c:pt>
                  <c:pt idx="24">
                    <c:v>1qEne</c:v>
                  </c:pt>
                  <c:pt idx="25">
                    <c:v>2qEne</c:v>
                  </c:pt>
                  <c:pt idx="26">
                    <c:v>1qFeb</c:v>
                  </c:pt>
                  <c:pt idx="27">
                    <c:v>2qFeb</c:v>
                  </c:pt>
                  <c:pt idx="28">
                    <c:v>1qMar</c:v>
                  </c:pt>
                  <c:pt idx="29">
                    <c:v>2qMar</c:v>
                  </c:pt>
                  <c:pt idx="30">
                    <c:v>1qAbr</c:v>
                  </c:pt>
                  <c:pt idx="31">
                    <c:v>2qAbr</c:v>
                  </c:pt>
                  <c:pt idx="32">
                    <c:v>1qMay</c:v>
                  </c:pt>
                  <c:pt idx="33">
                    <c:v>2qMay</c:v>
                  </c:pt>
                  <c:pt idx="34">
                    <c:v>1qJun</c:v>
                  </c:pt>
                  <c:pt idx="35">
                    <c:v>2qJun</c:v>
                  </c:pt>
                  <c:pt idx="36">
                    <c:v>1qJul</c:v>
                  </c:pt>
                  <c:pt idx="37">
                    <c:v>2qJul</c:v>
                  </c:pt>
                  <c:pt idx="38">
                    <c:v>1qAgo</c:v>
                  </c:pt>
                  <c:pt idx="39">
                    <c:v>2qAgo</c:v>
                  </c:pt>
                  <c:pt idx="40">
                    <c:v>1qSep</c:v>
                  </c:pt>
                  <c:pt idx="41">
                    <c:v>2qSep</c:v>
                  </c:pt>
                  <c:pt idx="42">
                    <c:v>1qOct</c:v>
                  </c:pt>
                  <c:pt idx="43">
                    <c:v>2qOct</c:v>
                  </c:pt>
                  <c:pt idx="44">
                    <c:v>1qNov</c:v>
                  </c:pt>
                  <c:pt idx="45">
                    <c:v>2qNov</c:v>
                  </c:pt>
                  <c:pt idx="46">
                    <c:v>1qDic</c:v>
                  </c:pt>
                  <c:pt idx="47">
                    <c:v>2qDic</c:v>
                  </c:pt>
                  <c:pt idx="48">
                    <c:v>1qEne</c:v>
                  </c:pt>
                  <c:pt idx="49">
                    <c:v>2qEne</c:v>
                  </c:pt>
                  <c:pt idx="50">
                    <c:v>1qFeb</c:v>
                  </c:pt>
                  <c:pt idx="51">
                    <c:v>2qFeb</c:v>
                  </c:pt>
                  <c:pt idx="52">
                    <c:v>1qMar</c:v>
                  </c:pt>
                  <c:pt idx="53">
                    <c:v>2qMar</c:v>
                  </c:pt>
                  <c:pt idx="54">
                    <c:v>1qAbr</c:v>
                  </c:pt>
                  <c:pt idx="55">
                    <c:v>2qAbr</c:v>
                  </c:pt>
                  <c:pt idx="56">
                    <c:v>1qMay</c:v>
                  </c:pt>
                  <c:pt idx="57">
                    <c:v>2qMay</c:v>
                  </c:pt>
                  <c:pt idx="58">
                    <c:v>1qJun</c:v>
                  </c:pt>
                  <c:pt idx="59">
                    <c:v>2qJun</c:v>
                  </c:pt>
                  <c:pt idx="60">
                    <c:v>1qJul</c:v>
                  </c:pt>
                  <c:pt idx="61">
                    <c:v>2qJul</c:v>
                  </c:pt>
                  <c:pt idx="62">
                    <c:v>1qAgo</c:v>
                  </c:pt>
                  <c:pt idx="63">
                    <c:v>2qAgo</c:v>
                  </c:pt>
                  <c:pt idx="64">
                    <c:v>1qSep</c:v>
                  </c:pt>
                  <c:pt idx="65">
                    <c:v>2qSep</c:v>
                  </c:pt>
                  <c:pt idx="66">
                    <c:v>1qOct</c:v>
                  </c:pt>
                  <c:pt idx="67">
                    <c:v>2qOct</c:v>
                  </c:pt>
                  <c:pt idx="68">
                    <c:v>1qNov</c:v>
                  </c:pt>
                  <c:pt idx="69">
                    <c:v>2qNov</c:v>
                  </c:pt>
                  <c:pt idx="70">
                    <c:v>1qDic</c:v>
                  </c:pt>
                  <c:pt idx="71">
                    <c:v>2qDic</c:v>
                  </c:pt>
                  <c:pt idx="72">
                    <c:v>1qEne</c:v>
                  </c:pt>
                  <c:pt idx="73">
                    <c:v>2qEne</c:v>
                  </c:pt>
                  <c:pt idx="74">
                    <c:v>1qFeb</c:v>
                  </c:pt>
                  <c:pt idx="75">
                    <c:v>2qFeb</c:v>
                  </c:pt>
                  <c:pt idx="76">
                    <c:v>1qMar</c:v>
                  </c:pt>
                  <c:pt idx="77">
                    <c:v>2qMar</c:v>
                  </c:pt>
                  <c:pt idx="78">
                    <c:v>1qAbr</c:v>
                  </c:pt>
                  <c:pt idx="79">
                    <c:v>2qAbr</c:v>
                  </c:pt>
                  <c:pt idx="80">
                    <c:v>1qMay</c:v>
                  </c:pt>
                  <c:pt idx="81">
                    <c:v>2qMay</c:v>
                  </c:pt>
                  <c:pt idx="82">
                    <c:v>1qJun</c:v>
                  </c:pt>
                  <c:pt idx="83">
                    <c:v>2qJun</c:v>
                  </c:pt>
                  <c:pt idx="84">
                    <c:v>1qJul</c:v>
                  </c:pt>
                  <c:pt idx="85">
                    <c:v>2qJul</c:v>
                  </c:pt>
                  <c:pt idx="86">
                    <c:v>1qAgo</c:v>
                  </c:pt>
                  <c:pt idx="87">
                    <c:v>2qAgo</c:v>
                  </c:pt>
                  <c:pt idx="88">
                    <c:v>1qSep</c:v>
                  </c:pt>
                  <c:pt idx="89">
                    <c:v>2qSep</c:v>
                  </c:pt>
                  <c:pt idx="90">
                    <c:v>1qOct</c:v>
                  </c:pt>
                  <c:pt idx="91">
                    <c:v>2qOct</c:v>
                  </c:pt>
                  <c:pt idx="92">
                    <c:v>1qNov</c:v>
                  </c:pt>
                  <c:pt idx="93">
                    <c:v>2qNov</c:v>
                  </c:pt>
                  <c:pt idx="94">
                    <c:v>1qDic</c:v>
                  </c:pt>
                  <c:pt idx="95">
                    <c:v>2qDic</c:v>
                  </c:pt>
                  <c:pt idx="96">
                    <c:v>1qEne</c:v>
                  </c:pt>
                  <c:pt idx="97">
                    <c:v>2qEne</c:v>
                  </c:pt>
                  <c:pt idx="98">
                    <c:v>1qFeb</c:v>
                  </c:pt>
                  <c:pt idx="99">
                    <c:v>2qFeb</c:v>
                  </c:pt>
                  <c:pt idx="100">
                    <c:v>1qMar</c:v>
                  </c:pt>
                  <c:pt idx="101">
                    <c:v>2qMar</c:v>
                  </c:pt>
                  <c:pt idx="102">
                    <c:v>1qAbr</c:v>
                  </c:pt>
                  <c:pt idx="103">
                    <c:v>2qAbr</c:v>
                  </c:pt>
                  <c:pt idx="104">
                    <c:v>1qMay</c:v>
                  </c:pt>
                  <c:pt idx="105">
                    <c:v>2qMay</c:v>
                  </c:pt>
                  <c:pt idx="106">
                    <c:v>1qJun</c:v>
                  </c:pt>
                  <c:pt idx="107">
                    <c:v>2qJun</c:v>
                  </c:pt>
                  <c:pt idx="108">
                    <c:v>1qJul</c:v>
                  </c:pt>
                  <c:pt idx="109">
                    <c:v>2qJul</c:v>
                  </c:pt>
                  <c:pt idx="110">
                    <c:v>1qAgo</c:v>
                  </c:pt>
                  <c:pt idx="111">
                    <c:v>2qAgo</c:v>
                  </c:pt>
                  <c:pt idx="112">
                    <c:v>1qSep</c:v>
                  </c:pt>
                  <c:pt idx="113">
                    <c:v>2qSep</c:v>
                  </c:pt>
                  <c:pt idx="114">
                    <c:v>1qOct</c:v>
                  </c:pt>
                  <c:pt idx="115">
                    <c:v>2qOct</c:v>
                  </c:pt>
                  <c:pt idx="116">
                    <c:v>1qNov</c:v>
                  </c:pt>
                  <c:pt idx="117">
                    <c:v>2qNov</c:v>
                  </c:pt>
                  <c:pt idx="118">
                    <c:v>1qDic</c:v>
                  </c:pt>
                  <c:pt idx="119">
                    <c:v>2qDic</c:v>
                  </c:pt>
                  <c:pt idx="120">
                    <c:v>1qEne</c:v>
                  </c:pt>
                  <c:pt idx="121">
                    <c:v>2qEne</c:v>
                  </c:pt>
                  <c:pt idx="122">
                    <c:v>1qFeb</c:v>
                  </c:pt>
                  <c:pt idx="123">
                    <c:v>2qFeb</c:v>
                  </c:pt>
                  <c:pt idx="124">
                    <c:v>1qMar</c:v>
                  </c:pt>
                  <c:pt idx="125">
                    <c:v>2qMar</c:v>
                  </c:pt>
                  <c:pt idx="126">
                    <c:v>1qAbr</c:v>
                  </c:pt>
                  <c:pt idx="127">
                    <c:v>2qAbr</c:v>
                  </c:pt>
                  <c:pt idx="128">
                    <c:v>1qMay</c:v>
                  </c:pt>
                  <c:pt idx="129">
                    <c:v>2qMay</c:v>
                  </c:pt>
                  <c:pt idx="130">
                    <c:v>1qJun</c:v>
                  </c:pt>
                  <c:pt idx="131">
                    <c:v>2qJun</c:v>
                  </c:pt>
                  <c:pt idx="132">
                    <c:v>1qJul</c:v>
                  </c:pt>
                  <c:pt idx="133">
                    <c:v>2qJul</c:v>
                  </c:pt>
                  <c:pt idx="134">
                    <c:v>1qAgo</c:v>
                  </c:pt>
                  <c:pt idx="135">
                    <c:v>2qAgo</c:v>
                  </c:pt>
                  <c:pt idx="136">
                    <c:v>1qSep</c:v>
                  </c:pt>
                  <c:pt idx="137">
                    <c:v>2qSep</c:v>
                  </c:pt>
                  <c:pt idx="138">
                    <c:v>1qOct</c:v>
                  </c:pt>
                  <c:pt idx="139">
                    <c:v>2qOct</c:v>
                  </c:pt>
                  <c:pt idx="140">
                    <c:v>1qNov</c:v>
                  </c:pt>
                  <c:pt idx="141">
                    <c:v>2qNov</c:v>
                  </c:pt>
                  <c:pt idx="142">
                    <c:v>1qDic</c:v>
                  </c:pt>
                  <c:pt idx="143">
                    <c:v>2qDic</c:v>
                  </c:pt>
                  <c:pt idx="144">
                    <c:v>1qEne</c:v>
                  </c:pt>
                  <c:pt idx="145">
                    <c:v>2qEne</c:v>
                  </c:pt>
                  <c:pt idx="146">
                    <c:v>1qFeb</c:v>
                  </c:pt>
                  <c:pt idx="147">
                    <c:v>2qFeb</c:v>
                  </c:pt>
                  <c:pt idx="148">
                    <c:v>1qMar</c:v>
                  </c:pt>
                  <c:pt idx="149">
                    <c:v>2qMar</c:v>
                  </c:pt>
                  <c:pt idx="150">
                    <c:v>1qAbr</c:v>
                  </c:pt>
                  <c:pt idx="151">
                    <c:v>2qAbr</c:v>
                  </c:pt>
                  <c:pt idx="152">
                    <c:v>1qMay</c:v>
                  </c:pt>
                  <c:pt idx="153">
                    <c:v>2qMay</c:v>
                  </c:pt>
                  <c:pt idx="154">
                    <c:v>1qJun</c:v>
                  </c:pt>
                  <c:pt idx="155">
                    <c:v>2qJun</c:v>
                  </c:pt>
                  <c:pt idx="156">
                    <c:v>1qJul</c:v>
                  </c:pt>
                  <c:pt idx="157">
                    <c:v>2qJul</c:v>
                  </c:pt>
                  <c:pt idx="158">
                    <c:v>1qAgo</c:v>
                  </c:pt>
                  <c:pt idx="159">
                    <c:v>2qAgo</c:v>
                  </c:pt>
                  <c:pt idx="160">
                    <c:v>1qSep</c:v>
                  </c:pt>
                  <c:pt idx="161">
                    <c:v>2qSep</c:v>
                  </c:pt>
                  <c:pt idx="162">
                    <c:v>1qOct</c:v>
                  </c:pt>
                  <c:pt idx="163">
                    <c:v>2qOct</c:v>
                  </c:pt>
                  <c:pt idx="164">
                    <c:v>1qNov</c:v>
                  </c:pt>
                  <c:pt idx="165">
                    <c:v>2qNov</c:v>
                  </c:pt>
                  <c:pt idx="166">
                    <c:v>1qDic</c:v>
                  </c:pt>
                  <c:pt idx="167">
                    <c:v>2qDic</c:v>
                  </c:pt>
                  <c:pt idx="168">
                    <c:v>1qEne</c:v>
                  </c:pt>
                  <c:pt idx="169">
                    <c:v>2qEne</c:v>
                  </c:pt>
                  <c:pt idx="170">
                    <c:v>1qFeb</c:v>
                  </c:pt>
                  <c:pt idx="171">
                    <c:v>2qFeb</c:v>
                  </c:pt>
                  <c:pt idx="172">
                    <c:v>1qMar</c:v>
                  </c:pt>
                  <c:pt idx="173">
                    <c:v>2qMar</c:v>
                  </c:pt>
                  <c:pt idx="174">
                    <c:v>1qAbr</c:v>
                  </c:pt>
                  <c:pt idx="175">
                    <c:v>2qAbr</c:v>
                  </c:pt>
                  <c:pt idx="176">
                    <c:v>1qMay</c:v>
                  </c:pt>
                  <c:pt idx="177">
                    <c:v>2qMay</c:v>
                  </c:pt>
                  <c:pt idx="178">
                    <c:v>1qJun</c:v>
                  </c:pt>
                  <c:pt idx="179">
                    <c:v>2qJun</c:v>
                  </c:pt>
                  <c:pt idx="180">
                    <c:v>1qJul</c:v>
                  </c:pt>
                  <c:pt idx="181">
                    <c:v>2qJul</c:v>
                  </c:pt>
                  <c:pt idx="182">
                    <c:v>1qAgo</c:v>
                  </c:pt>
                  <c:pt idx="183">
                    <c:v>2qAgo</c:v>
                  </c:pt>
                  <c:pt idx="184">
                    <c:v>1qSep</c:v>
                  </c:pt>
                  <c:pt idx="185">
                    <c:v>2qSep</c:v>
                  </c:pt>
                  <c:pt idx="186">
                    <c:v>1qOct</c:v>
                  </c:pt>
                  <c:pt idx="187">
                    <c:v>2qOct</c:v>
                  </c:pt>
                  <c:pt idx="188">
                    <c:v>1qNov</c:v>
                  </c:pt>
                  <c:pt idx="189">
                    <c:v>2qNov</c:v>
                  </c:pt>
                  <c:pt idx="190">
                    <c:v>1qDic</c:v>
                  </c:pt>
                  <c:pt idx="191">
                    <c:v>2qDic</c:v>
                  </c:pt>
                  <c:pt idx="192">
                    <c:v>1qEne</c:v>
                  </c:pt>
                  <c:pt idx="193">
                    <c:v>2qEne</c:v>
                  </c:pt>
                  <c:pt idx="194">
                    <c:v>1qFeb</c:v>
                  </c:pt>
                  <c:pt idx="195">
                    <c:v>2qFeb</c:v>
                  </c:pt>
                  <c:pt idx="196">
                    <c:v>1qMar</c:v>
                  </c:pt>
                  <c:pt idx="197">
                    <c:v>2qMar</c:v>
                  </c:pt>
                  <c:pt idx="198">
                    <c:v>1qAbr</c:v>
                  </c:pt>
                  <c:pt idx="199">
                    <c:v>2qAbr</c:v>
                  </c:pt>
                  <c:pt idx="200">
                    <c:v>1qMay</c:v>
                  </c:pt>
                  <c:pt idx="201">
                    <c:v>2qMay</c:v>
                  </c:pt>
                  <c:pt idx="202">
                    <c:v>1qJun</c:v>
                  </c:pt>
                  <c:pt idx="203">
                    <c:v>2qJun</c:v>
                  </c:pt>
                  <c:pt idx="204">
                    <c:v>1qJul</c:v>
                  </c:pt>
                  <c:pt idx="205">
                    <c:v>2qJul</c:v>
                  </c:pt>
                  <c:pt idx="206">
                    <c:v>1qAgo</c:v>
                  </c:pt>
                  <c:pt idx="207">
                    <c:v>2qAgo</c:v>
                  </c:pt>
                  <c:pt idx="208">
                    <c:v>1qSep</c:v>
                  </c:pt>
                  <c:pt idx="209">
                    <c:v>2qSep</c:v>
                  </c:pt>
                  <c:pt idx="210">
                    <c:v>1qOct</c:v>
                  </c:pt>
                  <c:pt idx="211">
                    <c:v>2qOct</c:v>
                  </c:pt>
                  <c:pt idx="212">
                    <c:v>1qNov</c:v>
                  </c:pt>
                  <c:pt idx="213">
                    <c:v>2qNov</c:v>
                  </c:pt>
                  <c:pt idx="214">
                    <c:v>1qDic</c:v>
                  </c:pt>
                  <c:pt idx="215">
                    <c:v>2qDic</c:v>
                  </c:pt>
                  <c:pt idx="216">
                    <c:v>1qEne</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2022</c:v>
                  </c:pt>
                </c:lvl>
              </c:multiLvlStrCache>
            </c:multiLvlStrRef>
          </c:cat>
          <c:val>
            <c:numRef>
              <c:f>'Datos base 2q jul 2018'!$G$173:$G$389</c:f>
              <c:numCache>
                <c:formatCode>0.00</c:formatCode>
                <c:ptCount val="217"/>
                <c:pt idx="0">
                  <c:v>2.7763497027195498</c:v>
                </c:pt>
                <c:pt idx="1">
                  <c:v>2.9751754935712431</c:v>
                </c:pt>
                <c:pt idx="2">
                  <c:v>2.9575503875276712</c:v>
                </c:pt>
                <c:pt idx="3">
                  <c:v>2.9657092040579758</c:v>
                </c:pt>
                <c:pt idx="4">
                  <c:v>3.0602036721268644</c:v>
                </c:pt>
                <c:pt idx="5">
                  <c:v>2.9791164494705962</c:v>
                </c:pt>
                <c:pt idx="6">
                  <c:v>3.0026041070565621</c:v>
                </c:pt>
                <c:pt idx="7">
                  <c:v>2.8915458173883479</c:v>
                </c:pt>
                <c:pt idx="8">
                  <c:v>2.8909365438263444</c:v>
                </c:pt>
                <c:pt idx="9">
                  <c:v>2.8631679529443979</c:v>
                </c:pt>
                <c:pt idx="10">
                  <c:v>2.8307350923769405</c:v>
                </c:pt>
                <c:pt idx="11">
                  <c:v>2.7437282572557016</c:v>
                </c:pt>
                <c:pt idx="12">
                  <c:v>2.5697096747123833</c:v>
                </c:pt>
                <c:pt idx="13">
                  <c:v>2.4360903054217125</c:v>
                </c:pt>
                <c:pt idx="14">
                  <c:v>2.3835805910849777</c:v>
                </c:pt>
                <c:pt idx="15">
                  <c:v>2.3480634242683229</c:v>
                </c:pt>
                <c:pt idx="16">
                  <c:v>2.535276339954553</c:v>
                </c:pt>
                <c:pt idx="17">
                  <c:v>2.4965785009156081</c:v>
                </c:pt>
                <c:pt idx="18">
                  <c:v>2.4640712164855678</c:v>
                </c:pt>
                <c:pt idx="19">
                  <c:v>2.4948139964390839</c:v>
                </c:pt>
                <c:pt idx="20">
                  <c:v>2.4265245867401597</c:v>
                </c:pt>
                <c:pt idx="21">
                  <c:v>2.7038703266946786</c:v>
                </c:pt>
                <c:pt idx="22">
                  <c:v>2.751128068649233</c:v>
                </c:pt>
                <c:pt idx="23">
                  <c:v>2.8026579468947426</c:v>
                </c:pt>
                <c:pt idx="24">
                  <c:v>3.3301766974286218</c:v>
                </c:pt>
                <c:pt idx="25">
                  <c:v>3.1002666825252425</c:v>
                </c:pt>
                <c:pt idx="26">
                  <c:v>2.9720512722063508</c:v>
                </c:pt>
                <c:pt idx="27">
                  <c:v>2.9911409949387719</c:v>
                </c:pt>
                <c:pt idx="28">
                  <c:v>2.8393403954390637</c:v>
                </c:pt>
                <c:pt idx="29">
                  <c:v>2.9470966063651716</c:v>
                </c:pt>
                <c:pt idx="30">
                  <c:v>3.1650623331299617</c:v>
                </c:pt>
                <c:pt idx="31">
                  <c:v>3.0552508730965879</c:v>
                </c:pt>
                <c:pt idx="32">
                  <c:v>2.965790301060844</c:v>
                </c:pt>
                <c:pt idx="33">
                  <c:v>3.0412359691456019</c:v>
                </c:pt>
                <c:pt idx="34">
                  <c:v>3.0875416706861825</c:v>
                </c:pt>
                <c:pt idx="35">
                  <c:v>3.0926368076054618</c:v>
                </c:pt>
                <c:pt idx="36">
                  <c:v>3.2008508707259615</c:v>
                </c:pt>
                <c:pt idx="37">
                  <c:v>3.296727917181848</c:v>
                </c:pt>
                <c:pt idx="38">
                  <c:v>3.3403363995215916</c:v>
                </c:pt>
                <c:pt idx="39">
                  <c:v>3.4088159517772554</c:v>
                </c:pt>
                <c:pt idx="40">
                  <c:v>3.3443317105628387</c:v>
                </c:pt>
                <c:pt idx="41">
                  <c:v>3.3410517831071793</c:v>
                </c:pt>
                <c:pt idx="42">
                  <c:v>3.320114326066006</c:v>
                </c:pt>
                <c:pt idx="43">
                  <c:v>3.3125587217442973</c:v>
                </c:pt>
                <c:pt idx="44">
                  <c:v>3.3269143797989815</c:v>
                </c:pt>
                <c:pt idx="45">
                  <c:v>3.3597016646049473</c:v>
                </c:pt>
                <c:pt idx="46">
                  <c:v>3.2613173618448141</c:v>
                </c:pt>
                <c:pt idx="47">
                  <c:v>3.2283311008381563</c:v>
                </c:pt>
                <c:pt idx="48">
                  <c:v>2.4257619293549975</c:v>
                </c:pt>
                <c:pt idx="49">
                  <c:v>2.2512483178846994</c:v>
                </c:pt>
                <c:pt idx="50">
                  <c:v>2.4154760560769155</c:v>
                </c:pt>
                <c:pt idx="51">
                  <c:v>2.3803601042870661</c:v>
                </c:pt>
                <c:pt idx="52">
                  <c:v>2.4210809690652884</c:v>
                </c:pt>
                <c:pt idx="53">
                  <c:v>2.4716727562373664</c:v>
                </c:pt>
                <c:pt idx="54">
                  <c:v>2.22959038644635</c:v>
                </c:pt>
                <c:pt idx="55">
                  <c:v>2.3867779230047406</c:v>
                </c:pt>
                <c:pt idx="56">
                  <c:v>2.3645039102051868</c:v>
                </c:pt>
                <c:pt idx="57">
                  <c:v>2.2967267698564018</c:v>
                </c:pt>
                <c:pt idx="58">
                  <c:v>2.3068088582791066</c:v>
                </c:pt>
                <c:pt idx="59">
                  <c:v>2.3470897521408207</c:v>
                </c:pt>
                <c:pt idx="60">
                  <c:v>2.3048831870518853</c:v>
                </c:pt>
                <c:pt idx="61">
                  <c:v>2.3176027185983523</c:v>
                </c:pt>
                <c:pt idx="62">
                  <c:v>2.2916919550657333</c:v>
                </c:pt>
                <c:pt idx="63">
                  <c:v>2.3072511966621598</c:v>
                </c:pt>
                <c:pt idx="64">
                  <c:v>2.3401806229756428</c:v>
                </c:pt>
                <c:pt idx="65">
                  <c:v>2.4176421285037821</c:v>
                </c:pt>
                <c:pt idx="66">
                  <c:v>2.4587510846686191</c:v>
                </c:pt>
                <c:pt idx="67">
                  <c:v>2.4726079923024322</c:v>
                </c:pt>
                <c:pt idx="68">
                  <c:v>2.3463360125931945</c:v>
                </c:pt>
                <c:pt idx="69">
                  <c:v>2.3268213688759705</c:v>
                </c:pt>
                <c:pt idx="70">
                  <c:v>2.390553712314857</c:v>
                </c:pt>
                <c:pt idx="71">
                  <c:v>2.4333480158938574</c:v>
                </c:pt>
                <c:pt idx="72">
                  <c:v>2.6075350521938248</c:v>
                </c:pt>
                <c:pt idx="73">
                  <c:v>2.6792848558866034</c:v>
                </c:pt>
                <c:pt idx="74">
                  <c:v>2.6247721940712854</c:v>
                </c:pt>
                <c:pt idx="75">
                  <c:v>2.6999719049183106</c:v>
                </c:pt>
                <c:pt idx="76">
                  <c:v>2.8570717271853301</c:v>
                </c:pt>
                <c:pt idx="77">
                  <c:v>2.6643976864392171</c:v>
                </c:pt>
                <c:pt idx="78">
                  <c:v>2.7889505267186077</c:v>
                </c:pt>
                <c:pt idx="79">
                  <c:v>2.8653494472590446</c:v>
                </c:pt>
                <c:pt idx="80">
                  <c:v>2.9155541341971842</c:v>
                </c:pt>
                <c:pt idx="81">
                  <c:v>2.9400204454453038</c:v>
                </c:pt>
                <c:pt idx="82">
                  <c:v>2.9780685524937418</c:v>
                </c:pt>
                <c:pt idx="83">
                  <c:v>2.970805194310711</c:v>
                </c:pt>
                <c:pt idx="84">
                  <c:v>2.9869000821721321</c:v>
                </c:pt>
                <c:pt idx="85">
                  <c:v>2.958184265532811</c:v>
                </c:pt>
                <c:pt idx="86">
                  <c:v>2.9678902064447099</c:v>
                </c:pt>
                <c:pt idx="87">
                  <c:v>2.9539547347381339</c:v>
                </c:pt>
                <c:pt idx="88">
                  <c:v>3.0468116923746806</c:v>
                </c:pt>
                <c:pt idx="89">
                  <c:v>3.0912825950724891</c:v>
                </c:pt>
                <c:pt idx="90">
                  <c:v>3.1012509952726064</c:v>
                </c:pt>
                <c:pt idx="91">
                  <c:v>3.0947616902772506</c:v>
                </c:pt>
                <c:pt idx="92">
                  <c:v>3.3319998055344984</c:v>
                </c:pt>
                <c:pt idx="93">
                  <c:v>3.2541169825970431</c:v>
                </c:pt>
                <c:pt idx="94">
                  <c:v>3.4556844443457231</c:v>
                </c:pt>
                <c:pt idx="95">
                  <c:v>3.4190637781387228</c:v>
                </c:pt>
                <c:pt idx="96">
                  <c:v>3.7171121119421828</c:v>
                </c:pt>
                <c:pt idx="97">
                  <c:v>3.9541963785562761</c:v>
                </c:pt>
                <c:pt idx="98">
                  <c:v>4.1997330552909586</c:v>
                </c:pt>
                <c:pt idx="99">
                  <c:v>4.311207443014049</c:v>
                </c:pt>
                <c:pt idx="100">
                  <c:v>4.3234288151573121</c:v>
                </c:pt>
                <c:pt idx="101">
                  <c:v>4.6332592126084799</c:v>
                </c:pt>
                <c:pt idx="102">
                  <c:v>4.755660342374016</c:v>
                </c:pt>
                <c:pt idx="103">
                  <c:v>4.6790514324428747</c:v>
                </c:pt>
                <c:pt idx="104">
                  <c:v>4.7509278569842373</c:v>
                </c:pt>
                <c:pt idx="105">
                  <c:v>4.8121947523125428</c:v>
                </c:pt>
                <c:pt idx="106">
                  <c:v>4.8209395856761645</c:v>
                </c:pt>
                <c:pt idx="107">
                  <c:v>4.8467381815305748</c:v>
                </c:pt>
                <c:pt idx="108">
                  <c:v>4.9207056044795072</c:v>
                </c:pt>
                <c:pt idx="109">
                  <c:v>4.9503227740202931</c:v>
                </c:pt>
                <c:pt idx="110">
                  <c:v>5.0213060833167322</c:v>
                </c:pt>
                <c:pt idx="111">
                  <c:v>4.9846248601918619</c:v>
                </c:pt>
                <c:pt idx="112">
                  <c:v>4.896399946121428</c:v>
                </c:pt>
                <c:pt idx="113">
                  <c:v>4.7040384762837748</c:v>
                </c:pt>
                <c:pt idx="114">
                  <c:v>4.7478938244134978</c:v>
                </c:pt>
                <c:pt idx="115">
                  <c:v>4.7956917969896518</c:v>
                </c:pt>
                <c:pt idx="116">
                  <c:v>4.8450991871710318</c:v>
                </c:pt>
                <c:pt idx="117">
                  <c:v>4.9491574797445885</c:v>
                </c:pt>
                <c:pt idx="118">
                  <c:v>4.9048497326154274</c:v>
                </c:pt>
                <c:pt idx="119">
                  <c:v>4.8327261818475638</c:v>
                </c:pt>
                <c:pt idx="120">
                  <c:v>4.626351793496065</c:v>
                </c:pt>
                <c:pt idx="121">
                  <c:v>4.4960621553256628</c:v>
                </c:pt>
                <c:pt idx="122">
                  <c:v>4.3243267051739158</c:v>
                </c:pt>
                <c:pt idx="123">
                  <c:v>4.225113200069833</c:v>
                </c:pt>
                <c:pt idx="124">
                  <c:v>4.1452320212772849</c:v>
                </c:pt>
                <c:pt idx="125">
                  <c:v>3.9008573614003428</c:v>
                </c:pt>
                <c:pt idx="126">
                  <c:v>3.7001331444606622</c:v>
                </c:pt>
                <c:pt idx="127">
                  <c:v>3.7189879850623115</c:v>
                </c:pt>
                <c:pt idx="128">
                  <c:v>3.6940324860046641</c:v>
                </c:pt>
                <c:pt idx="129">
                  <c:v>3.6872847615328928</c:v>
                </c:pt>
                <c:pt idx="130">
                  <c:v>3.5926706669103226</c:v>
                </c:pt>
                <c:pt idx="131">
                  <c:v>3.6378912164257176</c:v>
                </c:pt>
                <c:pt idx="132">
                  <c:v>3.6414532163026938</c:v>
                </c:pt>
                <c:pt idx="133">
                  <c:v>3.6283822763214917</c:v>
                </c:pt>
                <c:pt idx="134">
                  <c:v>3.60422766425244</c:v>
                </c:pt>
                <c:pt idx="135">
                  <c:v>3.6492836648371476</c:v>
                </c:pt>
                <c:pt idx="136">
                  <c:v>3.5583711462958476</c:v>
                </c:pt>
                <c:pt idx="137">
                  <c:v>3.7816822032604827</c:v>
                </c:pt>
                <c:pt idx="138">
                  <c:v>3.7416397848555354</c:v>
                </c:pt>
                <c:pt idx="139">
                  <c:v>3.7169746286009109</c:v>
                </c:pt>
                <c:pt idx="140">
                  <c:v>3.6257828133946166</c:v>
                </c:pt>
                <c:pt idx="141">
                  <c:v>3.6406529749812364</c:v>
                </c:pt>
                <c:pt idx="142">
                  <c:v>3.6377886379533457</c:v>
                </c:pt>
                <c:pt idx="143">
                  <c:v>3.7284330721464332</c:v>
                </c:pt>
                <c:pt idx="144">
                  <c:v>3.6380265636959224</c:v>
                </c:pt>
                <c:pt idx="145">
                  <c:v>3.5537579923622067</c:v>
                </c:pt>
                <c:pt idx="146">
                  <c:v>3.509918365929515</c:v>
                </c:pt>
                <c:pt idx="147">
                  <c:v>3.564393581591327</c:v>
                </c:pt>
                <c:pt idx="148">
                  <c:v>3.5059473833730292</c:v>
                </c:pt>
                <c:pt idx="149">
                  <c:v>3.598281490808529</c:v>
                </c:pt>
                <c:pt idx="150">
                  <c:v>3.9357101255393165</c:v>
                </c:pt>
                <c:pt idx="151">
                  <c:v>3.806631755056848</c:v>
                </c:pt>
                <c:pt idx="152">
                  <c:v>3.7691795637214343</c:v>
                </c:pt>
                <c:pt idx="153">
                  <c:v>3.7794944538024566</c:v>
                </c:pt>
                <c:pt idx="154">
                  <c:v>3.8676322662943812</c:v>
                </c:pt>
                <c:pt idx="155">
                  <c:v>3.8307340537165544</c:v>
                </c:pt>
                <c:pt idx="156">
                  <c:v>3.8083742254525612</c:v>
                </c:pt>
                <c:pt idx="157">
                  <c:v>3.8340000000000032</c:v>
                </c:pt>
                <c:pt idx="158">
                  <c:v>3.7689600905269542</c:v>
                </c:pt>
                <c:pt idx="159">
                  <c:v>3.7839724729466879</c:v>
                </c:pt>
                <c:pt idx="160">
                  <c:v>3.7817928425663299</c:v>
                </c:pt>
                <c:pt idx="161">
                  <c:v>3.7183882347095838</c:v>
                </c:pt>
                <c:pt idx="162">
                  <c:v>3.6764049402311283</c:v>
                </c:pt>
                <c:pt idx="163">
                  <c:v>3.6914813493479151</c:v>
                </c:pt>
                <c:pt idx="164">
                  <c:v>3.6567393003036597</c:v>
                </c:pt>
                <c:pt idx="165">
                  <c:v>3.6491658343140236</c:v>
                </c:pt>
                <c:pt idx="166">
                  <c:v>3.5895062336281049</c:v>
                </c:pt>
                <c:pt idx="167">
                  <c:v>3.5997205247050266</c:v>
                </c:pt>
                <c:pt idx="168">
                  <c:v>3.7255904505319482</c:v>
                </c:pt>
                <c:pt idx="169">
                  <c:v>3.7263910158244067</c:v>
                </c:pt>
                <c:pt idx="170">
                  <c:v>3.6855710480965023</c:v>
                </c:pt>
                <c:pt idx="171">
                  <c:v>3.6268569194683473</c:v>
                </c:pt>
                <c:pt idx="172">
                  <c:v>3.6028213808376321</c:v>
                </c:pt>
                <c:pt idx="173">
                  <c:v>3.6045163615817035</c:v>
                </c:pt>
                <c:pt idx="174">
                  <c:v>3.4020338456761374</c:v>
                </c:pt>
                <c:pt idx="175">
                  <c:v>3.6057109025438834</c:v>
                </c:pt>
                <c:pt idx="176">
                  <c:v>3.7614545454545505</c:v>
                </c:pt>
                <c:pt idx="177">
                  <c:v>3.5250013876223387</c:v>
                </c:pt>
                <c:pt idx="178">
                  <c:v>3.659738605186095</c:v>
                </c:pt>
                <c:pt idx="179">
                  <c:v>3.7594346533181571</c:v>
                </c:pt>
                <c:pt idx="180">
                  <c:v>3.8425489491590819</c:v>
                </c:pt>
                <c:pt idx="181">
                  <c:v>3.858184029893867</c:v>
                </c:pt>
                <c:pt idx="182">
                  <c:v>3.9284069886773598</c:v>
                </c:pt>
                <c:pt idx="183">
                  <c:v>4.0085810875560952</c:v>
                </c:pt>
                <c:pt idx="184">
                  <c:v>3.985434789552432</c:v>
                </c:pt>
                <c:pt idx="185">
                  <c:v>3.9869639891930237</c:v>
                </c:pt>
                <c:pt idx="186">
                  <c:v>4.0038638007482525</c:v>
                </c:pt>
                <c:pt idx="187">
                  <c:v>3.9551742982615523</c:v>
                </c:pt>
                <c:pt idx="188">
                  <c:v>3.6806887946334848</c:v>
                </c:pt>
                <c:pt idx="189">
                  <c:v>3.6441282754343662</c:v>
                </c:pt>
                <c:pt idx="190">
                  <c:v>3.8063059449952892</c:v>
                </c:pt>
                <c:pt idx="191">
                  <c:v>3.8009539755122201</c:v>
                </c:pt>
                <c:pt idx="192">
                  <c:v>3.8343803459062813</c:v>
                </c:pt>
                <c:pt idx="193">
                  <c:v>3.8403499970661676</c:v>
                </c:pt>
                <c:pt idx="194">
                  <c:v>3.8433110627809506</c:v>
                </c:pt>
                <c:pt idx="195">
                  <c:v>3.8941881578029052</c:v>
                </c:pt>
                <c:pt idx="196">
                  <c:v>4.0915417712531523</c:v>
                </c:pt>
                <c:pt idx="197">
                  <c:v>4.1541554811046559</c:v>
                </c:pt>
                <c:pt idx="198">
                  <c:v>4.1336789805934631</c:v>
                </c:pt>
                <c:pt idx="199">
                  <c:v>4.1303004832031229</c:v>
                </c:pt>
                <c:pt idx="200">
                  <c:v>4.2210262645321626</c:v>
                </c:pt>
                <c:pt idx="201">
                  <c:v>4.514189759892246</c:v>
                </c:pt>
                <c:pt idx="202">
                  <c:v>4.5762652187977055</c:v>
                </c:pt>
                <c:pt idx="203">
                  <c:v>4.5804625467541191</c:v>
                </c:pt>
                <c:pt idx="204">
                  <c:v>4.6418025650333057</c:v>
                </c:pt>
                <c:pt idx="205">
                  <c:v>4.6799779264850656</c:v>
                </c:pt>
                <c:pt idx="206">
                  <c:v>4.7840050996555545</c:v>
                </c:pt>
                <c:pt idx="207">
                  <c:v>4.7682683239604051</c:v>
                </c:pt>
                <c:pt idx="208">
                  <c:v>4.9175124157183596</c:v>
                </c:pt>
                <c:pt idx="209">
                  <c:v>4.9305342421115048</c:v>
                </c:pt>
                <c:pt idx="210">
                  <c:v>5.1239683570276924</c:v>
                </c:pt>
                <c:pt idx="211">
                  <c:v>5.2583505912886368</c:v>
                </c:pt>
                <c:pt idx="212">
                  <c:v>5.5328294224899803</c:v>
                </c:pt>
                <c:pt idx="213">
                  <c:v>5.8020067320056583</c:v>
                </c:pt>
                <c:pt idx="214">
                  <c:v>5.8712533506471338</c:v>
                </c:pt>
                <c:pt idx="215">
                  <c:v>6.0006935160912214</c:v>
                </c:pt>
                <c:pt idx="216">
                  <c:v>6.1131302426428498</c:v>
                </c:pt>
              </c:numCache>
            </c:numRef>
          </c:val>
          <c:smooth val="0"/>
          <c:extLst>
            <c:ext xmlns:c16="http://schemas.microsoft.com/office/drawing/2014/chart" uri="{C3380CC4-5D6E-409C-BE32-E72D297353CC}">
              <c16:uniqueId val="{00000003-5AB4-4611-A452-B7BE886C67D1}"/>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4457638813952E-4"/>
                  <c:y val="4.918714549241502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AB4-4611-A452-B7BE886C67D1}"/>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2018'!$A$173:$B$389</c:f>
              <c:multiLvlStrCache>
                <c:ptCount val="217"/>
                <c:lvl>
                  <c:pt idx="0">
                    <c:v>1qEne</c:v>
                  </c:pt>
                  <c:pt idx="1">
                    <c:v>2qEne</c:v>
                  </c:pt>
                  <c:pt idx="2">
                    <c:v>1qFeb</c:v>
                  </c:pt>
                  <c:pt idx="3">
                    <c:v>2qFeb</c:v>
                  </c:pt>
                  <c:pt idx="4">
                    <c:v>1qMar</c:v>
                  </c:pt>
                  <c:pt idx="5">
                    <c:v>2qMar</c:v>
                  </c:pt>
                  <c:pt idx="6">
                    <c:v>1qAbr</c:v>
                  </c:pt>
                  <c:pt idx="7">
                    <c:v>2qAbr</c:v>
                  </c:pt>
                  <c:pt idx="8">
                    <c:v>1qMay</c:v>
                  </c:pt>
                  <c:pt idx="9">
                    <c:v>2qMay</c:v>
                  </c:pt>
                  <c:pt idx="10">
                    <c:v>1qJun</c:v>
                  </c:pt>
                  <c:pt idx="11">
                    <c:v>2qJun</c:v>
                  </c:pt>
                  <c:pt idx="12">
                    <c:v>1qJul</c:v>
                  </c:pt>
                  <c:pt idx="13">
                    <c:v>2qJul</c:v>
                  </c:pt>
                  <c:pt idx="14">
                    <c:v>1qAgo</c:v>
                  </c:pt>
                  <c:pt idx="15">
                    <c:v>2qAgo</c:v>
                  </c:pt>
                  <c:pt idx="16">
                    <c:v>1qSep</c:v>
                  </c:pt>
                  <c:pt idx="17">
                    <c:v>2qSep</c:v>
                  </c:pt>
                  <c:pt idx="18">
                    <c:v>1qOct</c:v>
                  </c:pt>
                  <c:pt idx="19">
                    <c:v>2qOct</c:v>
                  </c:pt>
                  <c:pt idx="20">
                    <c:v>1qNov</c:v>
                  </c:pt>
                  <c:pt idx="21">
                    <c:v>2qNov</c:v>
                  </c:pt>
                  <c:pt idx="22">
                    <c:v>1qDic</c:v>
                  </c:pt>
                  <c:pt idx="23">
                    <c:v>2qDic</c:v>
                  </c:pt>
                  <c:pt idx="24">
                    <c:v>1qEne</c:v>
                  </c:pt>
                  <c:pt idx="25">
                    <c:v>2qEne</c:v>
                  </c:pt>
                  <c:pt idx="26">
                    <c:v>1qFeb</c:v>
                  </c:pt>
                  <c:pt idx="27">
                    <c:v>2qFeb</c:v>
                  </c:pt>
                  <c:pt idx="28">
                    <c:v>1qMar</c:v>
                  </c:pt>
                  <c:pt idx="29">
                    <c:v>2qMar</c:v>
                  </c:pt>
                  <c:pt idx="30">
                    <c:v>1qAbr</c:v>
                  </c:pt>
                  <c:pt idx="31">
                    <c:v>2qAbr</c:v>
                  </c:pt>
                  <c:pt idx="32">
                    <c:v>1qMay</c:v>
                  </c:pt>
                  <c:pt idx="33">
                    <c:v>2qMay</c:v>
                  </c:pt>
                  <c:pt idx="34">
                    <c:v>1qJun</c:v>
                  </c:pt>
                  <c:pt idx="35">
                    <c:v>2qJun</c:v>
                  </c:pt>
                  <c:pt idx="36">
                    <c:v>1qJul</c:v>
                  </c:pt>
                  <c:pt idx="37">
                    <c:v>2qJul</c:v>
                  </c:pt>
                  <c:pt idx="38">
                    <c:v>1qAgo</c:v>
                  </c:pt>
                  <c:pt idx="39">
                    <c:v>2qAgo</c:v>
                  </c:pt>
                  <c:pt idx="40">
                    <c:v>1qSep</c:v>
                  </c:pt>
                  <c:pt idx="41">
                    <c:v>2qSep</c:v>
                  </c:pt>
                  <c:pt idx="42">
                    <c:v>1qOct</c:v>
                  </c:pt>
                  <c:pt idx="43">
                    <c:v>2qOct</c:v>
                  </c:pt>
                  <c:pt idx="44">
                    <c:v>1qNov</c:v>
                  </c:pt>
                  <c:pt idx="45">
                    <c:v>2qNov</c:v>
                  </c:pt>
                  <c:pt idx="46">
                    <c:v>1qDic</c:v>
                  </c:pt>
                  <c:pt idx="47">
                    <c:v>2qDic</c:v>
                  </c:pt>
                  <c:pt idx="48">
                    <c:v>1qEne</c:v>
                  </c:pt>
                  <c:pt idx="49">
                    <c:v>2qEne</c:v>
                  </c:pt>
                  <c:pt idx="50">
                    <c:v>1qFeb</c:v>
                  </c:pt>
                  <c:pt idx="51">
                    <c:v>2qFeb</c:v>
                  </c:pt>
                  <c:pt idx="52">
                    <c:v>1qMar</c:v>
                  </c:pt>
                  <c:pt idx="53">
                    <c:v>2qMar</c:v>
                  </c:pt>
                  <c:pt idx="54">
                    <c:v>1qAbr</c:v>
                  </c:pt>
                  <c:pt idx="55">
                    <c:v>2qAbr</c:v>
                  </c:pt>
                  <c:pt idx="56">
                    <c:v>1qMay</c:v>
                  </c:pt>
                  <c:pt idx="57">
                    <c:v>2qMay</c:v>
                  </c:pt>
                  <c:pt idx="58">
                    <c:v>1qJun</c:v>
                  </c:pt>
                  <c:pt idx="59">
                    <c:v>2qJun</c:v>
                  </c:pt>
                  <c:pt idx="60">
                    <c:v>1qJul</c:v>
                  </c:pt>
                  <c:pt idx="61">
                    <c:v>2qJul</c:v>
                  </c:pt>
                  <c:pt idx="62">
                    <c:v>1qAgo</c:v>
                  </c:pt>
                  <c:pt idx="63">
                    <c:v>2qAgo</c:v>
                  </c:pt>
                  <c:pt idx="64">
                    <c:v>1qSep</c:v>
                  </c:pt>
                  <c:pt idx="65">
                    <c:v>2qSep</c:v>
                  </c:pt>
                  <c:pt idx="66">
                    <c:v>1qOct</c:v>
                  </c:pt>
                  <c:pt idx="67">
                    <c:v>2qOct</c:v>
                  </c:pt>
                  <c:pt idx="68">
                    <c:v>1qNov</c:v>
                  </c:pt>
                  <c:pt idx="69">
                    <c:v>2qNov</c:v>
                  </c:pt>
                  <c:pt idx="70">
                    <c:v>1qDic</c:v>
                  </c:pt>
                  <c:pt idx="71">
                    <c:v>2qDic</c:v>
                  </c:pt>
                  <c:pt idx="72">
                    <c:v>1qEne</c:v>
                  </c:pt>
                  <c:pt idx="73">
                    <c:v>2qEne</c:v>
                  </c:pt>
                  <c:pt idx="74">
                    <c:v>1qFeb</c:v>
                  </c:pt>
                  <c:pt idx="75">
                    <c:v>2qFeb</c:v>
                  </c:pt>
                  <c:pt idx="76">
                    <c:v>1qMar</c:v>
                  </c:pt>
                  <c:pt idx="77">
                    <c:v>2qMar</c:v>
                  </c:pt>
                  <c:pt idx="78">
                    <c:v>1qAbr</c:v>
                  </c:pt>
                  <c:pt idx="79">
                    <c:v>2qAbr</c:v>
                  </c:pt>
                  <c:pt idx="80">
                    <c:v>1qMay</c:v>
                  </c:pt>
                  <c:pt idx="81">
                    <c:v>2qMay</c:v>
                  </c:pt>
                  <c:pt idx="82">
                    <c:v>1qJun</c:v>
                  </c:pt>
                  <c:pt idx="83">
                    <c:v>2qJun</c:v>
                  </c:pt>
                  <c:pt idx="84">
                    <c:v>1qJul</c:v>
                  </c:pt>
                  <c:pt idx="85">
                    <c:v>2qJul</c:v>
                  </c:pt>
                  <c:pt idx="86">
                    <c:v>1qAgo</c:v>
                  </c:pt>
                  <c:pt idx="87">
                    <c:v>2qAgo</c:v>
                  </c:pt>
                  <c:pt idx="88">
                    <c:v>1qSep</c:v>
                  </c:pt>
                  <c:pt idx="89">
                    <c:v>2qSep</c:v>
                  </c:pt>
                  <c:pt idx="90">
                    <c:v>1qOct</c:v>
                  </c:pt>
                  <c:pt idx="91">
                    <c:v>2qOct</c:v>
                  </c:pt>
                  <c:pt idx="92">
                    <c:v>1qNov</c:v>
                  </c:pt>
                  <c:pt idx="93">
                    <c:v>2qNov</c:v>
                  </c:pt>
                  <c:pt idx="94">
                    <c:v>1qDic</c:v>
                  </c:pt>
                  <c:pt idx="95">
                    <c:v>2qDic</c:v>
                  </c:pt>
                  <c:pt idx="96">
                    <c:v>1qEne</c:v>
                  </c:pt>
                  <c:pt idx="97">
                    <c:v>2qEne</c:v>
                  </c:pt>
                  <c:pt idx="98">
                    <c:v>1qFeb</c:v>
                  </c:pt>
                  <c:pt idx="99">
                    <c:v>2qFeb</c:v>
                  </c:pt>
                  <c:pt idx="100">
                    <c:v>1qMar</c:v>
                  </c:pt>
                  <c:pt idx="101">
                    <c:v>2qMar</c:v>
                  </c:pt>
                  <c:pt idx="102">
                    <c:v>1qAbr</c:v>
                  </c:pt>
                  <c:pt idx="103">
                    <c:v>2qAbr</c:v>
                  </c:pt>
                  <c:pt idx="104">
                    <c:v>1qMay</c:v>
                  </c:pt>
                  <c:pt idx="105">
                    <c:v>2qMay</c:v>
                  </c:pt>
                  <c:pt idx="106">
                    <c:v>1qJun</c:v>
                  </c:pt>
                  <c:pt idx="107">
                    <c:v>2qJun</c:v>
                  </c:pt>
                  <c:pt idx="108">
                    <c:v>1qJul</c:v>
                  </c:pt>
                  <c:pt idx="109">
                    <c:v>2qJul</c:v>
                  </c:pt>
                  <c:pt idx="110">
                    <c:v>1qAgo</c:v>
                  </c:pt>
                  <c:pt idx="111">
                    <c:v>2qAgo</c:v>
                  </c:pt>
                  <c:pt idx="112">
                    <c:v>1qSep</c:v>
                  </c:pt>
                  <c:pt idx="113">
                    <c:v>2qSep</c:v>
                  </c:pt>
                  <c:pt idx="114">
                    <c:v>1qOct</c:v>
                  </c:pt>
                  <c:pt idx="115">
                    <c:v>2qOct</c:v>
                  </c:pt>
                  <c:pt idx="116">
                    <c:v>1qNov</c:v>
                  </c:pt>
                  <c:pt idx="117">
                    <c:v>2qNov</c:v>
                  </c:pt>
                  <c:pt idx="118">
                    <c:v>1qDic</c:v>
                  </c:pt>
                  <c:pt idx="119">
                    <c:v>2qDic</c:v>
                  </c:pt>
                  <c:pt idx="120">
                    <c:v>1qEne</c:v>
                  </c:pt>
                  <c:pt idx="121">
                    <c:v>2qEne</c:v>
                  </c:pt>
                  <c:pt idx="122">
                    <c:v>1qFeb</c:v>
                  </c:pt>
                  <c:pt idx="123">
                    <c:v>2qFeb</c:v>
                  </c:pt>
                  <c:pt idx="124">
                    <c:v>1qMar</c:v>
                  </c:pt>
                  <c:pt idx="125">
                    <c:v>2qMar</c:v>
                  </c:pt>
                  <c:pt idx="126">
                    <c:v>1qAbr</c:v>
                  </c:pt>
                  <c:pt idx="127">
                    <c:v>2qAbr</c:v>
                  </c:pt>
                  <c:pt idx="128">
                    <c:v>1qMay</c:v>
                  </c:pt>
                  <c:pt idx="129">
                    <c:v>2qMay</c:v>
                  </c:pt>
                  <c:pt idx="130">
                    <c:v>1qJun</c:v>
                  </c:pt>
                  <c:pt idx="131">
                    <c:v>2qJun</c:v>
                  </c:pt>
                  <c:pt idx="132">
                    <c:v>1qJul</c:v>
                  </c:pt>
                  <c:pt idx="133">
                    <c:v>2qJul</c:v>
                  </c:pt>
                  <c:pt idx="134">
                    <c:v>1qAgo</c:v>
                  </c:pt>
                  <c:pt idx="135">
                    <c:v>2qAgo</c:v>
                  </c:pt>
                  <c:pt idx="136">
                    <c:v>1qSep</c:v>
                  </c:pt>
                  <c:pt idx="137">
                    <c:v>2qSep</c:v>
                  </c:pt>
                  <c:pt idx="138">
                    <c:v>1qOct</c:v>
                  </c:pt>
                  <c:pt idx="139">
                    <c:v>2qOct</c:v>
                  </c:pt>
                  <c:pt idx="140">
                    <c:v>1qNov</c:v>
                  </c:pt>
                  <c:pt idx="141">
                    <c:v>2qNov</c:v>
                  </c:pt>
                  <c:pt idx="142">
                    <c:v>1qDic</c:v>
                  </c:pt>
                  <c:pt idx="143">
                    <c:v>2qDic</c:v>
                  </c:pt>
                  <c:pt idx="144">
                    <c:v>1qEne</c:v>
                  </c:pt>
                  <c:pt idx="145">
                    <c:v>2qEne</c:v>
                  </c:pt>
                  <c:pt idx="146">
                    <c:v>1qFeb</c:v>
                  </c:pt>
                  <c:pt idx="147">
                    <c:v>2qFeb</c:v>
                  </c:pt>
                  <c:pt idx="148">
                    <c:v>1qMar</c:v>
                  </c:pt>
                  <c:pt idx="149">
                    <c:v>2qMar</c:v>
                  </c:pt>
                  <c:pt idx="150">
                    <c:v>1qAbr</c:v>
                  </c:pt>
                  <c:pt idx="151">
                    <c:v>2qAbr</c:v>
                  </c:pt>
                  <c:pt idx="152">
                    <c:v>1qMay</c:v>
                  </c:pt>
                  <c:pt idx="153">
                    <c:v>2qMay</c:v>
                  </c:pt>
                  <c:pt idx="154">
                    <c:v>1qJun</c:v>
                  </c:pt>
                  <c:pt idx="155">
                    <c:v>2qJun</c:v>
                  </c:pt>
                  <c:pt idx="156">
                    <c:v>1qJul</c:v>
                  </c:pt>
                  <c:pt idx="157">
                    <c:v>2qJul</c:v>
                  </c:pt>
                  <c:pt idx="158">
                    <c:v>1qAgo</c:v>
                  </c:pt>
                  <c:pt idx="159">
                    <c:v>2qAgo</c:v>
                  </c:pt>
                  <c:pt idx="160">
                    <c:v>1qSep</c:v>
                  </c:pt>
                  <c:pt idx="161">
                    <c:v>2qSep</c:v>
                  </c:pt>
                  <c:pt idx="162">
                    <c:v>1qOct</c:v>
                  </c:pt>
                  <c:pt idx="163">
                    <c:v>2qOct</c:v>
                  </c:pt>
                  <c:pt idx="164">
                    <c:v>1qNov</c:v>
                  </c:pt>
                  <c:pt idx="165">
                    <c:v>2qNov</c:v>
                  </c:pt>
                  <c:pt idx="166">
                    <c:v>1qDic</c:v>
                  </c:pt>
                  <c:pt idx="167">
                    <c:v>2qDic</c:v>
                  </c:pt>
                  <c:pt idx="168">
                    <c:v>1qEne</c:v>
                  </c:pt>
                  <c:pt idx="169">
                    <c:v>2qEne</c:v>
                  </c:pt>
                  <c:pt idx="170">
                    <c:v>1qFeb</c:v>
                  </c:pt>
                  <c:pt idx="171">
                    <c:v>2qFeb</c:v>
                  </c:pt>
                  <c:pt idx="172">
                    <c:v>1qMar</c:v>
                  </c:pt>
                  <c:pt idx="173">
                    <c:v>2qMar</c:v>
                  </c:pt>
                  <c:pt idx="174">
                    <c:v>1qAbr</c:v>
                  </c:pt>
                  <c:pt idx="175">
                    <c:v>2qAbr</c:v>
                  </c:pt>
                  <c:pt idx="176">
                    <c:v>1qMay</c:v>
                  </c:pt>
                  <c:pt idx="177">
                    <c:v>2qMay</c:v>
                  </c:pt>
                  <c:pt idx="178">
                    <c:v>1qJun</c:v>
                  </c:pt>
                  <c:pt idx="179">
                    <c:v>2qJun</c:v>
                  </c:pt>
                  <c:pt idx="180">
                    <c:v>1qJul</c:v>
                  </c:pt>
                  <c:pt idx="181">
                    <c:v>2qJul</c:v>
                  </c:pt>
                  <c:pt idx="182">
                    <c:v>1qAgo</c:v>
                  </c:pt>
                  <c:pt idx="183">
                    <c:v>2qAgo</c:v>
                  </c:pt>
                  <c:pt idx="184">
                    <c:v>1qSep</c:v>
                  </c:pt>
                  <c:pt idx="185">
                    <c:v>2qSep</c:v>
                  </c:pt>
                  <c:pt idx="186">
                    <c:v>1qOct</c:v>
                  </c:pt>
                  <c:pt idx="187">
                    <c:v>2qOct</c:v>
                  </c:pt>
                  <c:pt idx="188">
                    <c:v>1qNov</c:v>
                  </c:pt>
                  <c:pt idx="189">
                    <c:v>2qNov</c:v>
                  </c:pt>
                  <c:pt idx="190">
                    <c:v>1qDic</c:v>
                  </c:pt>
                  <c:pt idx="191">
                    <c:v>2qDic</c:v>
                  </c:pt>
                  <c:pt idx="192">
                    <c:v>1qEne</c:v>
                  </c:pt>
                  <c:pt idx="193">
                    <c:v>2qEne</c:v>
                  </c:pt>
                  <c:pt idx="194">
                    <c:v>1qFeb</c:v>
                  </c:pt>
                  <c:pt idx="195">
                    <c:v>2qFeb</c:v>
                  </c:pt>
                  <c:pt idx="196">
                    <c:v>1qMar</c:v>
                  </c:pt>
                  <c:pt idx="197">
                    <c:v>2qMar</c:v>
                  </c:pt>
                  <c:pt idx="198">
                    <c:v>1qAbr</c:v>
                  </c:pt>
                  <c:pt idx="199">
                    <c:v>2qAbr</c:v>
                  </c:pt>
                  <c:pt idx="200">
                    <c:v>1qMay</c:v>
                  </c:pt>
                  <c:pt idx="201">
                    <c:v>2qMay</c:v>
                  </c:pt>
                  <c:pt idx="202">
                    <c:v>1qJun</c:v>
                  </c:pt>
                  <c:pt idx="203">
                    <c:v>2qJun</c:v>
                  </c:pt>
                  <c:pt idx="204">
                    <c:v>1qJul</c:v>
                  </c:pt>
                  <c:pt idx="205">
                    <c:v>2qJul</c:v>
                  </c:pt>
                  <c:pt idx="206">
                    <c:v>1qAgo</c:v>
                  </c:pt>
                  <c:pt idx="207">
                    <c:v>2qAgo</c:v>
                  </c:pt>
                  <c:pt idx="208">
                    <c:v>1qSep</c:v>
                  </c:pt>
                  <c:pt idx="209">
                    <c:v>2qSep</c:v>
                  </c:pt>
                  <c:pt idx="210">
                    <c:v>1qOct</c:v>
                  </c:pt>
                  <c:pt idx="211">
                    <c:v>2qOct</c:v>
                  </c:pt>
                  <c:pt idx="212">
                    <c:v>1qNov</c:v>
                  </c:pt>
                  <c:pt idx="213">
                    <c:v>2qNov</c:v>
                  </c:pt>
                  <c:pt idx="214">
                    <c:v>1qDic</c:v>
                  </c:pt>
                  <c:pt idx="215">
                    <c:v>2qDic</c:v>
                  </c:pt>
                  <c:pt idx="216">
                    <c:v>1qEne</c:v>
                  </c:pt>
                </c:lvl>
                <c:lvl>
                  <c:pt idx="0">
                    <c:v>2013</c:v>
                  </c:pt>
                  <c:pt idx="1">
                    <c:v>2013</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2014</c:v>
                  </c:pt>
                  <c:pt idx="25">
                    <c:v>2014</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2015</c:v>
                  </c:pt>
                  <c:pt idx="49">
                    <c:v>2015</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2016</c:v>
                  </c:pt>
                  <c:pt idx="73">
                    <c:v>2016</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2017</c:v>
                  </c:pt>
                  <c:pt idx="97">
                    <c:v>2017</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2018</c:v>
                  </c:pt>
                  <c:pt idx="121">
                    <c:v>2018</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2019</c:v>
                  </c:pt>
                  <c:pt idx="145">
                    <c:v>2019</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2020</c:v>
                  </c:pt>
                  <c:pt idx="169">
                    <c:v>2020</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2021</c:v>
                  </c:pt>
                  <c:pt idx="193">
                    <c:v>2021</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2022</c:v>
                  </c:pt>
                </c:lvl>
              </c:multiLvlStrCache>
            </c:multiLvlStrRef>
          </c:cat>
          <c:val>
            <c:numRef>
              <c:f>'Datos base 2q jul 2018'!$J$173:$J$389</c:f>
              <c:numCache>
                <c:formatCode>0.00</c:formatCode>
                <c:ptCount val="217"/>
                <c:pt idx="0">
                  <c:v>4.608977501040858</c:v>
                </c:pt>
                <c:pt idx="1">
                  <c:v>4.3355668355780272</c:v>
                </c:pt>
                <c:pt idx="2">
                  <c:v>5.1382253293632401</c:v>
                </c:pt>
                <c:pt idx="3">
                  <c:v>5.8118619831810516</c:v>
                </c:pt>
                <c:pt idx="4">
                  <c:v>7.6078959792507632</c:v>
                </c:pt>
                <c:pt idx="5">
                  <c:v>8.974829046550866</c:v>
                </c:pt>
                <c:pt idx="6">
                  <c:v>10.4402917934479</c:v>
                </c:pt>
                <c:pt idx="7">
                  <c:v>10.201009942024438</c:v>
                </c:pt>
                <c:pt idx="8">
                  <c:v>10.907369408610769</c:v>
                </c:pt>
                <c:pt idx="9">
                  <c:v>10.207435473414865</c:v>
                </c:pt>
                <c:pt idx="10">
                  <c:v>8.9461357031676076</c:v>
                </c:pt>
                <c:pt idx="11">
                  <c:v>7.8336181790615926</c:v>
                </c:pt>
                <c:pt idx="12">
                  <c:v>6.6244275978413096</c:v>
                </c:pt>
                <c:pt idx="13">
                  <c:v>6.5849956521731121</c:v>
                </c:pt>
                <c:pt idx="14">
                  <c:v>7.3449762834321159</c:v>
                </c:pt>
                <c:pt idx="15">
                  <c:v>6.6779523560491665</c:v>
                </c:pt>
                <c:pt idx="16">
                  <c:v>6.4359410807156525</c:v>
                </c:pt>
                <c:pt idx="17">
                  <c:v>5.9553218744046132</c:v>
                </c:pt>
                <c:pt idx="18">
                  <c:v>5.8530958727509432</c:v>
                </c:pt>
                <c:pt idx="19">
                  <c:v>6.5128075430433015</c:v>
                </c:pt>
                <c:pt idx="20">
                  <c:v>7.0118965034908376</c:v>
                </c:pt>
                <c:pt idx="21">
                  <c:v>7.0221263361673998</c:v>
                </c:pt>
                <c:pt idx="22">
                  <c:v>7.4370205211353877</c:v>
                </c:pt>
                <c:pt idx="23">
                  <c:v>8.2465287880433564</c:v>
                </c:pt>
                <c:pt idx="24">
                  <c:v>8.8367983932548242</c:v>
                </c:pt>
                <c:pt idx="25">
                  <c:v>8.3284321874428038</c:v>
                </c:pt>
                <c:pt idx="26">
                  <c:v>8.2233548225420758</c:v>
                </c:pt>
                <c:pt idx="27">
                  <c:v>8.3413815433276302</c:v>
                </c:pt>
                <c:pt idx="28">
                  <c:v>7.2884436711685847</c:v>
                </c:pt>
                <c:pt idx="29">
                  <c:v>5.7915782414892245</c:v>
                </c:pt>
                <c:pt idx="30">
                  <c:v>4.6968785523998315</c:v>
                </c:pt>
                <c:pt idx="31">
                  <c:v>4.798318686234242</c:v>
                </c:pt>
                <c:pt idx="32">
                  <c:v>5.020625205263511</c:v>
                </c:pt>
                <c:pt idx="33">
                  <c:v>5.3523730112123085</c:v>
                </c:pt>
                <c:pt idx="34">
                  <c:v>5.781514877854991</c:v>
                </c:pt>
                <c:pt idx="35">
                  <c:v>6.1425421142468783</c:v>
                </c:pt>
                <c:pt idx="36">
                  <c:v>6.6760329205397984</c:v>
                </c:pt>
                <c:pt idx="37">
                  <c:v>6.9782029697425152</c:v>
                </c:pt>
                <c:pt idx="38">
                  <c:v>6.4950635503201806</c:v>
                </c:pt>
                <c:pt idx="39">
                  <c:v>6.9409184628710738</c:v>
                </c:pt>
                <c:pt idx="40">
                  <c:v>7.0922003284502013</c:v>
                </c:pt>
                <c:pt idx="41">
                  <c:v>7.1317297538828734</c:v>
                </c:pt>
                <c:pt idx="42">
                  <c:v>7.5886496453235548</c:v>
                </c:pt>
                <c:pt idx="43">
                  <c:v>7.4237251066789662</c:v>
                </c:pt>
                <c:pt idx="44">
                  <c:v>6.7872551782769337</c:v>
                </c:pt>
                <c:pt idx="45">
                  <c:v>6.7653961950898802</c:v>
                </c:pt>
                <c:pt idx="46">
                  <c:v>7.1142206408702933</c:v>
                </c:pt>
                <c:pt idx="47">
                  <c:v>6.2883677473259407</c:v>
                </c:pt>
                <c:pt idx="48">
                  <c:v>5.1238236673489137</c:v>
                </c:pt>
                <c:pt idx="49">
                  <c:v>5.553502053315559</c:v>
                </c:pt>
                <c:pt idx="50">
                  <c:v>4.9759722534293189</c:v>
                </c:pt>
                <c:pt idx="51">
                  <c:v>4.7923307780056659</c:v>
                </c:pt>
                <c:pt idx="52">
                  <c:v>4.6877848019337964</c:v>
                </c:pt>
                <c:pt idx="53">
                  <c:v>5.8982881785546351</c:v>
                </c:pt>
                <c:pt idx="54">
                  <c:v>5.5662086749607775</c:v>
                </c:pt>
                <c:pt idx="55">
                  <c:v>5.3604930577271457</c:v>
                </c:pt>
                <c:pt idx="56">
                  <c:v>4.7646302304178798</c:v>
                </c:pt>
                <c:pt idx="57">
                  <c:v>4.5218429460487961</c:v>
                </c:pt>
                <c:pt idx="58">
                  <c:v>4.7150900692212332</c:v>
                </c:pt>
                <c:pt idx="59">
                  <c:v>4.5522452292606204</c:v>
                </c:pt>
                <c:pt idx="60">
                  <c:v>4.2340596225878899</c:v>
                </c:pt>
                <c:pt idx="61">
                  <c:v>4.0145974849363251</c:v>
                </c:pt>
                <c:pt idx="62">
                  <c:v>3.7730940060574425</c:v>
                </c:pt>
                <c:pt idx="63">
                  <c:v>3.253707279534702</c:v>
                </c:pt>
                <c:pt idx="64">
                  <c:v>3.1284345527310906</c:v>
                </c:pt>
                <c:pt idx="65">
                  <c:v>2.799376312718608</c:v>
                </c:pt>
                <c:pt idx="66">
                  <c:v>2.5182673831467639</c:v>
                </c:pt>
                <c:pt idx="67">
                  <c:v>2.5316811331532789</c:v>
                </c:pt>
                <c:pt idx="68">
                  <c:v>2.0256458057087765</c:v>
                </c:pt>
                <c:pt idx="69">
                  <c:v>1.6607444895850163</c:v>
                </c:pt>
                <c:pt idx="70">
                  <c:v>0.82695210466758939</c:v>
                </c:pt>
                <c:pt idx="71">
                  <c:v>1.724262703140605</c:v>
                </c:pt>
                <c:pt idx="72">
                  <c:v>2.076840265880878</c:v>
                </c:pt>
                <c:pt idx="73">
                  <c:v>2.9670720466403915</c:v>
                </c:pt>
                <c:pt idx="74">
                  <c:v>3.8869802894417953</c:v>
                </c:pt>
                <c:pt idx="75">
                  <c:v>3.1013903780819594</c:v>
                </c:pt>
                <c:pt idx="76">
                  <c:v>2.2772829941737354</c:v>
                </c:pt>
                <c:pt idx="77">
                  <c:v>1.9572208365234951</c:v>
                </c:pt>
                <c:pt idx="78">
                  <c:v>2.0115736658447148</c:v>
                </c:pt>
                <c:pt idx="79">
                  <c:v>1.3069599469632531</c:v>
                </c:pt>
                <c:pt idx="80">
                  <c:v>1.3202540826712859</c:v>
                </c:pt>
                <c:pt idx="81">
                  <c:v>1.7754334846294024</c:v>
                </c:pt>
                <c:pt idx="82">
                  <c:v>1.1875054186072642</c:v>
                </c:pt>
                <c:pt idx="83">
                  <c:v>1.1236102759206998</c:v>
                </c:pt>
                <c:pt idx="84">
                  <c:v>1.8570672629971363</c:v>
                </c:pt>
                <c:pt idx="85">
                  <c:v>1.435473434493211</c:v>
                </c:pt>
                <c:pt idx="86">
                  <c:v>2.2551891944160936</c:v>
                </c:pt>
                <c:pt idx="87">
                  <c:v>1.7205237390155139</c:v>
                </c:pt>
                <c:pt idx="88">
                  <c:v>2.3568244434462002</c:v>
                </c:pt>
                <c:pt idx="89">
                  <c:v>2.9494501849673669</c:v>
                </c:pt>
                <c:pt idx="90">
                  <c:v>3.0509461123777619</c:v>
                </c:pt>
                <c:pt idx="91">
                  <c:v>2.8557463161235983</c:v>
                </c:pt>
                <c:pt idx="92">
                  <c:v>3.1799022420404248</c:v>
                </c:pt>
                <c:pt idx="93">
                  <c:v>3.5033422442723645</c:v>
                </c:pt>
                <c:pt idx="94">
                  <c:v>3.5487290477032336</c:v>
                </c:pt>
                <c:pt idx="95">
                  <c:v>2.7088446842934264</c:v>
                </c:pt>
                <c:pt idx="96">
                  <c:v>8.0155759671578775</c:v>
                </c:pt>
                <c:pt idx="97">
                  <c:v>6.7889227299709018</c:v>
                </c:pt>
                <c:pt idx="98">
                  <c:v>6.2468428455855101</c:v>
                </c:pt>
                <c:pt idx="99">
                  <c:v>7.1735536812742309</c:v>
                </c:pt>
                <c:pt idx="100">
                  <c:v>8.2400694123811249</c:v>
                </c:pt>
                <c:pt idx="101">
                  <c:v>7.8091062118025887</c:v>
                </c:pt>
                <c:pt idx="102">
                  <c:v>8.3192674122531542</c:v>
                </c:pt>
                <c:pt idx="103">
                  <c:v>10.188536743829049</c:v>
                </c:pt>
                <c:pt idx="104">
                  <c:v>10.713444255762218</c:v>
                </c:pt>
                <c:pt idx="105">
                  <c:v>10.494054509718536</c:v>
                </c:pt>
                <c:pt idx="106">
                  <c:v>11.068084455061635</c:v>
                </c:pt>
                <c:pt idx="107">
                  <c:v>11.116193236681299</c:v>
                </c:pt>
                <c:pt idx="108">
                  <c:v>10.654814832773308</c:v>
                </c:pt>
                <c:pt idx="109">
                  <c:v>11.890453651150397</c:v>
                </c:pt>
                <c:pt idx="110">
                  <c:v>11.59946520094484</c:v>
                </c:pt>
                <c:pt idx="111">
                  <c:v>12.370504117360422</c:v>
                </c:pt>
                <c:pt idx="112">
                  <c:v>11.732885573617841</c:v>
                </c:pt>
                <c:pt idx="113">
                  <c:v>10.826978305481262</c:v>
                </c:pt>
                <c:pt idx="114">
                  <c:v>11.175643401945399</c:v>
                </c:pt>
                <c:pt idx="115">
                  <c:v>11.627961590016657</c:v>
                </c:pt>
                <c:pt idx="116">
                  <c:v>11.979095541609256</c:v>
                </c:pt>
                <c:pt idx="117">
                  <c:v>11.966928586012539</c:v>
                </c:pt>
                <c:pt idx="118">
                  <c:v>12.19819985820498</c:v>
                </c:pt>
                <c:pt idx="119">
                  <c:v>13.042548535754021</c:v>
                </c:pt>
                <c:pt idx="120">
                  <c:v>8.0957142470216468</c:v>
                </c:pt>
                <c:pt idx="121">
                  <c:v>8.784029546271972</c:v>
                </c:pt>
                <c:pt idx="122">
                  <c:v>8.7699585650103895</c:v>
                </c:pt>
                <c:pt idx="123">
                  <c:v>8.2133204175087577</c:v>
                </c:pt>
                <c:pt idx="124">
                  <c:v>8.2109095942744847</c:v>
                </c:pt>
                <c:pt idx="125">
                  <c:v>7.8437064030363404</c:v>
                </c:pt>
                <c:pt idx="126">
                  <c:v>7.674493162831669</c:v>
                </c:pt>
                <c:pt idx="127">
                  <c:v>6.4732617723916475</c:v>
                </c:pt>
                <c:pt idx="128">
                  <c:v>6.7861034921774976</c:v>
                </c:pt>
                <c:pt idx="129">
                  <c:v>7.1894470826787513</c:v>
                </c:pt>
                <c:pt idx="130">
                  <c:v>7.4080464156303885</c:v>
                </c:pt>
                <c:pt idx="131">
                  <c:v>8.1759578507468582</c:v>
                </c:pt>
                <c:pt idx="132">
                  <c:v>8.5244469707804758</c:v>
                </c:pt>
                <c:pt idx="133">
                  <c:v>8.2396443389400353</c:v>
                </c:pt>
                <c:pt idx="134">
                  <c:v>8.4778777874222051</c:v>
                </c:pt>
                <c:pt idx="135">
                  <c:v>9.1250834094069031</c:v>
                </c:pt>
                <c:pt idx="136">
                  <c:v>8.9014621740238677</c:v>
                </c:pt>
                <c:pt idx="137">
                  <c:v>9.4001712302329175</c:v>
                </c:pt>
                <c:pt idx="138">
                  <c:v>8.5833746080847018</c:v>
                </c:pt>
                <c:pt idx="139">
                  <c:v>8.4149503244663659</c:v>
                </c:pt>
                <c:pt idx="140">
                  <c:v>7.4587754195543852</c:v>
                </c:pt>
                <c:pt idx="141">
                  <c:v>8.6855000983297579</c:v>
                </c:pt>
                <c:pt idx="142">
                  <c:v>9.2345283540430856</c:v>
                </c:pt>
                <c:pt idx="143">
                  <c:v>7.5711178493052351</c:v>
                </c:pt>
                <c:pt idx="144">
                  <c:v>7.3124385579132483</c:v>
                </c:pt>
                <c:pt idx="145">
                  <c:v>6.3061753519809374</c:v>
                </c:pt>
                <c:pt idx="146">
                  <c:v>5.1471540749467239</c:v>
                </c:pt>
                <c:pt idx="147">
                  <c:v>5.3588076577166346</c:v>
                </c:pt>
                <c:pt idx="148">
                  <c:v>5.3893710249035962</c:v>
                </c:pt>
                <c:pt idx="149">
                  <c:v>5.5437019338347788</c:v>
                </c:pt>
                <c:pt idx="150">
                  <c:v>5.7707492934085547</c:v>
                </c:pt>
                <c:pt idx="151">
                  <c:v>6.3945344975361236</c:v>
                </c:pt>
                <c:pt idx="152">
                  <c:v>6.4150072664465689</c:v>
                </c:pt>
                <c:pt idx="153">
                  <c:v>5.1485634676002903</c:v>
                </c:pt>
                <c:pt idx="154">
                  <c:v>4.3393156770757928</c:v>
                </c:pt>
                <c:pt idx="155">
                  <c:v>4.037491372769324</c:v>
                </c:pt>
                <c:pt idx="156">
                  <c:v>3.920254162049539</c:v>
                </c:pt>
                <c:pt idx="157">
                  <c:v>3.3700000000000041</c:v>
                </c:pt>
                <c:pt idx="158">
                  <c:v>1.8069870764384564</c:v>
                </c:pt>
                <c:pt idx="159">
                  <c:v>0.76325379907859547</c:v>
                </c:pt>
                <c:pt idx="160">
                  <c:v>0.56789253123408745</c:v>
                </c:pt>
                <c:pt idx="161">
                  <c:v>0.84506489941570395</c:v>
                </c:pt>
                <c:pt idx="162">
                  <c:v>0.98524078276217042</c:v>
                </c:pt>
                <c:pt idx="163">
                  <c:v>1.0409411036297576</c:v>
                </c:pt>
                <c:pt idx="164">
                  <c:v>1.4517936155263074</c:v>
                </c:pt>
                <c:pt idx="165">
                  <c:v>0.50817105300167975</c:v>
                </c:pt>
                <c:pt idx="166">
                  <c:v>-0.15228473531241721</c:v>
                </c:pt>
                <c:pt idx="167">
                  <c:v>1.3325873082482418</c:v>
                </c:pt>
                <c:pt idx="168">
                  <c:v>1.6008786217551949</c:v>
                </c:pt>
                <c:pt idx="169">
                  <c:v>2.012004712129996</c:v>
                </c:pt>
                <c:pt idx="170">
                  <c:v>3.0312774872081154</c:v>
                </c:pt>
                <c:pt idx="171">
                  <c:v>4.5964072536017415</c:v>
                </c:pt>
                <c:pt idx="172">
                  <c:v>4.0373138543215932</c:v>
                </c:pt>
                <c:pt idx="173">
                  <c:v>0.34719281903632798</c:v>
                </c:pt>
                <c:pt idx="174">
                  <c:v>-1.930833261820982</c:v>
                </c:pt>
                <c:pt idx="175">
                  <c:v>-1.9980466772494827</c:v>
                </c:pt>
                <c:pt idx="176">
                  <c:v>-5.7393011472736191E-2</c:v>
                </c:pt>
                <c:pt idx="177">
                  <c:v>0.76048900522543172</c:v>
                </c:pt>
                <c:pt idx="178">
                  <c:v>1.6331513149342729</c:v>
                </c:pt>
                <c:pt idx="179">
                  <c:v>2.6874230090821523</c:v>
                </c:pt>
                <c:pt idx="180">
                  <c:v>2.787655826092013</c:v>
                </c:pt>
                <c:pt idx="181">
                  <c:v>3.0465607132630317</c:v>
                </c:pt>
                <c:pt idx="182">
                  <c:v>4.1843838910259485</c:v>
                </c:pt>
                <c:pt idx="183">
                  <c:v>4.4180932242781061</c:v>
                </c:pt>
                <c:pt idx="184">
                  <c:v>4.4425939324519019</c:v>
                </c:pt>
                <c:pt idx="185">
                  <c:v>3.7586638561818293</c:v>
                </c:pt>
                <c:pt idx="186">
                  <c:v>4.3403733451765829</c:v>
                </c:pt>
                <c:pt idx="187">
                  <c:v>4.4997493100608947</c:v>
                </c:pt>
                <c:pt idx="188">
                  <c:v>2.6666806586988949</c:v>
                </c:pt>
                <c:pt idx="189">
                  <c:v>1.993183644063844</c:v>
                </c:pt>
                <c:pt idx="190">
                  <c:v>1.4456611454584429</c:v>
                </c:pt>
                <c:pt idx="191">
                  <c:v>0.92548698474195523</c:v>
                </c:pt>
                <c:pt idx="192">
                  <c:v>1.8426776370681801</c:v>
                </c:pt>
                <c:pt idx="193">
                  <c:v>3.4184266440289588</c:v>
                </c:pt>
                <c:pt idx="194">
                  <c:v>3.848367960362034</c:v>
                </c:pt>
                <c:pt idx="195">
                  <c:v>3.0274489023441742</c:v>
                </c:pt>
                <c:pt idx="196">
                  <c:v>4.186290297042242</c:v>
                </c:pt>
                <c:pt idx="197">
                  <c:v>8.5179516897327598</c:v>
                </c:pt>
                <c:pt idx="198">
                  <c:v>12.205980881655186</c:v>
                </c:pt>
                <c:pt idx="199">
                  <c:v>12.467228886585106</c:v>
                </c:pt>
                <c:pt idx="200">
                  <c:v>10.829272756103951</c:v>
                </c:pt>
                <c:pt idx="201">
                  <c:v>10.69282858164269</c:v>
                </c:pt>
                <c:pt idx="202">
                  <c:v>10.606168428546892</c:v>
                </c:pt>
                <c:pt idx="203">
                  <c:v>9.3954493360536961</c:v>
                </c:pt>
                <c:pt idx="204">
                  <c:v>9.2354738674274106</c:v>
                </c:pt>
                <c:pt idx="205">
                  <c:v>9.5520500935988384</c:v>
                </c:pt>
                <c:pt idx="206">
                  <c:v>8.0754583330724294</c:v>
                </c:pt>
                <c:pt idx="207">
                  <c:v>8.2037242236645724</c:v>
                </c:pt>
                <c:pt idx="208">
                  <c:v>8.8565985490027401</c:v>
                </c:pt>
                <c:pt idx="209">
                  <c:v>9.8869828720812016</c:v>
                </c:pt>
                <c:pt idx="210">
                  <c:v>9.2105726524141787</c:v>
                </c:pt>
                <c:pt idx="211">
                  <c:v>9.7342128422913365</c:v>
                </c:pt>
                <c:pt idx="212">
                  <c:v>11.677454408481875</c:v>
                </c:pt>
                <c:pt idx="213">
                  <c:v>13.548484833729162</c:v>
                </c:pt>
                <c:pt idx="214">
                  <c:v>12.337791153867729</c:v>
                </c:pt>
                <c:pt idx="215">
                  <c:v>11.136468899571431</c:v>
                </c:pt>
                <c:pt idx="216">
                  <c:v>10.210723121241049</c:v>
                </c:pt>
              </c:numCache>
            </c:numRef>
          </c:val>
          <c:smooth val="0"/>
          <c:extLst>
            <c:ext xmlns:c16="http://schemas.microsoft.com/office/drawing/2014/chart" uri="{C3380CC4-5D6E-409C-BE32-E72D297353CC}">
              <c16:uniqueId val="{00000005-5AB4-4611-A452-B7BE886C67D1}"/>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3E01-2E90-4692-9764-0DBE17B4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25</TotalTime>
  <Pages>12</Pages>
  <Words>2343</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31</cp:revision>
  <cp:lastPrinted>2021-01-19T21:18:00Z</cp:lastPrinted>
  <dcterms:created xsi:type="dcterms:W3CDTF">2022-01-21T20:42:00Z</dcterms:created>
  <dcterms:modified xsi:type="dcterms:W3CDTF">2022-01-22T02:55:00Z</dcterms:modified>
  <cp:category>INDICES DE PRECIOS</cp:category>
  <cp:version>1</cp:version>
</cp:coreProperties>
</file>