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38A48" w14:textId="77777777" w:rsidR="00F53B25" w:rsidRPr="00FC3C74" w:rsidRDefault="00F53B25" w:rsidP="00F53B25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F6BB8" wp14:editId="59E434C1">
                <wp:simplePos x="0" y="0"/>
                <wp:positionH relativeFrom="column">
                  <wp:posOffset>3033953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99F0" w14:textId="77777777" w:rsidR="00F53B25" w:rsidRPr="003D4E37" w:rsidRDefault="00F53B25" w:rsidP="00F53B25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22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septiembre</w:t>
                            </w:r>
                          </w:p>
                          <w:p w14:paraId="765E3997" w14:textId="77777777" w:rsidR="00F53B25" w:rsidRPr="003D4E37" w:rsidRDefault="00F53B25" w:rsidP="00F53B2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F6BB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9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8vkvstsAAAAIAQAADwAAAGRycy9kb3ducmV2Lnht&#10;bEyPQU7DMBBF90jcwRokNojahNJAiFMBEqjblh5gkkyTiHgcxW6T3p7pCpajN/r//Xw9u16daAyd&#10;ZwsPCwOKuPJ1x42F/ffn/TOoEJFr7D2ThTMFWBfXVzlmtZ94S6ddbJSEcMjQQhvjkGkdqpYchoUf&#10;iIUd/Ogwyjk2uh5xknDX68SYlXbYsTS0ONBHS9XP7ugsHDbT3dPLVH7Ffbpdrt6xS0t/tvb2Zn57&#10;BRVpjn/PcNEXdSjEqfRHroPqLSzTVNSjBVl0wcY8JqBKAYk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PL5L7LbAAAACAEAAA8AAAAAAAAAAAAAAAAAgQQAAGRycy9kb3du&#10;cmV2LnhtbFBLBQYAAAAABAAEAPMAAACJBQAAAAA=&#10;" stroked="f">
                <v:textbox>
                  <w:txbxContent>
                    <w:p w14:paraId="114099F0" w14:textId="77777777" w:rsidR="00F53B25" w:rsidRPr="003D4E37" w:rsidRDefault="00F53B25" w:rsidP="00F53B25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22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septiembre</w:t>
                      </w:r>
                    </w:p>
                    <w:p w14:paraId="765E3997" w14:textId="77777777" w:rsidR="00F53B25" w:rsidRPr="003D4E37" w:rsidRDefault="00F53B25" w:rsidP="00F53B25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2DBCC95E" w14:textId="77777777" w:rsidR="00F53B25" w:rsidRDefault="00F53B25" w:rsidP="00F53B25">
      <w:pPr>
        <w:jc w:val="center"/>
        <w:rPr>
          <w:b/>
          <w:bCs/>
          <w:caps/>
          <w:sz w:val="28"/>
          <w:szCs w:val="28"/>
          <w:lang w:val="es-MX"/>
        </w:rPr>
      </w:pPr>
    </w:p>
    <w:p w14:paraId="3E85F37D" w14:textId="77777777" w:rsidR="00F53B25" w:rsidRDefault="00F53B25" w:rsidP="00F53B25">
      <w:pPr>
        <w:pStyle w:val="Profesin"/>
        <w:spacing w:before="120"/>
        <w:rPr>
          <w:spacing w:val="20"/>
          <w:sz w:val="22"/>
          <w:szCs w:val="22"/>
        </w:rPr>
      </w:pPr>
    </w:p>
    <w:p w14:paraId="33DAE22B" w14:textId="77777777" w:rsidR="00F53B25" w:rsidRDefault="00F53B25" w:rsidP="00F53B25">
      <w:pPr>
        <w:pStyle w:val="Profesin"/>
        <w:rPr>
          <w:spacing w:val="20"/>
          <w:sz w:val="24"/>
          <w:szCs w:val="24"/>
        </w:rPr>
      </w:pPr>
    </w:p>
    <w:p w14:paraId="6F236AB4" w14:textId="6ED3ADBB" w:rsidR="00F53B25" w:rsidRPr="0069684E" w:rsidRDefault="00F53B25" w:rsidP="00F53B25">
      <w:pPr>
        <w:pStyle w:val="Profesin"/>
        <w:rPr>
          <w:spacing w:val="20"/>
          <w:sz w:val="24"/>
          <w:szCs w:val="24"/>
        </w:rPr>
      </w:pPr>
      <w:bookmarkStart w:id="1" w:name="_GoBack"/>
      <w:bookmarkEnd w:id="1"/>
      <w:r w:rsidRPr="0069684E">
        <w:rPr>
          <w:spacing w:val="20"/>
          <w:sz w:val="24"/>
          <w:szCs w:val="24"/>
        </w:rPr>
        <w:t>ÍNDICE NACIONAL DE PRECIOS AL CONSUMIDOR</w:t>
      </w:r>
    </w:p>
    <w:p w14:paraId="3CC1687D" w14:textId="77777777" w:rsidR="00F53B25" w:rsidRPr="0069684E" w:rsidRDefault="00F53B25" w:rsidP="00F53B25">
      <w:pPr>
        <w:pStyle w:val="Profesin"/>
        <w:spacing w:before="60"/>
        <w:rPr>
          <w:caps w:val="0"/>
          <w:sz w:val="24"/>
          <w:szCs w:val="24"/>
        </w:rPr>
      </w:pPr>
      <w:r w:rsidRPr="0069684E">
        <w:rPr>
          <w:caps w:val="0"/>
          <w:sz w:val="24"/>
          <w:szCs w:val="24"/>
        </w:rPr>
        <w:t>PRIMERA QUINCENA DE AGOSTO DE 2022</w:t>
      </w:r>
    </w:p>
    <w:p w14:paraId="62D248DE" w14:textId="77777777" w:rsidR="00F53B25" w:rsidRPr="00411A99" w:rsidRDefault="00F53B25" w:rsidP="00F53B25">
      <w:pPr>
        <w:spacing w:before="360"/>
        <w:ind w:right="49"/>
        <w:rPr>
          <w:bCs/>
          <w:spacing w:val="4"/>
        </w:rPr>
      </w:pPr>
      <w:r w:rsidRPr="00411A99">
        <w:rPr>
          <w:bCs/>
          <w:spacing w:val="4"/>
        </w:rPr>
        <w:t xml:space="preserve">En la primera quincena de agosto de 2022, el Índice Nacional de Precios al Consumidor (INPC) aumentó 0.42 % respecto a la quincena anterior. Con este resultado, la inflación general anual se ubicó en 8.62 por ciento. En la misma quincena de 2021, la inflación quincenal fue de </w:t>
      </w:r>
      <w:r w:rsidRPr="00411A99">
        <w:rPr>
          <w:bCs/>
          <w:spacing w:val="4"/>
        </w:rPr>
        <w:noBreakHyphen/>
        <w:t>0.02 % y la anual, de 5.58 por ciento.</w:t>
      </w:r>
    </w:p>
    <w:p w14:paraId="38425519" w14:textId="77777777" w:rsidR="00F53B25" w:rsidRPr="00411A99" w:rsidRDefault="00F53B25" w:rsidP="00F53B25">
      <w:pPr>
        <w:spacing w:before="360"/>
        <w:ind w:right="49"/>
        <w:rPr>
          <w:bCs/>
          <w:spacing w:val="4"/>
        </w:rPr>
      </w:pPr>
      <w:r w:rsidRPr="00411A99">
        <w:rPr>
          <w:bCs/>
          <w:spacing w:val="4"/>
        </w:rPr>
        <w:t>El índice de precios subyacente</w:t>
      </w:r>
      <w:r w:rsidRPr="00411A99">
        <w:rPr>
          <w:vertAlign w:val="superscript"/>
        </w:rPr>
        <w:footnoteReference w:id="1"/>
      </w:r>
      <w:r w:rsidRPr="00411A99">
        <w:rPr>
          <w:bCs/>
          <w:spacing w:val="4"/>
        </w:rPr>
        <w:t xml:space="preserve"> creció 0.49 % a tasa quincenal y, anual, 7.97 por ciento. En el mismo periodo, el índice de precios no subyacente subió 0.22 % quincenal y 10.59 % a tasa anual.</w:t>
      </w:r>
    </w:p>
    <w:p w14:paraId="63C781DD" w14:textId="77777777" w:rsidR="00F53B25" w:rsidRPr="00411A99" w:rsidRDefault="00F53B25" w:rsidP="00F53B25">
      <w:pPr>
        <w:spacing w:before="360"/>
        <w:ind w:right="49"/>
        <w:rPr>
          <w:bCs/>
          <w:spacing w:val="4"/>
        </w:rPr>
      </w:pPr>
      <w:r w:rsidRPr="00411A99">
        <w:rPr>
          <w:bCs/>
          <w:spacing w:val="4"/>
        </w:rPr>
        <w:t>Al interior del índice subyacente, a tasa quincenal, los precios de las mercancías incrementaron 0.72 % y los de servicios, 0.22 por ciento.</w:t>
      </w:r>
    </w:p>
    <w:p w14:paraId="77CDD6B2" w14:textId="77777777" w:rsidR="00F53B25" w:rsidRPr="00411A99" w:rsidRDefault="00F53B25" w:rsidP="00F53B25">
      <w:pPr>
        <w:spacing w:before="360"/>
        <w:ind w:right="49"/>
        <w:rPr>
          <w:bCs/>
          <w:spacing w:val="4"/>
        </w:rPr>
      </w:pPr>
      <w:r w:rsidRPr="00411A99">
        <w:rPr>
          <w:bCs/>
          <w:spacing w:val="4"/>
        </w:rPr>
        <w:t>Dentro del índice no subyacente, a tasa quincenal, los precios de los productos agropecuarios crecieron 0.45 % y los de energéticos y tarifas autorizadas por el gobierno, 0.03 por ciento.</w:t>
      </w:r>
    </w:p>
    <w:p w14:paraId="2EB25B95" w14:textId="77777777" w:rsidR="00F53B25" w:rsidRPr="007F54D9" w:rsidRDefault="00F53B25" w:rsidP="00F53B25">
      <w:pPr>
        <w:ind w:right="49"/>
        <w:jc w:val="left"/>
        <w:rPr>
          <w:i/>
          <w:color w:val="000000" w:themeColor="text1"/>
        </w:rPr>
      </w:pPr>
      <w:r w:rsidRPr="007F54D9">
        <w:rPr>
          <w:i/>
          <w:color w:val="000000" w:themeColor="text1"/>
        </w:rPr>
        <w:br w:type="page"/>
      </w:r>
    </w:p>
    <w:bookmarkEnd w:id="0"/>
    <w:p w14:paraId="0B7032C8" w14:textId="77777777" w:rsidR="00F53B25" w:rsidRPr="00117BF3" w:rsidRDefault="00F53B25" w:rsidP="00F53B25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12"/>
          <w:szCs w:val="12"/>
        </w:rPr>
      </w:pPr>
    </w:p>
    <w:p w14:paraId="6A58D95A" w14:textId="77777777" w:rsidR="00F53B25" w:rsidRPr="00B81C75" w:rsidRDefault="00F53B25" w:rsidP="00F53B25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D974276" w14:textId="77777777" w:rsidR="00F53B25" w:rsidRPr="00257AF9" w:rsidRDefault="00F53B25" w:rsidP="00F53B25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la primera quincena de agosto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5EDD90DE" w14:textId="77777777" w:rsidR="00F53B25" w:rsidRPr="0019118A" w:rsidRDefault="00F53B25" w:rsidP="00F53B25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AB7633">
        <w:rPr>
          <w:noProof/>
        </w:rPr>
        <w:drawing>
          <wp:inline distT="0" distB="0" distL="0" distR="0" wp14:anchorId="22C8B1D2" wp14:editId="085A99BD">
            <wp:extent cx="5972810" cy="2519680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72FB" w14:textId="77777777" w:rsidR="00F53B25" w:rsidRPr="00E671DE" w:rsidRDefault="00F53B25" w:rsidP="00F53B2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5346FB52" w14:textId="77777777" w:rsidR="00F53B25" w:rsidRPr="00E671DE" w:rsidRDefault="00F53B25" w:rsidP="00F53B2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6524679B" w14:textId="77777777" w:rsidR="00F53B25" w:rsidRPr="00E671DE" w:rsidRDefault="00F53B25" w:rsidP="00F53B2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40A797F3" w14:textId="77777777" w:rsidR="00F53B25" w:rsidRPr="00E671DE" w:rsidRDefault="00F53B25" w:rsidP="00F53B25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787D1BAB" w14:textId="77777777" w:rsidR="00F53B25" w:rsidRPr="00472632" w:rsidRDefault="00F53B25" w:rsidP="00F53B25">
      <w:pPr>
        <w:pStyle w:val="Texto"/>
        <w:autoSpaceDE w:val="0"/>
        <w:autoSpaceDN w:val="0"/>
        <w:adjustRightInd w:val="0"/>
        <w:spacing w:before="60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729B5984" w14:textId="77777777" w:rsidR="00F53B25" w:rsidRPr="00A71198" w:rsidRDefault="00F53B25" w:rsidP="00F53B25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6C88FF9" wp14:editId="274812A8">
            <wp:extent cx="3621600" cy="1688400"/>
            <wp:effectExtent l="0" t="0" r="0" b="7620"/>
            <wp:docPr id="4" name="Imagen 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61A75" w14:textId="77777777" w:rsidR="00F53B25" w:rsidRDefault="00F53B25" w:rsidP="00F53B25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b/>
          <w:sz w:val="22"/>
          <w:szCs w:val="24"/>
        </w:rPr>
      </w:pPr>
    </w:p>
    <w:p w14:paraId="66F1DDEF" w14:textId="77777777" w:rsidR="00F53B25" w:rsidRPr="00220C88" w:rsidRDefault="00F53B25" w:rsidP="00F53B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67DBF516" w14:textId="77777777" w:rsidR="00F53B25" w:rsidRPr="00492933" w:rsidRDefault="00F53B25" w:rsidP="00F53B25">
      <w:pPr>
        <w:pStyle w:val="NormalWeb"/>
        <w:spacing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492933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92933">
        <w:rPr>
          <w:rFonts w:ascii="Arial" w:hAnsi="Arial" w:cs="Arial"/>
          <w:sz w:val="22"/>
          <w:szCs w:val="22"/>
        </w:rPr>
        <w:t xml:space="preserve"> </w:t>
      </w:r>
    </w:p>
    <w:p w14:paraId="7C562FF8" w14:textId="77777777" w:rsidR="00F53B25" w:rsidRPr="00492933" w:rsidRDefault="00F53B25" w:rsidP="00F53B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492933">
        <w:rPr>
          <w:rFonts w:ascii="Arial" w:hAnsi="Arial" w:cs="Arial"/>
          <w:sz w:val="22"/>
          <w:szCs w:val="22"/>
        </w:rPr>
        <w:t>exts</w:t>
      </w:r>
      <w:proofErr w:type="spellEnd"/>
      <w:r w:rsidRPr="00492933">
        <w:rPr>
          <w:rFonts w:ascii="Arial" w:hAnsi="Arial" w:cs="Arial"/>
          <w:sz w:val="22"/>
          <w:szCs w:val="22"/>
        </w:rPr>
        <w:t>. 1134, 1260 y 1241.</w:t>
      </w:r>
    </w:p>
    <w:p w14:paraId="117B3B47" w14:textId="77777777" w:rsidR="00F53B25" w:rsidRPr="00220C88" w:rsidRDefault="00F53B25" w:rsidP="00F53B2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F9DC1C6" w14:textId="77777777" w:rsidR="00F53B25" w:rsidRPr="00492933" w:rsidRDefault="00F53B25" w:rsidP="00F53B25">
      <w:pPr>
        <w:ind w:left="-426" w:right="-518"/>
        <w:contextualSpacing/>
        <w:jc w:val="center"/>
        <w:rPr>
          <w:sz w:val="22"/>
          <w:szCs w:val="22"/>
        </w:rPr>
      </w:pPr>
      <w:r w:rsidRPr="00492933">
        <w:rPr>
          <w:sz w:val="22"/>
          <w:szCs w:val="22"/>
        </w:rPr>
        <w:t>Dirección de Atención a Medios / Dirección General Adjunta de Comunicación</w:t>
      </w:r>
    </w:p>
    <w:p w14:paraId="221F9E80" w14:textId="77777777" w:rsidR="00F53B25" w:rsidRPr="00220C88" w:rsidRDefault="00F53B25" w:rsidP="00F53B25">
      <w:pPr>
        <w:ind w:left="-426" w:right="-518"/>
        <w:contextualSpacing/>
        <w:jc w:val="center"/>
        <w:rPr>
          <w:sz w:val="20"/>
          <w:szCs w:val="20"/>
        </w:rPr>
      </w:pPr>
    </w:p>
    <w:p w14:paraId="3210589C" w14:textId="77777777" w:rsidR="00F53B25" w:rsidRDefault="00F53B25" w:rsidP="00F53B25">
      <w:pPr>
        <w:ind w:left="-425" w:right="-516"/>
        <w:contextualSpacing/>
        <w:jc w:val="center"/>
        <w:rPr>
          <w:sz w:val="22"/>
          <w:szCs w:val="22"/>
        </w:rPr>
      </w:pPr>
      <w:r w:rsidRPr="00FF1218">
        <w:rPr>
          <w:noProof/>
          <w:lang w:eastAsia="es-MX"/>
        </w:rPr>
        <w:drawing>
          <wp:inline distT="0" distB="0" distL="0" distR="0" wp14:anchorId="130090A6" wp14:editId="17B9ED13">
            <wp:extent cx="274320" cy="365760"/>
            <wp:effectExtent l="0" t="0" r="0" b="0"/>
            <wp:docPr id="7" name="Imagen 7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52C8B14A" wp14:editId="78465758">
            <wp:extent cx="365760" cy="365760"/>
            <wp:effectExtent l="0" t="0" r="0" b="0"/>
            <wp:docPr id="10" name="Imagen 10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D91C7A6" wp14:editId="1CA50EBD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03331D90" wp14:editId="5B01D9EE">
            <wp:extent cx="365760" cy="365760"/>
            <wp:effectExtent l="0" t="0" r="0" b="0"/>
            <wp:docPr id="16" name="Imagen 16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71125747" wp14:editId="67AB2B23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436C8" w14:textId="77777777" w:rsidR="00F53B25" w:rsidRDefault="00F53B25" w:rsidP="00F53B25">
      <w:pPr>
        <w:ind w:left="-567"/>
        <w:jc w:val="center"/>
        <w:rPr>
          <w:noProof/>
          <w:lang w:eastAsia="es-MX"/>
        </w:rPr>
        <w:sectPr w:rsidR="00F53B25" w:rsidSect="00754472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605675E3" w14:textId="77777777" w:rsidR="00F53B25" w:rsidRPr="006E25DD" w:rsidRDefault="00F53B25" w:rsidP="00F53B25">
      <w:pPr>
        <w:pStyle w:val="Profesin"/>
        <w:outlineLvl w:val="0"/>
        <w:rPr>
          <w:sz w:val="24"/>
          <w:szCs w:val="24"/>
          <w:lang w:val="es-MX"/>
        </w:rPr>
      </w:pPr>
      <w:r w:rsidRPr="006E25DD">
        <w:rPr>
          <w:sz w:val="24"/>
          <w:szCs w:val="24"/>
          <w:lang w:val="es-MX"/>
        </w:rPr>
        <w:lastRenderedPageBreak/>
        <w:t>ANEXO</w:t>
      </w:r>
    </w:p>
    <w:p w14:paraId="6FF5807F" w14:textId="77777777" w:rsidR="00F53B25" w:rsidRPr="00F53B25" w:rsidRDefault="00F53B25" w:rsidP="00F53B25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F53B25">
        <w:rPr>
          <w:sz w:val="24"/>
          <w:szCs w:val="24"/>
          <w:lang w:val="es-MX"/>
        </w:rPr>
        <w:t>Nota técnica</w:t>
      </w:r>
    </w:p>
    <w:p w14:paraId="22535084" w14:textId="77777777" w:rsidR="00236AC0" w:rsidRPr="00B940B6" w:rsidRDefault="00236AC0" w:rsidP="00F53B25">
      <w:pPr>
        <w:keepNext/>
        <w:keepLines/>
        <w:widowControl w:val="0"/>
        <w:spacing w:before="600"/>
        <w:jc w:val="left"/>
        <w:rPr>
          <w:b/>
          <w:i/>
          <w:color w:val="000000" w:themeColor="text1"/>
        </w:rPr>
      </w:pPr>
      <w:bookmarkStart w:id="2" w:name="_Hlk33002076"/>
      <w:r w:rsidRPr="00866182">
        <w:rPr>
          <w:b/>
          <w:i/>
          <w:color w:val="000000" w:themeColor="text1"/>
        </w:rPr>
        <w:t xml:space="preserve">Índice Nacional de Precios al </w:t>
      </w:r>
      <w:r w:rsidRPr="00B940B6">
        <w:rPr>
          <w:b/>
          <w:i/>
          <w:color w:val="000000" w:themeColor="text1"/>
        </w:rPr>
        <w:t xml:space="preserve">Consumidor </w:t>
      </w:r>
    </w:p>
    <w:p w14:paraId="11D1AF78" w14:textId="2D19ADD0" w:rsidR="00E7491F" w:rsidRDefault="00142241" w:rsidP="00E7491F">
      <w:pPr>
        <w:autoSpaceDE w:val="0"/>
        <w:autoSpaceDN w:val="0"/>
        <w:adjustRightInd w:val="0"/>
        <w:spacing w:before="240"/>
      </w:pPr>
      <w:r>
        <w:t xml:space="preserve">En la primera quincena de agosto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 w:rsidR="00812A05">
        <w:t>incrementó</w:t>
      </w:r>
      <w:r>
        <w:t xml:space="preserve"> 0.42</w:t>
      </w:r>
      <w:r w:rsidR="001F6B53">
        <w:t> </w:t>
      </w:r>
      <w:r>
        <w:t>% respecto a la quincena anterior. En el mismo periodo de 2021 retrocedió 0.02 por ciento</w:t>
      </w:r>
      <w:r w:rsidR="00E7491F">
        <w:t>.</w:t>
      </w:r>
    </w:p>
    <w:p w14:paraId="726895CC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1479E09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3867A8A" w14:textId="1C27F3E0" w:rsidR="00236AC0" w:rsidRPr="000C372F" w:rsidRDefault="00236AC0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142241">
        <w:rPr>
          <w:sz w:val="18"/>
          <w:szCs w:val="18"/>
        </w:rPr>
        <w:t>agosto</w:t>
      </w:r>
      <w:r>
        <w:rPr>
          <w:sz w:val="18"/>
          <w:szCs w:val="18"/>
        </w:rPr>
        <w:t xml:space="preserve"> </w:t>
      </w:r>
      <w:r w:rsidRPr="000C372F">
        <w:rPr>
          <w:sz w:val="18"/>
          <w:szCs w:val="18"/>
        </w:rPr>
        <w:t>de los años que se indican</w:t>
      </w:r>
    </w:p>
    <w:p w14:paraId="7917CD9B" w14:textId="353B4E06" w:rsidR="00236AC0" w:rsidRPr="00A71198" w:rsidRDefault="00142241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3F2D011D" wp14:editId="0FFA941E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137AC78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6FE0467E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9FD33E2" w14:textId="77777777" w:rsidR="00236AC0" w:rsidRPr="00B81C75" w:rsidRDefault="00236AC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51BC0BFD" w14:textId="7B622207" w:rsidR="00236AC0" w:rsidRPr="00257AF9" w:rsidRDefault="00236AC0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la primera quincena de </w:t>
      </w:r>
      <w:r w:rsidR="00AB7633">
        <w:rPr>
          <w:sz w:val="18"/>
          <w:szCs w:val="18"/>
        </w:rPr>
        <w:t>agost</w:t>
      </w:r>
      <w:r w:rsidR="00982FF8">
        <w:rPr>
          <w:sz w:val="18"/>
          <w:szCs w:val="18"/>
        </w:rPr>
        <w:t>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3624CD2A" w14:textId="5C9BA359" w:rsidR="00236AC0" w:rsidRPr="0019118A" w:rsidRDefault="00AB7633" w:rsidP="0002696A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AB7633">
        <w:rPr>
          <w:noProof/>
        </w:rPr>
        <w:drawing>
          <wp:inline distT="0" distB="0" distL="0" distR="0" wp14:anchorId="2E37868C" wp14:editId="306AE784">
            <wp:extent cx="5972810" cy="251968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9F72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69F4B46C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6BBA9588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70077DBC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6A6F94E6" w14:textId="77777777" w:rsidR="00236AC0" w:rsidRPr="00A71198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>
        <w:rPr>
          <w:rFonts w:ascii="Arial" w:hAnsi="Arial"/>
          <w:b/>
          <w:i/>
          <w:color w:val="auto"/>
        </w:rPr>
        <w:t>Componentes del INPC</w:t>
      </w:r>
    </w:p>
    <w:p w14:paraId="55B02248" w14:textId="55465517" w:rsidR="00EC3780" w:rsidRDefault="00142241" w:rsidP="00EC3780">
      <w:pPr>
        <w:autoSpaceDE w:val="0"/>
        <w:autoSpaceDN w:val="0"/>
        <w:adjustRightInd w:val="0"/>
        <w:spacing w:before="240"/>
      </w:pPr>
      <w:r w:rsidRPr="00E7491F">
        <w:t xml:space="preserve">En la primera quincena de </w:t>
      </w:r>
      <w:r>
        <w:t>agosto</w:t>
      </w:r>
      <w:r w:rsidRPr="00E7491F">
        <w:t xml:space="preserve"> de 2022, la variación de los índices subyacente y no subyacente fue de 0.4</w:t>
      </w:r>
      <w:r>
        <w:t>9</w:t>
      </w:r>
      <w:r w:rsidRPr="00E7491F">
        <w:t xml:space="preserve"> y 0.</w:t>
      </w:r>
      <w:r>
        <w:t>22</w:t>
      </w:r>
      <w:r w:rsidR="001F6B53">
        <w:t> </w:t>
      </w:r>
      <w:r w:rsidRPr="00E7491F">
        <w:t>%, respectivamente. En la misma quincena de 2021 fue de 0.</w:t>
      </w:r>
      <w:r>
        <w:t>28</w:t>
      </w:r>
      <w:r w:rsidRPr="00E7491F">
        <w:t xml:space="preserve"> y </w:t>
      </w:r>
      <w:r>
        <w:t>-0.92</w:t>
      </w:r>
      <w:r w:rsidRPr="00E7491F">
        <w:t xml:space="preserve"> por ciento</w:t>
      </w:r>
      <w:r w:rsidR="00EC3780" w:rsidRPr="00DD6F96">
        <w:t>.</w:t>
      </w:r>
    </w:p>
    <w:p w14:paraId="611FFF1E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238B0F5F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28D97173" w14:textId="42AB0192" w:rsidR="00236AC0" w:rsidRPr="000C372F" w:rsidRDefault="00236AC0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142241">
        <w:rPr>
          <w:sz w:val="18"/>
          <w:szCs w:val="18"/>
        </w:rPr>
        <w:t>agost</w:t>
      </w:r>
      <w:r w:rsidR="00982FF8">
        <w:rPr>
          <w:sz w:val="18"/>
          <w:szCs w:val="18"/>
        </w:rPr>
        <w:t>o</w:t>
      </w:r>
      <w:r w:rsidRPr="000C372F">
        <w:rPr>
          <w:sz w:val="18"/>
          <w:szCs w:val="18"/>
        </w:rPr>
        <w:t xml:space="preserve"> de los años que se indican</w:t>
      </w:r>
    </w:p>
    <w:p w14:paraId="38E21C9F" w14:textId="678D5443" w:rsidR="00236AC0" w:rsidRPr="006556B1" w:rsidRDefault="00142241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33E68F25" wp14:editId="770CAA46">
            <wp:extent cx="5040000" cy="2880000"/>
            <wp:effectExtent l="0" t="0" r="27305" b="3492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570E36A" w14:textId="79833902" w:rsidR="00236AC0" w:rsidRDefault="00142241" w:rsidP="00236AC0">
      <w:pPr>
        <w:autoSpaceDE w:val="0"/>
        <w:autoSpaceDN w:val="0"/>
        <w:adjustRightInd w:val="0"/>
        <w:spacing w:before="240"/>
        <w:rPr>
          <w:color w:val="000000" w:themeColor="text1"/>
        </w:rPr>
      </w:pPr>
      <w:r w:rsidRPr="00982FF8">
        <w:rPr>
          <w:color w:val="000000" w:themeColor="text1"/>
        </w:rPr>
        <w:t xml:space="preserve">En la primera quincena de </w:t>
      </w:r>
      <w:r>
        <w:rPr>
          <w:color w:val="000000" w:themeColor="text1"/>
        </w:rPr>
        <w:t>agosto</w:t>
      </w:r>
      <w:r w:rsidRPr="00982FF8">
        <w:rPr>
          <w:color w:val="000000" w:themeColor="text1"/>
        </w:rPr>
        <w:t xml:space="preserve"> de 2022</w:t>
      </w:r>
      <w:r>
        <w:rPr>
          <w:color w:val="000000" w:themeColor="text1"/>
        </w:rPr>
        <w:t xml:space="preserve">, </w:t>
      </w:r>
      <w:r w:rsidRPr="00982FF8">
        <w:rPr>
          <w:color w:val="000000" w:themeColor="text1"/>
        </w:rPr>
        <w:t xml:space="preserve">la variación anual del INPC fue de </w:t>
      </w:r>
      <w:r>
        <w:rPr>
          <w:color w:val="000000" w:themeColor="text1"/>
        </w:rPr>
        <w:t>8.62</w:t>
      </w:r>
      <w:r w:rsidR="008414FF">
        <w:rPr>
          <w:color w:val="000000" w:themeColor="text1"/>
        </w:rPr>
        <w:t> </w:t>
      </w:r>
      <w:r w:rsidRPr="00982FF8">
        <w:rPr>
          <w:color w:val="000000" w:themeColor="text1"/>
        </w:rPr>
        <w:t>% y la de los índices subyacente y no subyacente de 7.</w:t>
      </w:r>
      <w:r>
        <w:rPr>
          <w:color w:val="000000" w:themeColor="text1"/>
        </w:rPr>
        <w:t>97</w:t>
      </w:r>
      <w:r w:rsidRPr="00982FF8">
        <w:rPr>
          <w:color w:val="000000" w:themeColor="text1"/>
        </w:rPr>
        <w:t xml:space="preserve"> y </w:t>
      </w:r>
      <w:r>
        <w:rPr>
          <w:color w:val="000000" w:themeColor="text1"/>
        </w:rPr>
        <w:t>10.59</w:t>
      </w:r>
      <w:r w:rsidR="008414FF">
        <w:rPr>
          <w:color w:val="000000" w:themeColor="text1"/>
        </w:rPr>
        <w:t> </w:t>
      </w:r>
      <w:r w:rsidRPr="00982FF8">
        <w:rPr>
          <w:color w:val="000000" w:themeColor="text1"/>
        </w:rPr>
        <w:t>%, respectivamente. En el mismo periodo del año anterior</w:t>
      </w:r>
      <w:r>
        <w:rPr>
          <w:color w:val="000000" w:themeColor="text1"/>
        </w:rPr>
        <w:t xml:space="preserve">, </w:t>
      </w:r>
      <w:r w:rsidRPr="00982FF8">
        <w:rPr>
          <w:color w:val="000000" w:themeColor="text1"/>
        </w:rPr>
        <w:t xml:space="preserve">el INPC </w:t>
      </w:r>
      <w:r>
        <w:rPr>
          <w:color w:val="000000" w:themeColor="text1"/>
        </w:rPr>
        <w:t>aumentó 5.58</w:t>
      </w:r>
      <w:r w:rsidR="008414FF">
        <w:rPr>
          <w:color w:val="000000" w:themeColor="text1"/>
        </w:rPr>
        <w:t> </w:t>
      </w:r>
      <w:r w:rsidRPr="00982FF8">
        <w:rPr>
          <w:color w:val="000000" w:themeColor="text1"/>
        </w:rPr>
        <w:t>% y sus componentes</w:t>
      </w:r>
      <w:r>
        <w:rPr>
          <w:color w:val="000000" w:themeColor="text1"/>
        </w:rPr>
        <w:t>,</w:t>
      </w:r>
      <w:r w:rsidRPr="00982FF8">
        <w:rPr>
          <w:color w:val="000000" w:themeColor="text1"/>
        </w:rPr>
        <w:t xml:space="preserve"> 4.</w:t>
      </w:r>
      <w:r>
        <w:rPr>
          <w:color w:val="000000" w:themeColor="text1"/>
        </w:rPr>
        <w:t>78</w:t>
      </w:r>
      <w:r w:rsidRPr="00982FF8">
        <w:rPr>
          <w:color w:val="000000" w:themeColor="text1"/>
        </w:rPr>
        <w:t xml:space="preserve"> y </w:t>
      </w:r>
      <w:r>
        <w:rPr>
          <w:color w:val="000000" w:themeColor="text1"/>
        </w:rPr>
        <w:br/>
        <w:t>8.08</w:t>
      </w:r>
      <w:r w:rsidR="008414FF">
        <w:rPr>
          <w:color w:val="000000" w:themeColor="text1"/>
        </w:rPr>
        <w:t> </w:t>
      </w:r>
      <w:r w:rsidRPr="00982FF8">
        <w:rPr>
          <w:color w:val="000000" w:themeColor="text1"/>
        </w:rPr>
        <w:t>%, en ese orden</w:t>
      </w:r>
      <w:r w:rsidR="00236AC0" w:rsidRPr="00D25428">
        <w:rPr>
          <w:color w:val="000000" w:themeColor="text1"/>
        </w:rPr>
        <w:t>.</w:t>
      </w:r>
    </w:p>
    <w:p w14:paraId="66D149AC" w14:textId="77777777" w:rsidR="00236AC0" w:rsidRPr="006E094F" w:rsidRDefault="00236AC0" w:rsidP="00236AC0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6044878" w14:textId="77777777" w:rsidR="00236AC0" w:rsidRPr="00FA0577" w:rsidRDefault="00236AC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FF1F34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INPC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D5CD62B" w14:textId="77777777" w:rsidR="00236AC0" w:rsidRPr="000C372F" w:rsidRDefault="00236AC0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1D9120C4" w14:textId="489CE7A6" w:rsidR="00236AC0" w:rsidRPr="00A71198" w:rsidRDefault="00C94446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466F9C61" wp14:editId="545EA563">
            <wp:extent cx="5040000" cy="2880000"/>
            <wp:effectExtent l="0" t="0" r="27305" b="1587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3A2BD77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754B7C42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BEADDBF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2C49C646" w14:textId="77777777" w:rsidR="00236AC0" w:rsidRPr="00FE61FF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254835D6" w14:textId="262B4E9E" w:rsidR="00236AC0" w:rsidRPr="000C372F" w:rsidRDefault="00236AC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position w:val="-1"/>
          <w:sz w:val="18"/>
          <w:szCs w:val="20"/>
        </w:rPr>
      </w:pPr>
      <w:r>
        <w:rPr>
          <w:color w:val="000000"/>
          <w:position w:val="-1"/>
          <w:sz w:val="18"/>
          <w:szCs w:val="20"/>
        </w:rPr>
        <w:t xml:space="preserve">Primera quincena de </w:t>
      </w:r>
      <w:r w:rsidR="00AB7633">
        <w:rPr>
          <w:color w:val="000000"/>
          <w:position w:val="-1"/>
          <w:sz w:val="18"/>
          <w:szCs w:val="20"/>
        </w:rPr>
        <w:t>agost</w:t>
      </w:r>
      <w:r w:rsidR="00982FF8">
        <w:rPr>
          <w:color w:val="000000"/>
          <w:position w:val="-1"/>
          <w:sz w:val="18"/>
          <w:szCs w:val="20"/>
        </w:rPr>
        <w:t>o</w:t>
      </w:r>
      <w:r>
        <w:rPr>
          <w:color w:val="000000"/>
          <w:position w:val="-1"/>
          <w:sz w:val="18"/>
          <w:szCs w:val="20"/>
        </w:rPr>
        <w:t xml:space="preserve"> </w:t>
      </w:r>
      <w:r w:rsidRPr="000C372F">
        <w:rPr>
          <w:color w:val="000000"/>
          <w:position w:val="-1"/>
          <w:sz w:val="18"/>
          <w:szCs w:val="20"/>
        </w:rPr>
        <w:t>de 2022</w:t>
      </w:r>
    </w:p>
    <w:p w14:paraId="5E461461" w14:textId="0DE53EAD" w:rsidR="00236AC0" w:rsidRPr="00A71198" w:rsidRDefault="00AB7633" w:rsidP="00865FCE">
      <w:pPr>
        <w:keepNext/>
        <w:keepLines/>
        <w:autoSpaceDE w:val="0"/>
        <w:autoSpaceDN w:val="0"/>
        <w:adjustRightInd w:val="0"/>
        <w:jc w:val="center"/>
      </w:pPr>
      <w:r w:rsidRPr="00AB7633">
        <w:rPr>
          <w:noProof/>
        </w:rPr>
        <w:drawing>
          <wp:inline distT="0" distB="0" distL="0" distR="0" wp14:anchorId="1A24D8C3" wp14:editId="684DE431">
            <wp:extent cx="6018770" cy="1800000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77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8AB93" w14:textId="77777777" w:rsidR="00236AC0" w:rsidRDefault="00236AC0" w:rsidP="00236AC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332AF42E" w14:textId="28007855" w:rsidR="00236AC0" w:rsidRDefault="00C94446" w:rsidP="000507D2">
      <w:pPr>
        <w:autoSpaceDE w:val="0"/>
        <w:autoSpaceDN w:val="0"/>
        <w:adjustRightInd w:val="0"/>
        <w:spacing w:before="360"/>
      </w:pPr>
      <w:r>
        <w:t xml:space="preserve">En los siguientes cuadros se muestran las entidades federativas y ciudades en las que el INPC alcanzó las mayores y menores variaciones en la primera quincena de agosto </w:t>
      </w:r>
      <w:r>
        <w:br/>
        <w:t>de 2022</w:t>
      </w:r>
      <w:r w:rsidR="00236AC0">
        <w:t>.</w:t>
      </w:r>
    </w:p>
    <w:p w14:paraId="11E65105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4BBEEB28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6503C2A" w14:textId="77777777" w:rsidR="00236AC0" w:rsidRPr="00704894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7F2100E7" w14:textId="48CEE53A" w:rsidR="00236AC0" w:rsidRPr="000C372F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AB7633">
        <w:rPr>
          <w:bCs/>
          <w:color w:val="000000" w:themeColor="text1"/>
          <w:spacing w:val="1"/>
          <w:sz w:val="18"/>
          <w:szCs w:val="20"/>
        </w:rPr>
        <w:t>agost</w:t>
      </w:r>
      <w:r w:rsidR="004E220F">
        <w:rPr>
          <w:bCs/>
          <w:color w:val="000000" w:themeColor="text1"/>
          <w:spacing w:val="1"/>
          <w:sz w:val="18"/>
          <w:szCs w:val="20"/>
        </w:rPr>
        <w:t>o</w:t>
      </w:r>
      <w:r w:rsidRPr="000C372F">
        <w:rPr>
          <w:bCs/>
          <w:color w:val="000000" w:themeColor="text1"/>
          <w:spacing w:val="1"/>
          <w:sz w:val="18"/>
          <w:szCs w:val="20"/>
        </w:rPr>
        <w:t xml:space="preserve"> de 2022</w:t>
      </w:r>
    </w:p>
    <w:p w14:paraId="302CA29E" w14:textId="78D6FD4A" w:rsidR="00236AC0" w:rsidRPr="00C16680" w:rsidRDefault="00AB7633" w:rsidP="00865FCE">
      <w:pPr>
        <w:keepNext/>
        <w:keepLines/>
        <w:autoSpaceDE w:val="0"/>
        <w:autoSpaceDN w:val="0"/>
        <w:adjustRightInd w:val="0"/>
        <w:jc w:val="center"/>
      </w:pPr>
      <w:r w:rsidRPr="00AB7633">
        <w:rPr>
          <w:noProof/>
        </w:rPr>
        <w:drawing>
          <wp:inline distT="0" distB="0" distL="0" distR="0" wp14:anchorId="4A7F219D" wp14:editId="2A332D5F">
            <wp:extent cx="5972810" cy="1134110"/>
            <wp:effectExtent l="0" t="0" r="889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5540" w14:textId="77777777" w:rsidR="00236AC0" w:rsidRPr="00204508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063E4787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1E4AC044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4BEA95A" w14:textId="77777777" w:rsidR="00236AC0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1173A176" w14:textId="7BB9D06F" w:rsidR="00236AC0" w:rsidRPr="000C372F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AB7633">
        <w:rPr>
          <w:bCs/>
          <w:color w:val="000000" w:themeColor="text1"/>
          <w:spacing w:val="1"/>
          <w:sz w:val="18"/>
          <w:szCs w:val="20"/>
        </w:rPr>
        <w:t>agost</w:t>
      </w:r>
      <w:r w:rsidR="004E220F">
        <w:rPr>
          <w:bCs/>
          <w:color w:val="000000" w:themeColor="text1"/>
          <w:spacing w:val="1"/>
          <w:sz w:val="18"/>
          <w:szCs w:val="20"/>
        </w:rPr>
        <w:t>o</w:t>
      </w:r>
      <w:r>
        <w:rPr>
          <w:bCs/>
          <w:color w:val="000000" w:themeColor="text1"/>
          <w:spacing w:val="1"/>
          <w:sz w:val="18"/>
          <w:szCs w:val="20"/>
        </w:rPr>
        <w:t xml:space="preserve"> de</w:t>
      </w:r>
      <w:r w:rsidRPr="000C372F">
        <w:rPr>
          <w:bCs/>
          <w:color w:val="000000" w:themeColor="text1"/>
          <w:spacing w:val="1"/>
          <w:sz w:val="18"/>
          <w:szCs w:val="20"/>
        </w:rPr>
        <w:t xml:space="preserve"> 2022</w:t>
      </w:r>
    </w:p>
    <w:p w14:paraId="1C05F573" w14:textId="1969C5FA" w:rsidR="00236AC0" w:rsidRPr="0052734B" w:rsidRDefault="00AB7633" w:rsidP="00236AC0">
      <w:pPr>
        <w:keepNext/>
        <w:keepLines/>
        <w:autoSpaceDE w:val="0"/>
        <w:autoSpaceDN w:val="0"/>
        <w:adjustRightInd w:val="0"/>
        <w:ind w:left="-283" w:right="-227"/>
        <w:jc w:val="center"/>
      </w:pPr>
      <w:r w:rsidRPr="00AB7633">
        <w:rPr>
          <w:noProof/>
        </w:rPr>
        <w:drawing>
          <wp:inline distT="0" distB="0" distL="0" distR="0" wp14:anchorId="564060A1" wp14:editId="1E4832D7">
            <wp:extent cx="5972810" cy="1906270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5FE7E" w14:textId="77777777" w:rsidR="00236AC0" w:rsidRPr="00865FCE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A20E6B7" w14:textId="1F3EA15E" w:rsidR="00236AC0" w:rsidRDefault="00C94446" w:rsidP="00865FCE">
      <w:pPr>
        <w:widowControl w:val="0"/>
        <w:autoSpaceDE w:val="0"/>
        <w:autoSpaceDN w:val="0"/>
        <w:adjustRightInd w:val="0"/>
        <w:spacing w:before="360"/>
      </w:pPr>
      <w:r w:rsidRPr="005D3641">
        <w:t>A continuación</w:t>
      </w:r>
      <w:r>
        <w:t>, y para la primera quincena de agosto de 2022,</w:t>
      </w:r>
      <w:r w:rsidRPr="005D3641">
        <w:t xml:space="preserve"> se muestra</w:t>
      </w:r>
      <w:r>
        <w:t xml:space="preserve"> el comportamiento de los subíndices que integran el </w:t>
      </w:r>
      <w:r w:rsidRPr="005D3641">
        <w:t>INPC</w:t>
      </w:r>
      <w:r>
        <w:t>, según</w:t>
      </w:r>
      <w:r w:rsidRPr="005D3641">
        <w:t xml:space="preserve"> la Clasificación del Consumo Individual por Finalidades (CCIF)</w:t>
      </w:r>
      <w:r w:rsidRPr="00A71198">
        <w:rPr>
          <w:vertAlign w:val="superscript"/>
        </w:rPr>
        <w:footnoteReference w:id="2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7B3FC422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58543B65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2777306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2B848526" w14:textId="77777777" w:rsidR="00236AC0" w:rsidRPr="00E671DE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15F4BFB9" w14:textId="3153966A" w:rsidR="00236AC0" w:rsidRPr="00A71198" w:rsidRDefault="00AB7633" w:rsidP="00865FCE">
      <w:pPr>
        <w:keepNext/>
        <w:keepLines/>
        <w:autoSpaceDE w:val="0"/>
        <w:autoSpaceDN w:val="0"/>
        <w:adjustRightInd w:val="0"/>
        <w:jc w:val="center"/>
      </w:pPr>
      <w:r w:rsidRPr="00AB7633">
        <w:rPr>
          <w:noProof/>
        </w:rPr>
        <w:drawing>
          <wp:inline distT="0" distB="0" distL="0" distR="0" wp14:anchorId="198E11EE" wp14:editId="294F5E98">
            <wp:extent cx="5972810" cy="2545715"/>
            <wp:effectExtent l="0" t="0" r="8890" b="698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E988" w14:textId="77777777" w:rsidR="00236AC0" w:rsidRPr="00204508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321AF7">
        <w:rPr>
          <w:color w:val="006600"/>
          <w:sz w:val="16"/>
          <w:szCs w:val="16"/>
        </w:rPr>
        <w:t>.</w:t>
      </w:r>
    </w:p>
    <w:p w14:paraId="6BEAF1A0" w14:textId="6A1C96CD" w:rsidR="00236AC0" w:rsidRDefault="00C94446" w:rsidP="00236AC0">
      <w:pPr>
        <w:keepNext/>
        <w:keepLines/>
        <w:autoSpaceDE w:val="0"/>
        <w:autoSpaceDN w:val="0"/>
        <w:adjustRightInd w:val="0"/>
        <w:spacing w:before="240"/>
        <w:rPr>
          <w:color w:val="000000" w:themeColor="text1"/>
        </w:rPr>
      </w:pPr>
      <w:r>
        <w:rPr>
          <w:color w:val="000000" w:themeColor="text1"/>
        </w:rPr>
        <w:lastRenderedPageBreak/>
        <w:t>Por último, 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Pr="00A60146">
        <w:rPr>
          <w:rStyle w:val="Refdenotaalpie"/>
        </w:rPr>
        <w:footnoteReference w:id="3"/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aumentó 0.61</w:t>
      </w:r>
      <w:r w:rsidR="008414FF">
        <w:rPr>
          <w:color w:val="000000" w:themeColor="text1"/>
        </w:rPr>
        <w:t> </w:t>
      </w:r>
      <w:r>
        <w:rPr>
          <w:color w:val="000000" w:themeColor="text1"/>
        </w:rPr>
        <w:t>% quincenal y 9.48</w:t>
      </w:r>
      <w:r w:rsidR="008414FF">
        <w:rPr>
          <w:color w:val="000000" w:themeColor="text1"/>
        </w:rPr>
        <w:t> </w:t>
      </w:r>
      <w:r>
        <w:rPr>
          <w:color w:val="000000" w:themeColor="text1"/>
        </w:rPr>
        <w:t>% a tasa anual. E</w:t>
      </w:r>
      <w:r w:rsidRPr="00AF5DD6">
        <w:rPr>
          <w:color w:val="000000" w:themeColor="text1"/>
        </w:rPr>
        <w:t xml:space="preserve">n el mismo </w:t>
      </w:r>
      <w:r>
        <w:rPr>
          <w:color w:val="000000" w:themeColor="text1"/>
        </w:rPr>
        <w:t xml:space="preserve">periodo </w:t>
      </w:r>
      <w:r w:rsidRPr="00AF5DD6">
        <w:rPr>
          <w:color w:val="000000" w:themeColor="text1"/>
        </w:rPr>
        <w:t>de 20</w:t>
      </w:r>
      <w:r>
        <w:rPr>
          <w:color w:val="000000" w:themeColor="text1"/>
        </w:rPr>
        <w:t>21,</w:t>
      </w:r>
      <w:r w:rsidRPr="00AF5DD6">
        <w:rPr>
          <w:color w:val="000000" w:themeColor="text1"/>
        </w:rPr>
        <w:t xml:space="preserve"> </w:t>
      </w:r>
      <w:r w:rsidRPr="00B72438">
        <w:rPr>
          <w:color w:val="000000" w:themeColor="text1"/>
        </w:rPr>
        <w:t>las cifras</w:t>
      </w:r>
      <w:r>
        <w:rPr>
          <w:color w:val="000000" w:themeColor="text1"/>
        </w:rPr>
        <w:t xml:space="preserve"> correspondientes fueron de </w:t>
      </w:r>
      <w:r w:rsidR="00AD7770">
        <w:rPr>
          <w:color w:val="000000" w:themeColor="text1"/>
        </w:rPr>
        <w:t>-</w:t>
      </w:r>
      <w:r>
        <w:rPr>
          <w:color w:val="000000" w:themeColor="text1"/>
        </w:rPr>
        <w:t>0.17</w:t>
      </w:r>
      <w:r w:rsidRPr="00AF5DD6">
        <w:rPr>
          <w:color w:val="000000" w:themeColor="text1"/>
        </w:rPr>
        <w:t xml:space="preserve"> y</w:t>
      </w:r>
      <w:r>
        <w:rPr>
          <w:color w:val="000000" w:themeColor="text1"/>
        </w:rPr>
        <w:t xml:space="preserve"> 6.38</w:t>
      </w:r>
      <w:r w:rsidR="008414FF">
        <w:rPr>
          <w:color w:val="000000" w:themeColor="text1"/>
        </w:rPr>
        <w:t> </w:t>
      </w:r>
      <w:r w:rsidR="00AD7770">
        <w:rPr>
          <w:color w:val="000000" w:themeColor="text1"/>
        </w:rPr>
        <w:t>%, en ese orden</w:t>
      </w:r>
      <w:r w:rsidR="000A6416">
        <w:rPr>
          <w:color w:val="000000" w:themeColor="text1"/>
        </w:rPr>
        <w:t>.</w:t>
      </w:r>
    </w:p>
    <w:p w14:paraId="2F44848E" w14:textId="77777777" w:rsidR="006A3411" w:rsidRPr="00672E8B" w:rsidRDefault="006A3411" w:rsidP="001D4816">
      <w:pPr>
        <w:widowControl w:val="0"/>
        <w:autoSpaceDE w:val="0"/>
        <w:autoSpaceDN w:val="0"/>
        <w:adjustRightInd w:val="0"/>
        <w:spacing w:before="480"/>
        <w:rPr>
          <w:i/>
          <w:lang w:val="es-MX"/>
        </w:rPr>
      </w:pPr>
      <w:r w:rsidRPr="00672E8B">
        <w:rPr>
          <w:b/>
          <w:i/>
        </w:rPr>
        <w:t xml:space="preserve">Nota metodológica </w:t>
      </w:r>
    </w:p>
    <w:p w14:paraId="729E181F" w14:textId="4B93D4EA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3610439D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28FEBCAC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4F98D5C5" w14:textId="657A110F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 A 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periodo base</w:t>
      </w:r>
      <w:r w:rsidR="00E545D3">
        <w:rPr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354DC4C1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381DFF5" w14:textId="41033431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E545D3"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28796431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54056964" w14:textId="72257536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00AB688E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00106A20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AD3550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001D6ED5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816829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 la </w:t>
      </w:r>
      <w:r w:rsidR="00106A20"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="00106A20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="00106A20"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 w:rsidR="00106A20"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6EA90701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657E9DDC" w14:textId="77777777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 w:rsidR="00E545D3"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 w:rsidR="006943E4"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 w:rsidR="006943E4"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457ADB5C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153E3B7B" w14:textId="31E0E592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mil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0F7C961C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39975B08" w14:textId="77777777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D853C2">
        <w:rPr>
          <w:sz w:val="24"/>
          <w:szCs w:val="24"/>
          <w:lang w:val="es-MX"/>
        </w:rPr>
        <w:t xml:space="preserve"> y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7E8C17D8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5F7BC6C8" w14:textId="43EE7736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 xml:space="preserve">, o el día hábil anterior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2A85D6AD" w14:textId="77777777" w:rsidR="006A3411" w:rsidRPr="00636E0F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/>
        </w:rPr>
      </w:pPr>
      <w:r w:rsidRPr="00636E0F">
        <w:rPr>
          <w:b/>
          <w:i/>
        </w:rPr>
        <w:t>Herramientas de análisis</w:t>
      </w:r>
    </w:p>
    <w:p w14:paraId="6B897387" w14:textId="77777777" w:rsidR="006A3411" w:rsidRPr="00636E0F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web</w:t>
      </w:r>
      <w:r w:rsidR="008F75CD" w:rsidRPr="000D36BF">
        <w:rPr>
          <w:spacing w:val="-2"/>
          <w:sz w:val="24"/>
          <w:szCs w:val="24"/>
        </w:rPr>
        <w:t>:</w:t>
      </w:r>
      <w:r w:rsidR="008E0DF6">
        <w:rPr>
          <w:spacing w:val="-2"/>
          <w:sz w:val="24"/>
          <w:szCs w:val="24"/>
        </w:rPr>
        <w:t xml:space="preserve"> </w:t>
      </w:r>
      <w:hyperlink r:id="rId30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1321E33A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>nflación de un Índice de Precios en un intervalo. Calcula dos tipos de tasas de inflación porcentuales: la implícita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616F22D" w14:textId="0BE5F8A3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los mismos.</w:t>
      </w:r>
    </w:p>
    <w:p w14:paraId="0955747A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2E6234C7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088F8293" w14:textId="77777777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>los Índices de Precios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0490F16F" w14:textId="1E505C26" w:rsidR="00636E0F" w:rsidRDefault="00636E0F" w:rsidP="00CB13CD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478AF35C" w14:textId="77777777" w:rsidR="00F161D9" w:rsidRPr="00472632" w:rsidRDefault="00F161D9" w:rsidP="00F161D9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2"/>
    <w:p w14:paraId="38A6E790" w14:textId="77777777" w:rsidR="006A3411" w:rsidRPr="00A71198" w:rsidRDefault="00EC1E5C" w:rsidP="00F161D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8A42E25" wp14:editId="1D8AE496">
            <wp:extent cx="3621600" cy="1688400"/>
            <wp:effectExtent l="0" t="0" r="0" b="7620"/>
            <wp:docPr id="3" name="Imagen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B940B6">
      <w:headerReference w:type="default" r:id="rId32"/>
      <w:footerReference w:type="default" r:id="rId33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0C7ED" w14:textId="77777777" w:rsidR="00435ED3" w:rsidRDefault="00435ED3">
      <w:r>
        <w:separator/>
      </w:r>
    </w:p>
  </w:endnote>
  <w:endnote w:type="continuationSeparator" w:id="0">
    <w:p w14:paraId="51CE1948" w14:textId="77777777" w:rsidR="00435ED3" w:rsidRDefault="0043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ED6C" w14:textId="77777777" w:rsidR="00F53B25" w:rsidRPr="00975B1E" w:rsidRDefault="00F53B25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5CBE2991" w14:textId="77777777" w:rsidR="00F53B25" w:rsidRPr="007B4B63" w:rsidRDefault="00F53B25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C641" w14:textId="77777777" w:rsidR="003B5757" w:rsidRPr="002949DE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2949DE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A023" w14:textId="77777777" w:rsidR="00435ED3" w:rsidRDefault="00435ED3">
      <w:r>
        <w:separator/>
      </w:r>
    </w:p>
  </w:footnote>
  <w:footnote w:type="continuationSeparator" w:id="0">
    <w:p w14:paraId="3C2B1917" w14:textId="77777777" w:rsidR="00435ED3" w:rsidRDefault="00435ED3">
      <w:r>
        <w:continuationSeparator/>
      </w:r>
    </w:p>
  </w:footnote>
  <w:footnote w:id="1">
    <w:p w14:paraId="2CA2D0BB" w14:textId="77777777" w:rsidR="00F53B25" w:rsidRDefault="00F53B25" w:rsidP="00F53B25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</w:t>
      </w:r>
      <w:r>
        <w:rPr>
          <w:color w:val="000000" w:themeColor="text1"/>
          <w:sz w:val="16"/>
          <w:szCs w:val="16"/>
        </w:rPr>
        <w:t xml:space="preserve"> Índice Nacional de Precios al Consumidor</w:t>
      </w:r>
      <w:r w:rsidRPr="00866182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7D2E68CD" w14:textId="77777777" w:rsidR="00F53B25" w:rsidRDefault="00F53B25" w:rsidP="00F53B25">
      <w:pPr>
        <w:pStyle w:val="Textonotapie"/>
        <w:ind w:left="170" w:right="49" w:hanging="170"/>
        <w:rPr>
          <w:lang w:val="es-MX"/>
        </w:rPr>
      </w:pPr>
    </w:p>
    <w:p w14:paraId="78777CA0" w14:textId="77777777" w:rsidR="00F53B25" w:rsidRPr="000C372F" w:rsidRDefault="00F53B25" w:rsidP="00F53B25">
      <w:pPr>
        <w:pStyle w:val="Textonotapie"/>
        <w:ind w:left="170" w:hanging="170"/>
        <w:rPr>
          <w:lang w:val="es-MX"/>
        </w:rPr>
      </w:pPr>
    </w:p>
  </w:footnote>
  <w:footnote w:id="2">
    <w:p w14:paraId="40C15DDA" w14:textId="77777777" w:rsidR="00C94446" w:rsidRPr="00CA39BA" w:rsidRDefault="00C94446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Pr="0031736D">
        <w:rPr>
          <w:sz w:val="16"/>
          <w:szCs w:val="16"/>
        </w:rPr>
        <w:t>OIT, FMI, OCDE, Eurostat, UNECE,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3">
    <w:p w14:paraId="70D4084F" w14:textId="77777777" w:rsidR="00B303DC" w:rsidRDefault="00C94446" w:rsidP="00C94446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 w:rsidR="00613BED"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 w:rsidR="00613BED"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</w:p>
    <w:p w14:paraId="334EB12A" w14:textId="38D1D2E5" w:rsidR="00C94446" w:rsidRPr="009C5908" w:rsidRDefault="00B303DC" w:rsidP="00C94446">
      <w:pPr>
        <w:pStyle w:val="Default"/>
        <w:ind w:left="142" w:hanging="142"/>
        <w:jc w:val="both"/>
        <w:rPr>
          <w:b/>
          <w:color w:val="C00000"/>
          <w:sz w:val="16"/>
        </w:rPr>
      </w:pPr>
      <w:r>
        <w:rPr>
          <w:color w:val="auto"/>
          <w:sz w:val="16"/>
          <w:szCs w:val="16"/>
          <w:lang w:val="es-ES_tradnl" w:eastAsia="es-ES"/>
        </w:rPr>
        <w:tab/>
      </w:r>
      <w:r w:rsidR="00C94446"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317B9B8F" w14:textId="77777777" w:rsidR="00BA1A82" w:rsidRPr="006301B8" w:rsidRDefault="00BA1A82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0595" w14:textId="0BE631A6" w:rsidR="00F53B25" w:rsidRPr="00306ECD" w:rsidRDefault="00F53B25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4F3B1DB" wp14:editId="73FB123F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500DF1">
      <w:rPr>
        <w:b/>
        <w:color w:val="002060"/>
      </w:rPr>
      <w:t>476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4E3D78E" w14:textId="77777777" w:rsidR="00F53B25" w:rsidRPr="00306ECD" w:rsidRDefault="00F53B25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24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73D145CA" w14:textId="77777777" w:rsidR="00F53B25" w:rsidRPr="00306ECD" w:rsidRDefault="00F53B25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3E6F431B" w14:textId="77777777" w:rsidR="00F53B25" w:rsidRDefault="00F53B25" w:rsidP="008B185F">
    <w:pPr>
      <w:pStyle w:val="Encabezado"/>
      <w:ind w:right="49"/>
      <w:jc w:val="center"/>
    </w:pPr>
  </w:p>
  <w:p w14:paraId="4D6E2BDD" w14:textId="77777777" w:rsidR="00F53B25" w:rsidRDefault="00F53B25"/>
  <w:p w14:paraId="16959AF3" w14:textId="77777777" w:rsidR="00F53B25" w:rsidRDefault="00F53B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4AE9" w14:textId="1F48881C" w:rsidR="00BC75C4" w:rsidRDefault="00B940B6" w:rsidP="00F53B25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51A98F46" wp14:editId="6A51CFA1">
          <wp:extent cx="828000" cy="828000"/>
          <wp:effectExtent l="0" t="0" r="0" b="0"/>
          <wp:docPr id="2" name="Imagen 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B4E"/>
    <w:rsid w:val="00016D3A"/>
    <w:rsid w:val="0001718D"/>
    <w:rsid w:val="000176AC"/>
    <w:rsid w:val="00017DF3"/>
    <w:rsid w:val="00021432"/>
    <w:rsid w:val="00021492"/>
    <w:rsid w:val="000216A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CC4"/>
    <w:rsid w:val="0004066E"/>
    <w:rsid w:val="00040F75"/>
    <w:rsid w:val="00041FF7"/>
    <w:rsid w:val="0004225C"/>
    <w:rsid w:val="00042A47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763"/>
    <w:rsid w:val="00077C46"/>
    <w:rsid w:val="0008027F"/>
    <w:rsid w:val="0008084D"/>
    <w:rsid w:val="00080D54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5AA"/>
    <w:rsid w:val="000957BC"/>
    <w:rsid w:val="00095A6A"/>
    <w:rsid w:val="00095BAC"/>
    <w:rsid w:val="0009610C"/>
    <w:rsid w:val="00096737"/>
    <w:rsid w:val="00097C0A"/>
    <w:rsid w:val="00097C29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B0710"/>
    <w:rsid w:val="000B0E46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C41"/>
    <w:rsid w:val="000F4FA7"/>
    <w:rsid w:val="000F536A"/>
    <w:rsid w:val="000F541D"/>
    <w:rsid w:val="000F5AD1"/>
    <w:rsid w:val="000F5C8B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847"/>
    <w:rsid w:val="00103913"/>
    <w:rsid w:val="00105234"/>
    <w:rsid w:val="001057E1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A20"/>
    <w:rsid w:val="00115F66"/>
    <w:rsid w:val="00116647"/>
    <w:rsid w:val="00116A85"/>
    <w:rsid w:val="00116F84"/>
    <w:rsid w:val="00117BB9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98A"/>
    <w:rsid w:val="001301E6"/>
    <w:rsid w:val="001304F2"/>
    <w:rsid w:val="00130C4C"/>
    <w:rsid w:val="001313EB"/>
    <w:rsid w:val="00131E80"/>
    <w:rsid w:val="0013222E"/>
    <w:rsid w:val="001328D2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A0B"/>
    <w:rsid w:val="00141AF4"/>
    <w:rsid w:val="00141F00"/>
    <w:rsid w:val="00142241"/>
    <w:rsid w:val="00142E09"/>
    <w:rsid w:val="0014377B"/>
    <w:rsid w:val="00143D3A"/>
    <w:rsid w:val="00144D09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79C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CAB"/>
    <w:rsid w:val="001C6CC1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3031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75F"/>
    <w:rsid w:val="001E093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11D5"/>
    <w:rsid w:val="00201C2D"/>
    <w:rsid w:val="00203367"/>
    <w:rsid w:val="00204438"/>
    <w:rsid w:val="00204508"/>
    <w:rsid w:val="00204A44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18A"/>
    <w:rsid w:val="00220ADA"/>
    <w:rsid w:val="00220B7B"/>
    <w:rsid w:val="0022180E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7E"/>
    <w:rsid w:val="0024310E"/>
    <w:rsid w:val="00243161"/>
    <w:rsid w:val="00243204"/>
    <w:rsid w:val="00243AC5"/>
    <w:rsid w:val="00243F11"/>
    <w:rsid w:val="0024405D"/>
    <w:rsid w:val="00244516"/>
    <w:rsid w:val="00244745"/>
    <w:rsid w:val="00244A0C"/>
    <w:rsid w:val="00244CF8"/>
    <w:rsid w:val="002454F0"/>
    <w:rsid w:val="002456FB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260"/>
    <w:rsid w:val="002916DB"/>
    <w:rsid w:val="0029190A"/>
    <w:rsid w:val="00292220"/>
    <w:rsid w:val="00293271"/>
    <w:rsid w:val="00293422"/>
    <w:rsid w:val="00293587"/>
    <w:rsid w:val="00293896"/>
    <w:rsid w:val="00293C63"/>
    <w:rsid w:val="00293ED1"/>
    <w:rsid w:val="00294214"/>
    <w:rsid w:val="002949DE"/>
    <w:rsid w:val="00294A06"/>
    <w:rsid w:val="00294FFB"/>
    <w:rsid w:val="002954FD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C64"/>
    <w:rsid w:val="002F4431"/>
    <w:rsid w:val="002F4687"/>
    <w:rsid w:val="002F47E7"/>
    <w:rsid w:val="002F510D"/>
    <w:rsid w:val="002F5F61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6198"/>
    <w:rsid w:val="00316779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4CA"/>
    <w:rsid w:val="00364D97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DAC"/>
    <w:rsid w:val="003A2E86"/>
    <w:rsid w:val="003A344A"/>
    <w:rsid w:val="003A3622"/>
    <w:rsid w:val="003A36D4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3BC5"/>
    <w:rsid w:val="003C3F73"/>
    <w:rsid w:val="003C40A2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4979"/>
    <w:rsid w:val="003E4B79"/>
    <w:rsid w:val="003E4B85"/>
    <w:rsid w:val="003E5764"/>
    <w:rsid w:val="003E581F"/>
    <w:rsid w:val="003E5F16"/>
    <w:rsid w:val="003E634D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1A99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F9C"/>
    <w:rsid w:val="004355FA"/>
    <w:rsid w:val="00435ED3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BDB"/>
    <w:rsid w:val="00447EAD"/>
    <w:rsid w:val="004504A7"/>
    <w:rsid w:val="00450899"/>
    <w:rsid w:val="004508B7"/>
    <w:rsid w:val="00450FE9"/>
    <w:rsid w:val="00451A7B"/>
    <w:rsid w:val="004522A6"/>
    <w:rsid w:val="00452870"/>
    <w:rsid w:val="004529D7"/>
    <w:rsid w:val="00452A11"/>
    <w:rsid w:val="00453BF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1688"/>
    <w:rsid w:val="004820E0"/>
    <w:rsid w:val="004822CA"/>
    <w:rsid w:val="0048261A"/>
    <w:rsid w:val="00482BF9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F1"/>
    <w:rsid w:val="00492535"/>
    <w:rsid w:val="00492EBB"/>
    <w:rsid w:val="00493435"/>
    <w:rsid w:val="004937CB"/>
    <w:rsid w:val="00494B28"/>
    <w:rsid w:val="004955A9"/>
    <w:rsid w:val="00495CF9"/>
    <w:rsid w:val="00495FFF"/>
    <w:rsid w:val="00496705"/>
    <w:rsid w:val="00496A9F"/>
    <w:rsid w:val="00497270"/>
    <w:rsid w:val="00497358"/>
    <w:rsid w:val="00497D6F"/>
    <w:rsid w:val="00497FA5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69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6377"/>
    <w:rsid w:val="004B6928"/>
    <w:rsid w:val="004B6AA6"/>
    <w:rsid w:val="004B754D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0DF1"/>
    <w:rsid w:val="005010CB"/>
    <w:rsid w:val="005012FC"/>
    <w:rsid w:val="00501CDC"/>
    <w:rsid w:val="00501EBE"/>
    <w:rsid w:val="00503551"/>
    <w:rsid w:val="00503963"/>
    <w:rsid w:val="00503F38"/>
    <w:rsid w:val="005043FC"/>
    <w:rsid w:val="00504A55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A3A"/>
    <w:rsid w:val="005232E0"/>
    <w:rsid w:val="0052373B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DB8"/>
    <w:rsid w:val="00541F9A"/>
    <w:rsid w:val="00542599"/>
    <w:rsid w:val="00542EB4"/>
    <w:rsid w:val="0054351C"/>
    <w:rsid w:val="00543833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406C"/>
    <w:rsid w:val="00575051"/>
    <w:rsid w:val="005758E3"/>
    <w:rsid w:val="00576069"/>
    <w:rsid w:val="00576AD5"/>
    <w:rsid w:val="00576D35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F8F"/>
    <w:rsid w:val="005874CD"/>
    <w:rsid w:val="00587515"/>
    <w:rsid w:val="00587597"/>
    <w:rsid w:val="00587A79"/>
    <w:rsid w:val="00587AAF"/>
    <w:rsid w:val="00590753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16E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C54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F0B"/>
    <w:rsid w:val="006773D1"/>
    <w:rsid w:val="006801BB"/>
    <w:rsid w:val="006802E3"/>
    <w:rsid w:val="00680CC6"/>
    <w:rsid w:val="0068122E"/>
    <w:rsid w:val="0068241B"/>
    <w:rsid w:val="00683889"/>
    <w:rsid w:val="006838CA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904AD"/>
    <w:rsid w:val="006905D5"/>
    <w:rsid w:val="006905F1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BAB"/>
    <w:rsid w:val="006A6C28"/>
    <w:rsid w:val="006A777A"/>
    <w:rsid w:val="006A7AE9"/>
    <w:rsid w:val="006A7C9D"/>
    <w:rsid w:val="006B0264"/>
    <w:rsid w:val="006B0BF0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54EE"/>
    <w:rsid w:val="006C57FE"/>
    <w:rsid w:val="006C5AB5"/>
    <w:rsid w:val="006C6854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4C4"/>
    <w:rsid w:val="006E09E9"/>
    <w:rsid w:val="006E0B21"/>
    <w:rsid w:val="006E171B"/>
    <w:rsid w:val="006E1A8F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3F3"/>
    <w:rsid w:val="006F1DBD"/>
    <w:rsid w:val="006F1E00"/>
    <w:rsid w:val="006F253F"/>
    <w:rsid w:val="006F301F"/>
    <w:rsid w:val="006F51E0"/>
    <w:rsid w:val="006F5682"/>
    <w:rsid w:val="006F572D"/>
    <w:rsid w:val="006F5847"/>
    <w:rsid w:val="006F5B1A"/>
    <w:rsid w:val="006F5F76"/>
    <w:rsid w:val="006F6790"/>
    <w:rsid w:val="00700821"/>
    <w:rsid w:val="00700FEB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6874"/>
    <w:rsid w:val="0077726C"/>
    <w:rsid w:val="00777AAB"/>
    <w:rsid w:val="007802D3"/>
    <w:rsid w:val="00780FF9"/>
    <w:rsid w:val="0078285C"/>
    <w:rsid w:val="00782B30"/>
    <w:rsid w:val="00783A36"/>
    <w:rsid w:val="00783A44"/>
    <w:rsid w:val="007845D4"/>
    <w:rsid w:val="00784DF0"/>
    <w:rsid w:val="00785A38"/>
    <w:rsid w:val="00785C2A"/>
    <w:rsid w:val="007862A9"/>
    <w:rsid w:val="0078668F"/>
    <w:rsid w:val="007867F3"/>
    <w:rsid w:val="00786815"/>
    <w:rsid w:val="0078700E"/>
    <w:rsid w:val="00787339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A1D"/>
    <w:rsid w:val="00793181"/>
    <w:rsid w:val="0079319C"/>
    <w:rsid w:val="007936BD"/>
    <w:rsid w:val="007936C1"/>
    <w:rsid w:val="00793D0B"/>
    <w:rsid w:val="00793D45"/>
    <w:rsid w:val="00795E20"/>
    <w:rsid w:val="00796787"/>
    <w:rsid w:val="007975BD"/>
    <w:rsid w:val="007979AB"/>
    <w:rsid w:val="00797B7E"/>
    <w:rsid w:val="007A05A2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44DC"/>
    <w:rsid w:val="007C4545"/>
    <w:rsid w:val="007C45F7"/>
    <w:rsid w:val="007C46D1"/>
    <w:rsid w:val="007C47C2"/>
    <w:rsid w:val="007C4822"/>
    <w:rsid w:val="007C491B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3DA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78F"/>
    <w:rsid w:val="008528CF"/>
    <w:rsid w:val="00852A3A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B29"/>
    <w:rsid w:val="008808B9"/>
    <w:rsid w:val="00880B30"/>
    <w:rsid w:val="00880B6E"/>
    <w:rsid w:val="00880F1D"/>
    <w:rsid w:val="0088172A"/>
    <w:rsid w:val="00881D54"/>
    <w:rsid w:val="00881F90"/>
    <w:rsid w:val="00884AFE"/>
    <w:rsid w:val="008851C4"/>
    <w:rsid w:val="0088541F"/>
    <w:rsid w:val="00885696"/>
    <w:rsid w:val="0088570A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41FB"/>
    <w:rsid w:val="008943D1"/>
    <w:rsid w:val="00894565"/>
    <w:rsid w:val="008950D6"/>
    <w:rsid w:val="00895B46"/>
    <w:rsid w:val="00896474"/>
    <w:rsid w:val="00896DBC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CC9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5CD"/>
    <w:rsid w:val="008F7C28"/>
    <w:rsid w:val="0090034D"/>
    <w:rsid w:val="00900D91"/>
    <w:rsid w:val="00900EC7"/>
    <w:rsid w:val="00900FFC"/>
    <w:rsid w:val="0090114C"/>
    <w:rsid w:val="009011F9"/>
    <w:rsid w:val="00901244"/>
    <w:rsid w:val="00901979"/>
    <w:rsid w:val="00902357"/>
    <w:rsid w:val="0090242A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2347"/>
    <w:rsid w:val="0091268D"/>
    <w:rsid w:val="009129C1"/>
    <w:rsid w:val="009137B3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6543"/>
    <w:rsid w:val="00926A6A"/>
    <w:rsid w:val="009271AB"/>
    <w:rsid w:val="00927281"/>
    <w:rsid w:val="009273B8"/>
    <w:rsid w:val="00927A20"/>
    <w:rsid w:val="00927C6D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B61"/>
    <w:rsid w:val="00944312"/>
    <w:rsid w:val="0094432A"/>
    <w:rsid w:val="009443DC"/>
    <w:rsid w:val="00944AE2"/>
    <w:rsid w:val="0094526B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706DC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54D4"/>
    <w:rsid w:val="009A5501"/>
    <w:rsid w:val="009A5AE0"/>
    <w:rsid w:val="009A5C6C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E0AB5"/>
    <w:rsid w:val="009E12E3"/>
    <w:rsid w:val="009E14B2"/>
    <w:rsid w:val="009E1D15"/>
    <w:rsid w:val="009E1DFA"/>
    <w:rsid w:val="009E23C5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D3C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5D65"/>
    <w:rsid w:val="00A362D0"/>
    <w:rsid w:val="00A36CF6"/>
    <w:rsid w:val="00A36EC5"/>
    <w:rsid w:val="00A37703"/>
    <w:rsid w:val="00A37DDD"/>
    <w:rsid w:val="00A37EDA"/>
    <w:rsid w:val="00A4035D"/>
    <w:rsid w:val="00A40648"/>
    <w:rsid w:val="00A413A3"/>
    <w:rsid w:val="00A43248"/>
    <w:rsid w:val="00A43270"/>
    <w:rsid w:val="00A44C3B"/>
    <w:rsid w:val="00A4539E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3850"/>
    <w:rsid w:val="00A64787"/>
    <w:rsid w:val="00A648E9"/>
    <w:rsid w:val="00A65C38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23D9"/>
    <w:rsid w:val="00AF290E"/>
    <w:rsid w:val="00AF29FA"/>
    <w:rsid w:val="00AF2CA1"/>
    <w:rsid w:val="00AF37D5"/>
    <w:rsid w:val="00AF381B"/>
    <w:rsid w:val="00AF3B84"/>
    <w:rsid w:val="00AF3F63"/>
    <w:rsid w:val="00AF4345"/>
    <w:rsid w:val="00AF463B"/>
    <w:rsid w:val="00AF4CC5"/>
    <w:rsid w:val="00AF4D6D"/>
    <w:rsid w:val="00AF5319"/>
    <w:rsid w:val="00AF608B"/>
    <w:rsid w:val="00AF6A59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D7"/>
    <w:rsid w:val="00B30188"/>
    <w:rsid w:val="00B303DC"/>
    <w:rsid w:val="00B3091E"/>
    <w:rsid w:val="00B31602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25BB"/>
    <w:rsid w:val="00BB287A"/>
    <w:rsid w:val="00BB318A"/>
    <w:rsid w:val="00BB4973"/>
    <w:rsid w:val="00BB4A6F"/>
    <w:rsid w:val="00BB56B1"/>
    <w:rsid w:val="00BB5759"/>
    <w:rsid w:val="00BB5A30"/>
    <w:rsid w:val="00BB5B98"/>
    <w:rsid w:val="00BB7BAC"/>
    <w:rsid w:val="00BB7F7D"/>
    <w:rsid w:val="00BC009A"/>
    <w:rsid w:val="00BC057A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B4D"/>
    <w:rsid w:val="00BC6C4F"/>
    <w:rsid w:val="00BC75C4"/>
    <w:rsid w:val="00BC76AA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71DF"/>
    <w:rsid w:val="00BE770F"/>
    <w:rsid w:val="00BE778C"/>
    <w:rsid w:val="00BE7FE3"/>
    <w:rsid w:val="00BF01D4"/>
    <w:rsid w:val="00BF0463"/>
    <w:rsid w:val="00BF0CFC"/>
    <w:rsid w:val="00BF1B9B"/>
    <w:rsid w:val="00BF20FB"/>
    <w:rsid w:val="00BF2355"/>
    <w:rsid w:val="00BF2997"/>
    <w:rsid w:val="00BF2B84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75A"/>
    <w:rsid w:val="00C14AD2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61D"/>
    <w:rsid w:val="00C21FF8"/>
    <w:rsid w:val="00C220F2"/>
    <w:rsid w:val="00C223A0"/>
    <w:rsid w:val="00C23BBD"/>
    <w:rsid w:val="00C23E3D"/>
    <w:rsid w:val="00C2455C"/>
    <w:rsid w:val="00C24638"/>
    <w:rsid w:val="00C26495"/>
    <w:rsid w:val="00C26B77"/>
    <w:rsid w:val="00C273ED"/>
    <w:rsid w:val="00C27447"/>
    <w:rsid w:val="00C27891"/>
    <w:rsid w:val="00C27D45"/>
    <w:rsid w:val="00C300F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7CD"/>
    <w:rsid w:val="00C33CD5"/>
    <w:rsid w:val="00C340CF"/>
    <w:rsid w:val="00C34101"/>
    <w:rsid w:val="00C348FE"/>
    <w:rsid w:val="00C34FBC"/>
    <w:rsid w:val="00C35087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7B63"/>
    <w:rsid w:val="00C77C4B"/>
    <w:rsid w:val="00C77D50"/>
    <w:rsid w:val="00C77F77"/>
    <w:rsid w:val="00C80DC6"/>
    <w:rsid w:val="00C815E4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D36"/>
    <w:rsid w:val="00CA3EC4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95E"/>
    <w:rsid w:val="00CB0A8A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557A"/>
    <w:rsid w:val="00CB6108"/>
    <w:rsid w:val="00CB644A"/>
    <w:rsid w:val="00CB65A6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8C"/>
    <w:rsid w:val="00D11BB2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650"/>
    <w:rsid w:val="00D54129"/>
    <w:rsid w:val="00D553C7"/>
    <w:rsid w:val="00D5648F"/>
    <w:rsid w:val="00D5651D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FA3"/>
    <w:rsid w:val="00D62FAC"/>
    <w:rsid w:val="00D635B0"/>
    <w:rsid w:val="00D637A9"/>
    <w:rsid w:val="00D63BE1"/>
    <w:rsid w:val="00D6403E"/>
    <w:rsid w:val="00D65280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74EC"/>
    <w:rsid w:val="00D97594"/>
    <w:rsid w:val="00D97956"/>
    <w:rsid w:val="00DA002B"/>
    <w:rsid w:val="00DA0351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4B0E"/>
    <w:rsid w:val="00DA50E4"/>
    <w:rsid w:val="00DA5BEB"/>
    <w:rsid w:val="00DA69F8"/>
    <w:rsid w:val="00DA6BFD"/>
    <w:rsid w:val="00DA7261"/>
    <w:rsid w:val="00DA7645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31ED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7E7"/>
    <w:rsid w:val="00DB68BB"/>
    <w:rsid w:val="00DB6F55"/>
    <w:rsid w:val="00DB7F10"/>
    <w:rsid w:val="00DC1524"/>
    <w:rsid w:val="00DC1889"/>
    <w:rsid w:val="00DC1CA3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AD2"/>
    <w:rsid w:val="00DF1D62"/>
    <w:rsid w:val="00DF2170"/>
    <w:rsid w:val="00DF2912"/>
    <w:rsid w:val="00DF2D89"/>
    <w:rsid w:val="00DF2FC2"/>
    <w:rsid w:val="00DF3D62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D4"/>
    <w:rsid w:val="00E13D2C"/>
    <w:rsid w:val="00E13EE3"/>
    <w:rsid w:val="00E148CD"/>
    <w:rsid w:val="00E14E22"/>
    <w:rsid w:val="00E14FF5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CF2"/>
    <w:rsid w:val="00E41D23"/>
    <w:rsid w:val="00E4297F"/>
    <w:rsid w:val="00E438F7"/>
    <w:rsid w:val="00E43E29"/>
    <w:rsid w:val="00E43EE5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60DE1"/>
    <w:rsid w:val="00E61076"/>
    <w:rsid w:val="00E61812"/>
    <w:rsid w:val="00E61A15"/>
    <w:rsid w:val="00E61C1E"/>
    <w:rsid w:val="00E62CF0"/>
    <w:rsid w:val="00E62E5D"/>
    <w:rsid w:val="00E63096"/>
    <w:rsid w:val="00E6446D"/>
    <w:rsid w:val="00E65073"/>
    <w:rsid w:val="00E65AAC"/>
    <w:rsid w:val="00E65E8C"/>
    <w:rsid w:val="00E66098"/>
    <w:rsid w:val="00E66800"/>
    <w:rsid w:val="00E66D78"/>
    <w:rsid w:val="00E673C1"/>
    <w:rsid w:val="00E67C5C"/>
    <w:rsid w:val="00E67E55"/>
    <w:rsid w:val="00E70504"/>
    <w:rsid w:val="00E71198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360"/>
    <w:rsid w:val="00EA272B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DE5"/>
    <w:rsid w:val="00F0324F"/>
    <w:rsid w:val="00F03AA2"/>
    <w:rsid w:val="00F03D4D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6DF6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BAD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B25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4DC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769"/>
    <w:rsid w:val="00F8676D"/>
    <w:rsid w:val="00F86C16"/>
    <w:rsid w:val="00F8798B"/>
    <w:rsid w:val="00F87F91"/>
    <w:rsid w:val="00F9034D"/>
    <w:rsid w:val="00F90624"/>
    <w:rsid w:val="00F907AF"/>
    <w:rsid w:val="00F90E09"/>
    <w:rsid w:val="00F91633"/>
    <w:rsid w:val="00F91CBC"/>
    <w:rsid w:val="00F91E36"/>
    <w:rsid w:val="00F922ED"/>
    <w:rsid w:val="00F93A0A"/>
    <w:rsid w:val="00F93FB2"/>
    <w:rsid w:val="00F94A71"/>
    <w:rsid w:val="00F94CCA"/>
    <w:rsid w:val="00F9535C"/>
    <w:rsid w:val="00F95780"/>
    <w:rsid w:val="00F95D44"/>
    <w:rsid w:val="00F95EFB"/>
    <w:rsid w:val="00F9624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441"/>
    <w:rsid w:val="00FA203F"/>
    <w:rsid w:val="00FA25F4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3EF"/>
    <w:rsid w:val="00FD6D64"/>
    <w:rsid w:val="00FD7399"/>
    <w:rsid w:val="00FD764D"/>
    <w:rsid w:val="00FD7ACC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6C84"/>
    <w:rsid w:val="00FE772E"/>
    <w:rsid w:val="00FE78FD"/>
    <w:rsid w:val="00FE7BA2"/>
    <w:rsid w:val="00FF0586"/>
    <w:rsid w:val="00FF0724"/>
    <w:rsid w:val="00FF09BD"/>
    <w:rsid w:val="00FF1744"/>
    <w:rsid w:val="00FF1F34"/>
    <w:rsid w:val="00FF2265"/>
    <w:rsid w:val="00FF2DD8"/>
    <w:rsid w:val="00FF3496"/>
    <w:rsid w:val="00FF3CA1"/>
    <w:rsid w:val="00FF4177"/>
    <w:rsid w:val="00FF4553"/>
    <w:rsid w:val="00FF4675"/>
    <w:rsid w:val="00FF48C8"/>
    <w:rsid w:val="00FF49EF"/>
    <w:rsid w:val="00FF5142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224C7"/>
  <w15:docId w15:val="{D1780DCA-4419-47D7-99DB-C145A59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3B25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DA-4826-BDE4-B113DB86B978}"/>
                </c:ext>
              </c:extLst>
            </c:dLbl>
            <c:dLbl>
              <c:idx val="1"/>
              <c:layout>
                <c:manualLayout>
                  <c:x val="-2.5129913739097903E-3"/>
                  <c:y val="8.8451077162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DA-4826-BDE4-B113DB86B978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DA-4826-BDE4-B113DB86B978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DA-4826-BDE4-B113DB86B978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DA-4826-BDE4-B113DB86B978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DA-4826-BDE4-B113DB86B9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2018'!$R$402:$AA$402</c:f>
              <c:numCache>
                <c:formatCode>0.00</c:formatCode>
                <c:ptCount val="10"/>
                <c:pt idx="0">
                  <c:v>0.26059411775539332</c:v>
                </c:pt>
                <c:pt idx="1">
                  <c:v>0.18921475875118163</c:v>
                </c:pt>
                <c:pt idx="2">
                  <c:v>0.11534422504174653</c:v>
                </c:pt>
                <c:pt idx="3">
                  <c:v>0.31</c:v>
                </c:pt>
                <c:pt idx="4">
                  <c:v>0.31</c:v>
                </c:pt>
                <c:pt idx="5">
                  <c:v>0.34300000000001779</c:v>
                </c:pt>
                <c:pt idx="6">
                  <c:v>-7.5202468183573998E-2</c:v>
                </c:pt>
                <c:pt idx="7">
                  <c:v>0.24182222346234095</c:v>
                </c:pt>
                <c:pt idx="8">
                  <c:v>-2.1086295665009851E-2</c:v>
                </c:pt>
                <c:pt idx="9">
                  <c:v>0.41839984401403923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DA-4826-BDE4-B113DB86B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2968752"/>
        <c:axId val="792967968"/>
      </c:barChart>
      <c:catAx>
        <c:axId val="7929687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792967968"/>
        <c:crosses val="autoZero"/>
        <c:auto val="1"/>
        <c:lblAlgn val="ctr"/>
        <c:lblOffset val="100"/>
        <c:noMultiLvlLbl val="0"/>
      </c:catAx>
      <c:valAx>
        <c:axId val="792967968"/>
        <c:scaling>
          <c:orientation val="minMax"/>
          <c:max val="0.5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792968752"/>
        <c:crosses val="autoZero"/>
        <c:crossBetween val="between"/>
        <c:majorUnit val="0.1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46-4F92-87EC-BA07AC6143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2018'!$R$417:$AA$417</c:f>
              <c:numCache>
                <c:formatCode>0.00</c:formatCode>
                <c:ptCount val="10"/>
                <c:pt idx="0">
                  <c:v>0.10472113290679798</c:v>
                </c:pt>
                <c:pt idx="1">
                  <c:v>0.14698205492892941</c:v>
                </c:pt>
                <c:pt idx="2">
                  <c:v>0.12162097627204044</c:v>
                </c:pt>
                <c:pt idx="3">
                  <c:v>0.13105951235473776</c:v>
                </c:pt>
                <c:pt idx="4">
                  <c:v>0.19878330566645394</c:v>
                </c:pt>
                <c:pt idx="5">
                  <c:v>0.17542809459999376</c:v>
                </c:pt>
                <c:pt idx="6">
                  <c:v>0.112679854382948</c:v>
                </c:pt>
                <c:pt idx="7">
                  <c:v>0.18037031765058767</c:v>
                </c:pt>
                <c:pt idx="8">
                  <c:v>0.27992594364276002</c:v>
                </c:pt>
                <c:pt idx="9">
                  <c:v>0.4875401830125573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46-4F92-87EC-BA07AC6143FE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dkUpDiag">
              <a:fgClr>
                <a:srgbClr val="66FF33"/>
              </a:fgClr>
              <a:bgClr>
                <a:srgbClr val="ABC674"/>
              </a:bgClr>
            </a:patt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46-4F92-87EC-BA07AC6143FE}"/>
                </c:ext>
              </c:extLst>
            </c:dLbl>
            <c:dLbl>
              <c:idx val="2"/>
              <c:layout>
                <c:manualLayout>
                  <c:x val="1.9809994419524574E-6"/>
                  <c:y val="8.9634515264010999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46-4F92-87EC-BA07AC6143FE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446-4F92-87EC-BA07AC6143FE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46-4F92-87EC-BA07AC6143FE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446-4F92-87EC-BA07AC6143FE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46-4F92-87EC-BA07AC6143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2018'!$R$432:$AA$432</c:f>
              <c:numCache>
                <c:formatCode>0.00</c:formatCode>
                <c:ptCount val="10"/>
                <c:pt idx="0">
                  <c:v>0.7825569421257762</c:v>
                </c:pt>
                <c:pt idx="1">
                  <c:v>0.32739855754635877</c:v>
                </c:pt>
                <c:pt idx="2">
                  <c:v>9.4456101733610062E-2</c:v>
                </c:pt>
                <c:pt idx="3">
                  <c:v>0.90333489304212833</c:v>
                </c:pt>
                <c:pt idx="4">
                  <c:v>0.64092014644862549</c:v>
                </c:pt>
                <c:pt idx="5">
                  <c:v>0.86242894400000125</c:v>
                </c:pt>
                <c:pt idx="6">
                  <c:v>-0.66266808551804413</c:v>
                </c:pt>
                <c:pt idx="7">
                  <c:v>0.43419839781794634</c:v>
                </c:pt>
                <c:pt idx="8">
                  <c:v>-0.91949886026702954</c:v>
                </c:pt>
                <c:pt idx="9">
                  <c:v>0.21788541421740854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446-4F92-87EC-BA07AC614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792958168"/>
        <c:axId val="792964048"/>
      </c:barChart>
      <c:catAx>
        <c:axId val="7929581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792964048"/>
        <c:crosses val="autoZero"/>
        <c:auto val="1"/>
        <c:lblAlgn val="ctr"/>
        <c:lblOffset val="100"/>
        <c:noMultiLvlLbl val="0"/>
      </c:catAx>
      <c:valAx>
        <c:axId val="792964048"/>
        <c:scaling>
          <c:orientation val="minMax"/>
          <c:max val="1.2"/>
          <c:min val="-1.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792958168"/>
        <c:crosses val="autoZero"/>
        <c:crossBetween val="between"/>
        <c:majorUnit val="0.4"/>
        <c:min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1524184932638E-4"/>
                  <c:y val="-4.24147260719857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80-4646-A039-7E37A4308B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2018'!$A$187:$B$403</c:f>
              <c:multiLvlStrCache>
                <c:ptCount val="217"/>
                <c:lvl>
                  <c:pt idx="0">
                    <c:v>1qAgo</c:v>
                  </c:pt>
                  <c:pt idx="1">
                    <c:v>2qAgo</c:v>
                  </c:pt>
                  <c:pt idx="2">
                    <c:v>1qSep</c:v>
                  </c:pt>
                  <c:pt idx="3">
                    <c:v>2qSep</c:v>
                  </c:pt>
                  <c:pt idx="4">
                    <c:v>1qOct</c:v>
                  </c:pt>
                  <c:pt idx="5">
                    <c:v>2qOct</c:v>
                  </c:pt>
                  <c:pt idx="6">
                    <c:v>1qNov</c:v>
                  </c:pt>
                  <c:pt idx="7">
                    <c:v>2qNov</c:v>
                  </c:pt>
                  <c:pt idx="8">
                    <c:v>1qDic</c:v>
                  </c:pt>
                  <c:pt idx="9">
                    <c:v>2qDic</c:v>
                  </c:pt>
                  <c:pt idx="10">
                    <c:v>1qEne</c:v>
                  </c:pt>
                  <c:pt idx="11">
                    <c:v>2qEne</c:v>
                  </c:pt>
                  <c:pt idx="12">
                    <c:v>1qFeb</c:v>
                  </c:pt>
                  <c:pt idx="13">
                    <c:v>2qFeb</c:v>
                  </c:pt>
                  <c:pt idx="14">
                    <c:v>1qMar</c:v>
                  </c:pt>
                  <c:pt idx="15">
                    <c:v>2qMar</c:v>
                  </c:pt>
                  <c:pt idx="16">
                    <c:v>1qAbr</c:v>
                  </c:pt>
                  <c:pt idx="17">
                    <c:v>2qAbr</c:v>
                  </c:pt>
                  <c:pt idx="18">
                    <c:v>1qMay</c:v>
                  </c:pt>
                  <c:pt idx="19">
                    <c:v>2qMay</c:v>
                  </c:pt>
                  <c:pt idx="20">
                    <c:v>1qJun</c:v>
                  </c:pt>
                  <c:pt idx="21">
                    <c:v>2qJun</c:v>
                  </c:pt>
                  <c:pt idx="22">
                    <c:v>1qJul</c:v>
                  </c:pt>
                  <c:pt idx="23">
                    <c:v>2qJul</c:v>
                  </c:pt>
                  <c:pt idx="24">
                    <c:v>1qAgo</c:v>
                  </c:pt>
                  <c:pt idx="25">
                    <c:v>2qAgo</c:v>
                  </c:pt>
                  <c:pt idx="26">
                    <c:v>1qSep</c:v>
                  </c:pt>
                  <c:pt idx="27">
                    <c:v>2qSep</c:v>
                  </c:pt>
                  <c:pt idx="28">
                    <c:v>1qOct</c:v>
                  </c:pt>
                  <c:pt idx="29">
                    <c:v>2qOct</c:v>
                  </c:pt>
                  <c:pt idx="30">
                    <c:v>1qNov</c:v>
                  </c:pt>
                  <c:pt idx="31">
                    <c:v>2qNov</c:v>
                  </c:pt>
                  <c:pt idx="32">
                    <c:v>1qDic</c:v>
                  </c:pt>
                  <c:pt idx="33">
                    <c:v>2qDic</c:v>
                  </c:pt>
                  <c:pt idx="34">
                    <c:v>1qEne</c:v>
                  </c:pt>
                  <c:pt idx="35">
                    <c:v>2qEne</c:v>
                  </c:pt>
                  <c:pt idx="36">
                    <c:v>1qFeb</c:v>
                  </c:pt>
                  <c:pt idx="37">
                    <c:v>2qFeb</c:v>
                  </c:pt>
                  <c:pt idx="38">
                    <c:v>1qMar</c:v>
                  </c:pt>
                  <c:pt idx="39">
                    <c:v>2qMar</c:v>
                  </c:pt>
                  <c:pt idx="40">
                    <c:v>1qAbr</c:v>
                  </c:pt>
                  <c:pt idx="41">
                    <c:v>2qAbr</c:v>
                  </c:pt>
                  <c:pt idx="42">
                    <c:v>1qMay</c:v>
                  </c:pt>
                  <c:pt idx="43">
                    <c:v>2qMay</c:v>
                  </c:pt>
                  <c:pt idx="44">
                    <c:v>1qJun</c:v>
                  </c:pt>
                  <c:pt idx="45">
                    <c:v>2qJun</c:v>
                  </c:pt>
                  <c:pt idx="46">
                    <c:v>1qJul</c:v>
                  </c:pt>
                  <c:pt idx="47">
                    <c:v>2qJul</c:v>
                  </c:pt>
                  <c:pt idx="48">
                    <c:v>1qAgo</c:v>
                  </c:pt>
                  <c:pt idx="49">
                    <c:v>2qAgo</c:v>
                  </c:pt>
                  <c:pt idx="50">
                    <c:v>1qSep</c:v>
                  </c:pt>
                  <c:pt idx="51">
                    <c:v>2qSep</c:v>
                  </c:pt>
                  <c:pt idx="52">
                    <c:v>1qOct</c:v>
                  </c:pt>
                  <c:pt idx="53">
                    <c:v>2qOct</c:v>
                  </c:pt>
                  <c:pt idx="54">
                    <c:v>1qNov</c:v>
                  </c:pt>
                  <c:pt idx="55">
                    <c:v>2qNov</c:v>
                  </c:pt>
                  <c:pt idx="56">
                    <c:v>1qDic</c:v>
                  </c:pt>
                  <c:pt idx="57">
                    <c:v>2qDic</c:v>
                  </c:pt>
                  <c:pt idx="58">
                    <c:v>1qEne</c:v>
                  </c:pt>
                  <c:pt idx="59">
                    <c:v>2qEne</c:v>
                  </c:pt>
                  <c:pt idx="60">
                    <c:v>1qFeb</c:v>
                  </c:pt>
                  <c:pt idx="61">
                    <c:v>2qFeb</c:v>
                  </c:pt>
                  <c:pt idx="62">
                    <c:v>1qMar</c:v>
                  </c:pt>
                  <c:pt idx="63">
                    <c:v>2qMar</c:v>
                  </c:pt>
                  <c:pt idx="64">
                    <c:v>1qAbr</c:v>
                  </c:pt>
                  <c:pt idx="65">
                    <c:v>2qAbr</c:v>
                  </c:pt>
                  <c:pt idx="66">
                    <c:v>1qMay</c:v>
                  </c:pt>
                  <c:pt idx="67">
                    <c:v>2qMay</c:v>
                  </c:pt>
                  <c:pt idx="68">
                    <c:v>1qJun</c:v>
                  </c:pt>
                  <c:pt idx="69">
                    <c:v>2qJun</c:v>
                  </c:pt>
                  <c:pt idx="70">
                    <c:v>1qJul</c:v>
                  </c:pt>
                  <c:pt idx="71">
                    <c:v>2qJul</c:v>
                  </c:pt>
                  <c:pt idx="72">
                    <c:v>1qAgo</c:v>
                  </c:pt>
                  <c:pt idx="73">
                    <c:v>2qAgo</c:v>
                  </c:pt>
                  <c:pt idx="74">
                    <c:v>1qSep</c:v>
                  </c:pt>
                  <c:pt idx="75">
                    <c:v>2qSep</c:v>
                  </c:pt>
                  <c:pt idx="76">
                    <c:v>1qOct</c:v>
                  </c:pt>
                  <c:pt idx="77">
                    <c:v>2qOct</c:v>
                  </c:pt>
                  <c:pt idx="78">
                    <c:v>1qNov</c:v>
                  </c:pt>
                  <c:pt idx="79">
                    <c:v>2qNov</c:v>
                  </c:pt>
                  <c:pt idx="80">
                    <c:v>1qDic</c:v>
                  </c:pt>
                  <c:pt idx="81">
                    <c:v>2qDic</c:v>
                  </c:pt>
                  <c:pt idx="82">
                    <c:v>1qEne</c:v>
                  </c:pt>
                  <c:pt idx="83">
                    <c:v>2qEne</c:v>
                  </c:pt>
                  <c:pt idx="84">
                    <c:v>1qFeb</c:v>
                  </c:pt>
                  <c:pt idx="85">
                    <c:v>2qFeb</c:v>
                  </c:pt>
                  <c:pt idx="86">
                    <c:v>1qMar</c:v>
                  </c:pt>
                  <c:pt idx="87">
                    <c:v>2qMar</c:v>
                  </c:pt>
                  <c:pt idx="88">
                    <c:v>1qAbr</c:v>
                  </c:pt>
                  <c:pt idx="89">
                    <c:v>2qAbr</c:v>
                  </c:pt>
                  <c:pt idx="90">
                    <c:v>1qMay</c:v>
                  </c:pt>
                  <c:pt idx="91">
                    <c:v>2qMay</c:v>
                  </c:pt>
                  <c:pt idx="92">
                    <c:v>1qJun</c:v>
                  </c:pt>
                  <c:pt idx="93">
                    <c:v>2qJun</c:v>
                  </c:pt>
                  <c:pt idx="94">
                    <c:v>1qJul</c:v>
                  </c:pt>
                  <c:pt idx="95">
                    <c:v>2qJul</c:v>
                  </c:pt>
                  <c:pt idx="96">
                    <c:v>1qAgo</c:v>
                  </c:pt>
                  <c:pt idx="97">
                    <c:v>2qAgo</c:v>
                  </c:pt>
                  <c:pt idx="98">
                    <c:v>1qSep</c:v>
                  </c:pt>
                  <c:pt idx="99">
                    <c:v>2qSep</c:v>
                  </c:pt>
                  <c:pt idx="100">
                    <c:v>1qOct</c:v>
                  </c:pt>
                  <c:pt idx="101">
                    <c:v>2qOct</c:v>
                  </c:pt>
                  <c:pt idx="102">
                    <c:v>1qNov</c:v>
                  </c:pt>
                  <c:pt idx="103">
                    <c:v>2qNov</c:v>
                  </c:pt>
                  <c:pt idx="104">
                    <c:v>1qDic</c:v>
                  </c:pt>
                  <c:pt idx="105">
                    <c:v>2qDic</c:v>
                  </c:pt>
                  <c:pt idx="106">
                    <c:v>1qEne</c:v>
                  </c:pt>
                  <c:pt idx="107">
                    <c:v>2qEne</c:v>
                  </c:pt>
                  <c:pt idx="108">
                    <c:v>1qFeb</c:v>
                  </c:pt>
                  <c:pt idx="109">
                    <c:v>2qFeb</c:v>
                  </c:pt>
                  <c:pt idx="110">
                    <c:v>1qMar</c:v>
                  </c:pt>
                  <c:pt idx="111">
                    <c:v>2qMar</c:v>
                  </c:pt>
                  <c:pt idx="112">
                    <c:v>1qAbr</c:v>
                  </c:pt>
                  <c:pt idx="113">
                    <c:v>2qAbr</c:v>
                  </c:pt>
                  <c:pt idx="114">
                    <c:v>1qMay</c:v>
                  </c:pt>
                  <c:pt idx="115">
                    <c:v>2qMay</c:v>
                  </c:pt>
                  <c:pt idx="116">
                    <c:v>1qJun</c:v>
                  </c:pt>
                  <c:pt idx="117">
                    <c:v>2qJun</c:v>
                  </c:pt>
                  <c:pt idx="118">
                    <c:v>1qJul</c:v>
                  </c:pt>
                  <c:pt idx="119">
                    <c:v>2qJul</c:v>
                  </c:pt>
                  <c:pt idx="120">
                    <c:v>1qAgo</c:v>
                  </c:pt>
                  <c:pt idx="121">
                    <c:v>2qAgo</c:v>
                  </c:pt>
                  <c:pt idx="122">
                    <c:v>1qSep</c:v>
                  </c:pt>
                  <c:pt idx="123">
                    <c:v>2qSep</c:v>
                  </c:pt>
                  <c:pt idx="124">
                    <c:v>1qOct</c:v>
                  </c:pt>
                  <c:pt idx="125">
                    <c:v>2qOct</c:v>
                  </c:pt>
                  <c:pt idx="126">
                    <c:v>1qNov</c:v>
                  </c:pt>
                  <c:pt idx="127">
                    <c:v>2qNov</c:v>
                  </c:pt>
                  <c:pt idx="128">
                    <c:v>1qDic</c:v>
                  </c:pt>
                  <c:pt idx="129">
                    <c:v>2qDic</c:v>
                  </c:pt>
                  <c:pt idx="130">
                    <c:v>1qEne</c:v>
                  </c:pt>
                  <c:pt idx="131">
                    <c:v>2qEne</c:v>
                  </c:pt>
                  <c:pt idx="132">
                    <c:v>1qFeb</c:v>
                  </c:pt>
                  <c:pt idx="133">
                    <c:v>2qFeb</c:v>
                  </c:pt>
                  <c:pt idx="134">
                    <c:v>1qMar</c:v>
                  </c:pt>
                  <c:pt idx="135">
                    <c:v>2qMar</c:v>
                  </c:pt>
                  <c:pt idx="136">
                    <c:v>1qAbr</c:v>
                  </c:pt>
                  <c:pt idx="137">
                    <c:v>2qAbr</c:v>
                  </c:pt>
                  <c:pt idx="138">
                    <c:v>1qMay</c:v>
                  </c:pt>
                  <c:pt idx="139">
                    <c:v>2qMay</c:v>
                  </c:pt>
                  <c:pt idx="140">
                    <c:v>1qJun</c:v>
                  </c:pt>
                  <c:pt idx="141">
                    <c:v>2qJun</c:v>
                  </c:pt>
                  <c:pt idx="142">
                    <c:v>1qJul</c:v>
                  </c:pt>
                  <c:pt idx="143">
                    <c:v>2qJul</c:v>
                  </c:pt>
                  <c:pt idx="144">
                    <c:v>1qAgo</c:v>
                  </c:pt>
                  <c:pt idx="145">
                    <c:v>2qAgo</c:v>
                  </c:pt>
                  <c:pt idx="146">
                    <c:v>1qSep</c:v>
                  </c:pt>
                  <c:pt idx="147">
                    <c:v>2qSep</c:v>
                  </c:pt>
                  <c:pt idx="148">
                    <c:v>1qOct</c:v>
                  </c:pt>
                  <c:pt idx="149">
                    <c:v>2qOct</c:v>
                  </c:pt>
                  <c:pt idx="150">
                    <c:v>1qNov</c:v>
                  </c:pt>
                  <c:pt idx="151">
                    <c:v>2qNov</c:v>
                  </c:pt>
                  <c:pt idx="152">
                    <c:v>1qDic</c:v>
                  </c:pt>
                  <c:pt idx="153">
                    <c:v>2qDic</c:v>
                  </c:pt>
                  <c:pt idx="154">
                    <c:v>1qEne</c:v>
                  </c:pt>
                  <c:pt idx="155">
                    <c:v>2qEne</c:v>
                  </c:pt>
                  <c:pt idx="156">
                    <c:v>1qFeb</c:v>
                  </c:pt>
                  <c:pt idx="157">
                    <c:v>2qFeb</c:v>
                  </c:pt>
                  <c:pt idx="158">
                    <c:v>1qMar</c:v>
                  </c:pt>
                  <c:pt idx="159">
                    <c:v>2qMar</c:v>
                  </c:pt>
                  <c:pt idx="160">
                    <c:v>1qAbr</c:v>
                  </c:pt>
                  <c:pt idx="161">
                    <c:v>2qAbr</c:v>
                  </c:pt>
                  <c:pt idx="162">
                    <c:v>1qMay</c:v>
                  </c:pt>
                  <c:pt idx="163">
                    <c:v>2qMay</c:v>
                  </c:pt>
                  <c:pt idx="164">
                    <c:v>1qJun</c:v>
                  </c:pt>
                  <c:pt idx="165">
                    <c:v>2qJun</c:v>
                  </c:pt>
                  <c:pt idx="166">
                    <c:v>1qJul</c:v>
                  </c:pt>
                  <c:pt idx="167">
                    <c:v>2qJul</c:v>
                  </c:pt>
                  <c:pt idx="168">
                    <c:v>1qAgo</c:v>
                  </c:pt>
                  <c:pt idx="169">
                    <c:v>2qAgo</c:v>
                  </c:pt>
                  <c:pt idx="170">
                    <c:v>1qSep</c:v>
                  </c:pt>
                  <c:pt idx="171">
                    <c:v>2qSep</c:v>
                  </c:pt>
                  <c:pt idx="172">
                    <c:v>1qOct</c:v>
                  </c:pt>
                  <c:pt idx="173">
                    <c:v>2qOct</c:v>
                  </c:pt>
                  <c:pt idx="174">
                    <c:v>1qNov</c:v>
                  </c:pt>
                  <c:pt idx="175">
                    <c:v>2qNov</c:v>
                  </c:pt>
                  <c:pt idx="176">
                    <c:v>1qDic</c:v>
                  </c:pt>
                  <c:pt idx="177">
                    <c:v>2qDic</c:v>
                  </c:pt>
                  <c:pt idx="178">
                    <c:v>1qEne</c:v>
                  </c:pt>
                  <c:pt idx="179">
                    <c:v>2qEne</c:v>
                  </c:pt>
                  <c:pt idx="180">
                    <c:v>1qFeb</c:v>
                  </c:pt>
                  <c:pt idx="181">
                    <c:v>2qFeb</c:v>
                  </c:pt>
                  <c:pt idx="182">
                    <c:v>1qMar</c:v>
                  </c:pt>
                  <c:pt idx="183">
                    <c:v>2qMar</c:v>
                  </c:pt>
                  <c:pt idx="184">
                    <c:v>1qAbr</c:v>
                  </c:pt>
                  <c:pt idx="185">
                    <c:v>2qAbr</c:v>
                  </c:pt>
                  <c:pt idx="186">
                    <c:v>1qMay</c:v>
                  </c:pt>
                  <c:pt idx="187">
                    <c:v>2qMay</c:v>
                  </c:pt>
                  <c:pt idx="188">
                    <c:v>1qJun</c:v>
                  </c:pt>
                  <c:pt idx="189">
                    <c:v>2qJun</c:v>
                  </c:pt>
                  <c:pt idx="190">
                    <c:v>1qJul</c:v>
                  </c:pt>
                  <c:pt idx="191">
                    <c:v>2qJul</c:v>
                  </c:pt>
                  <c:pt idx="192">
                    <c:v>1qAgo</c:v>
                  </c:pt>
                  <c:pt idx="193">
                    <c:v>2qAgo</c:v>
                  </c:pt>
                  <c:pt idx="194">
                    <c:v>1qSep</c:v>
                  </c:pt>
                  <c:pt idx="195">
                    <c:v>2qSep</c:v>
                  </c:pt>
                  <c:pt idx="196">
                    <c:v>1qOct</c:v>
                  </c:pt>
                  <c:pt idx="197">
                    <c:v>2qOct</c:v>
                  </c:pt>
                  <c:pt idx="198">
                    <c:v>1qNov</c:v>
                  </c:pt>
                  <c:pt idx="199">
                    <c:v>2qNov</c:v>
                  </c:pt>
                  <c:pt idx="200">
                    <c:v>1qDic</c:v>
                  </c:pt>
                  <c:pt idx="201">
                    <c:v>2qDic</c:v>
                  </c:pt>
                  <c:pt idx="202">
                    <c:v>1qEne</c:v>
                  </c:pt>
                  <c:pt idx="203">
                    <c:v>2qEne</c:v>
                  </c:pt>
                  <c:pt idx="204">
                    <c:v>1qFeb</c:v>
                  </c:pt>
                  <c:pt idx="205">
                    <c:v>2qFeb</c:v>
                  </c:pt>
                  <c:pt idx="206">
                    <c:v>1qMar</c:v>
                  </c:pt>
                  <c:pt idx="207">
                    <c:v>2qMar</c:v>
                  </c:pt>
                  <c:pt idx="208">
                    <c:v>1qAbr</c:v>
                  </c:pt>
                  <c:pt idx="209">
                    <c:v>2qAbr</c:v>
                  </c:pt>
                  <c:pt idx="210">
                    <c:v>1qMay</c:v>
                  </c:pt>
                  <c:pt idx="211">
                    <c:v>2qMay</c:v>
                  </c:pt>
                  <c:pt idx="212">
                    <c:v>1qJun</c:v>
                  </c:pt>
                  <c:pt idx="213">
                    <c:v>2qJun</c:v>
                  </c:pt>
                  <c:pt idx="214">
                    <c:v>1qJul</c:v>
                  </c:pt>
                  <c:pt idx="215">
                    <c:v>2qJul</c:v>
                  </c:pt>
                  <c:pt idx="216">
                    <c:v>1qAgo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2013</c:v>
                  </c:pt>
                  <c:pt idx="9">
                    <c:v>2013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2014</c:v>
                  </c:pt>
                  <c:pt idx="33">
                    <c:v>2014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2015</c:v>
                  </c:pt>
                  <c:pt idx="57">
                    <c:v>2015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2016</c:v>
                  </c:pt>
                  <c:pt idx="81">
                    <c:v>2016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2017</c:v>
                  </c:pt>
                  <c:pt idx="105">
                    <c:v>2017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2018</c:v>
                  </c:pt>
                  <c:pt idx="129">
                    <c:v>2018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2019</c:v>
                  </c:pt>
                  <c:pt idx="153">
                    <c:v>2019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2020</c:v>
                  </c:pt>
                  <c:pt idx="177">
                    <c:v>2020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2021</c:v>
                  </c:pt>
                  <c:pt idx="201">
                    <c:v>2021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2018'!$D$187:$D$403</c:f>
              <c:numCache>
                <c:formatCode>0.00</c:formatCode>
                <c:ptCount val="217"/>
                <c:pt idx="0">
                  <c:v>3.5443254655077352</c:v>
                </c:pt>
                <c:pt idx="1">
                  <c:v>3.3689423551288482</c:v>
                </c:pt>
                <c:pt idx="2">
                  <c:v>3.4599259939242977</c:v>
                </c:pt>
                <c:pt idx="3">
                  <c:v>3.3217097118664887</c:v>
                </c:pt>
                <c:pt idx="4">
                  <c:v>3.2720259654734472</c:v>
                </c:pt>
                <c:pt idx="5">
                  <c:v>3.4472049689440953</c:v>
                </c:pt>
                <c:pt idx="6">
                  <c:v>3.5108031896020431</c:v>
                </c:pt>
                <c:pt idx="7">
                  <c:v>3.7268126584409909</c:v>
                </c:pt>
                <c:pt idx="8">
                  <c:v>3.8602906879116397</c:v>
                </c:pt>
                <c:pt idx="9">
                  <c:v>4.0886130216779497</c:v>
                </c:pt>
                <c:pt idx="10">
                  <c:v>4.6313614918623145</c:v>
                </c:pt>
                <c:pt idx="11">
                  <c:v>4.335817298780249</c:v>
                </c:pt>
                <c:pt idx="12">
                  <c:v>4.2117818934987694</c:v>
                </c:pt>
                <c:pt idx="13">
                  <c:v>4.2551815864336904</c:v>
                </c:pt>
                <c:pt idx="14">
                  <c:v>3.8940752719788327</c:v>
                </c:pt>
                <c:pt idx="15">
                  <c:v>3.6227237753270081</c:v>
                </c:pt>
                <c:pt idx="16">
                  <c:v>3.5270926927661179</c:v>
                </c:pt>
                <c:pt idx="17">
                  <c:v>3.4672436238288107</c:v>
                </c:pt>
                <c:pt idx="18">
                  <c:v>3.4433905851832236</c:v>
                </c:pt>
                <c:pt idx="19">
                  <c:v>3.5779656184177719</c:v>
                </c:pt>
                <c:pt idx="20">
                  <c:v>3.7103156344897048</c:v>
                </c:pt>
                <c:pt idx="21">
                  <c:v>3.7958368241283909</c:v>
                </c:pt>
                <c:pt idx="22">
                  <c:v>4.001141605059888</c:v>
                </c:pt>
                <c:pt idx="23">
                  <c:v>4.144643547763315</c:v>
                </c:pt>
                <c:pt idx="24">
                  <c:v>4.0704989851305564</c:v>
                </c:pt>
                <c:pt idx="25">
                  <c:v>4.2283511541462131</c:v>
                </c:pt>
                <c:pt idx="26">
                  <c:v>4.2141177977187114</c:v>
                </c:pt>
                <c:pt idx="27">
                  <c:v>4.2200962189254909</c:v>
                </c:pt>
                <c:pt idx="28">
                  <c:v>4.319823636048949</c:v>
                </c:pt>
                <c:pt idx="29">
                  <c:v>4.275720276921116</c:v>
                </c:pt>
                <c:pt idx="30">
                  <c:v>4.1584730014974358</c:v>
                </c:pt>
                <c:pt idx="31">
                  <c:v>4.1791044776119204</c:v>
                </c:pt>
                <c:pt idx="32">
                  <c:v>4.191068156504886</c:v>
                </c:pt>
                <c:pt idx="33">
                  <c:v>3.9718852128754896</c:v>
                </c:pt>
                <c:pt idx="34">
                  <c:v>3.0807541800071165</c:v>
                </c:pt>
                <c:pt idx="35">
                  <c:v>3.0496579905836412</c:v>
                </c:pt>
                <c:pt idx="36">
                  <c:v>3.0353847245883201</c:v>
                </c:pt>
                <c:pt idx="37">
                  <c:v>2.9652270210409597</c:v>
                </c:pt>
                <c:pt idx="38">
                  <c:v>2.9724949146546393</c:v>
                </c:pt>
                <c:pt idx="39">
                  <c:v>3.3015990877509354</c:v>
                </c:pt>
                <c:pt idx="40">
                  <c:v>3.0270021343110427</c:v>
                </c:pt>
                <c:pt idx="41">
                  <c:v>3.0976430976431031</c:v>
                </c:pt>
                <c:pt idx="42">
                  <c:v>2.9303475507808314</c:v>
                </c:pt>
                <c:pt idx="43">
                  <c:v>2.8212163998188555</c:v>
                </c:pt>
                <c:pt idx="44">
                  <c:v>2.8739507728345943</c:v>
                </c:pt>
                <c:pt idx="45">
                  <c:v>2.8667222508027153</c:v>
                </c:pt>
                <c:pt idx="46">
                  <c:v>2.760146948169786</c:v>
                </c:pt>
                <c:pt idx="47">
                  <c:v>2.7188569306536725</c:v>
                </c:pt>
                <c:pt idx="48">
                  <c:v>2.6431212658741687</c:v>
                </c:pt>
                <c:pt idx="49">
                  <c:v>2.5325372924041352</c:v>
                </c:pt>
                <c:pt idx="50">
                  <c:v>2.5287457210567879</c:v>
                </c:pt>
                <c:pt idx="51">
                  <c:v>2.509039210868119</c:v>
                </c:pt>
                <c:pt idx="52">
                  <c:v>2.4730384665763943</c:v>
                </c:pt>
                <c:pt idx="53">
                  <c:v>2.4872844019088571</c:v>
                </c:pt>
                <c:pt idx="54">
                  <c:v>2.2672948349326192</c:v>
                </c:pt>
                <c:pt idx="55">
                  <c:v>2.1624148408487054</c:v>
                </c:pt>
                <c:pt idx="56">
                  <c:v>2.0026207348402476</c:v>
                </c:pt>
                <c:pt idx="57">
                  <c:v>2.2571283402657554</c:v>
                </c:pt>
                <c:pt idx="58">
                  <c:v>2.4761871893981242</c:v>
                </c:pt>
                <c:pt idx="59">
                  <c:v>2.7507909278208404</c:v>
                </c:pt>
                <c:pt idx="60">
                  <c:v>2.9356297093649055</c:v>
                </c:pt>
                <c:pt idx="61">
                  <c:v>2.7989537264889646</c:v>
                </c:pt>
                <c:pt idx="62">
                  <c:v>2.7131949394920647</c:v>
                </c:pt>
                <c:pt idx="63">
                  <c:v>2.4892608375691108</c:v>
                </c:pt>
                <c:pt idx="64">
                  <c:v>2.5985301070185352</c:v>
                </c:pt>
                <c:pt idx="65">
                  <c:v>2.4846161779366516</c:v>
                </c:pt>
                <c:pt idx="66">
                  <c:v>2.5324220876282051</c:v>
                </c:pt>
                <c:pt idx="67">
                  <c:v>2.6608975023318471</c:v>
                </c:pt>
                <c:pt idx="68">
                  <c:v>2.5487101198022941</c:v>
                </c:pt>
                <c:pt idx="69">
                  <c:v>2.528152861848342</c:v>
                </c:pt>
                <c:pt idx="70">
                  <c:v>2.7161599889734105</c:v>
                </c:pt>
                <c:pt idx="71">
                  <c:v>2.5935235078416721</c:v>
                </c:pt>
                <c:pt idx="72">
                  <c:v>2.7968841352271587</c:v>
                </c:pt>
                <c:pt idx="73">
                  <c:v>2.6580669540871518</c:v>
                </c:pt>
                <c:pt idx="74">
                  <c:v>2.8807218498257776</c:v>
                </c:pt>
                <c:pt idx="75">
                  <c:v>3.057179792306961</c:v>
                </c:pt>
                <c:pt idx="76">
                  <c:v>3.0891288230632474</c:v>
                </c:pt>
                <c:pt idx="77">
                  <c:v>3.0372678209646473</c:v>
                </c:pt>
                <c:pt idx="78">
                  <c:v>3.2942093050827412</c:v>
                </c:pt>
                <c:pt idx="79">
                  <c:v>3.3156240202682721</c:v>
                </c:pt>
                <c:pt idx="80">
                  <c:v>3.4786724250133023</c:v>
                </c:pt>
                <c:pt idx="81">
                  <c:v>3.2440080173822237</c:v>
                </c:pt>
                <c:pt idx="82">
                  <c:v>4.777981713169539</c:v>
                </c:pt>
                <c:pt idx="83">
                  <c:v>4.6587915499102257</c:v>
                </c:pt>
                <c:pt idx="84">
                  <c:v>4.7091204176217527</c:v>
                </c:pt>
                <c:pt idx="85">
                  <c:v>5.0202971332914927</c:v>
                </c:pt>
                <c:pt idx="86">
                  <c:v>5.2872313738607115</c:v>
                </c:pt>
                <c:pt idx="87">
                  <c:v>5.417839042840094</c:v>
                </c:pt>
                <c:pt idx="88">
                  <c:v>5.6234186229661951</c:v>
                </c:pt>
                <c:pt idx="89">
                  <c:v>6.0102140934363444</c:v>
                </c:pt>
                <c:pt idx="90">
                  <c:v>6.165838038257343</c:v>
                </c:pt>
                <c:pt idx="91">
                  <c:v>6.163087095878649</c:v>
                </c:pt>
                <c:pt idx="92">
                  <c:v>6.299623200107658</c:v>
                </c:pt>
                <c:pt idx="93">
                  <c:v>6.3268464164970579</c:v>
                </c:pt>
                <c:pt idx="94">
                  <c:v>6.2824985742561026</c:v>
                </c:pt>
                <c:pt idx="95">
                  <c:v>6.5938399322073762</c:v>
                </c:pt>
                <c:pt idx="96">
                  <c:v>6.5882687498431682</c:v>
                </c:pt>
                <c:pt idx="97">
                  <c:v>6.7378882818970585</c:v>
                </c:pt>
                <c:pt idx="98">
                  <c:v>6.5287578218612659</c:v>
                </c:pt>
                <c:pt idx="99">
                  <c:v>6.1664091445280791</c:v>
                </c:pt>
                <c:pt idx="100">
                  <c:v>6.2989782759646946</c:v>
                </c:pt>
                <c:pt idx="101">
                  <c:v>6.44321805654236</c:v>
                </c:pt>
                <c:pt idx="102">
                  <c:v>6.5947399488423954</c:v>
                </c:pt>
                <c:pt idx="103">
                  <c:v>6.67350118920693</c:v>
                </c:pt>
                <c:pt idx="104">
                  <c:v>6.694054901704555</c:v>
                </c:pt>
                <c:pt idx="105">
                  <c:v>6.8510693834934884</c:v>
                </c:pt>
                <c:pt idx="106">
                  <c:v>5.5090840424591905</c:v>
                </c:pt>
                <c:pt idx="107">
                  <c:v>5.5824989779313308</c:v>
                </c:pt>
                <c:pt idx="108">
                  <c:v>5.4472967250705189</c:v>
                </c:pt>
                <c:pt idx="109">
                  <c:v>5.2322013500912563</c:v>
                </c:pt>
                <c:pt idx="110">
                  <c:v>5.1734133886095535</c:v>
                </c:pt>
                <c:pt idx="111">
                  <c:v>4.8978298748613769</c:v>
                </c:pt>
                <c:pt idx="112">
                  <c:v>4.6926310779725515</c:v>
                </c:pt>
                <c:pt idx="113">
                  <c:v>4.4101128039615771</c:v>
                </c:pt>
                <c:pt idx="114">
                  <c:v>4.4591902339130147</c:v>
                </c:pt>
                <c:pt idx="115">
                  <c:v>4.5540631562264844</c:v>
                </c:pt>
                <c:pt idx="116">
                  <c:v>4.5361036823698937</c:v>
                </c:pt>
                <c:pt idx="117">
                  <c:v>4.7584019489199445</c:v>
                </c:pt>
                <c:pt idx="118">
                  <c:v>4.848217033465648</c:v>
                </c:pt>
                <c:pt idx="119">
                  <c:v>4.7746485524927875</c:v>
                </c:pt>
                <c:pt idx="120">
                  <c:v>4.8106327469043819</c:v>
                </c:pt>
                <c:pt idx="121">
                  <c:v>4.9991362129370582</c:v>
                </c:pt>
                <c:pt idx="122">
                  <c:v>4.875270500382749</c:v>
                </c:pt>
                <c:pt idx="123">
                  <c:v>5.1659896244943289</c:v>
                </c:pt>
                <c:pt idx="124">
                  <c:v>4.9352188627597346</c:v>
                </c:pt>
                <c:pt idx="125">
                  <c:v>4.8739609906784294</c:v>
                </c:pt>
                <c:pt idx="126">
                  <c:v>4.5607966774342428</c:v>
                </c:pt>
                <c:pt idx="127">
                  <c:v>4.8719965556213225</c:v>
                </c:pt>
                <c:pt idx="128">
                  <c:v>5.0045431705618117</c:v>
                </c:pt>
                <c:pt idx="129">
                  <c:v>4.6580435901155077</c:v>
                </c:pt>
                <c:pt idx="130">
                  <c:v>4.5239157686302747</c:v>
                </c:pt>
                <c:pt idx="131">
                  <c:v>4.2087945881513358</c:v>
                </c:pt>
                <c:pt idx="132">
                  <c:v>3.8917269000841048</c:v>
                </c:pt>
                <c:pt idx="133">
                  <c:v>3.9890243717717704</c:v>
                </c:pt>
                <c:pt idx="134">
                  <c:v>3.9499307543024047</c:v>
                </c:pt>
                <c:pt idx="135">
                  <c:v>4.0592034671257489</c:v>
                </c:pt>
                <c:pt idx="136">
                  <c:v>4.3839885442395508</c:v>
                </c:pt>
                <c:pt idx="137">
                  <c:v>4.4431349885217726</c:v>
                </c:pt>
                <c:pt idx="138">
                  <c:v>4.4323088028570456</c:v>
                </c:pt>
                <c:pt idx="139">
                  <c:v>4.1312712555516722</c:v>
                </c:pt>
                <c:pt idx="140">
                  <c:v>4.0008340965341755</c:v>
                </c:pt>
                <c:pt idx="141">
                  <c:v>3.8935918758730175</c:v>
                </c:pt>
                <c:pt idx="142">
                  <c:v>3.8420065175997649</c:v>
                </c:pt>
                <c:pt idx="143">
                  <c:v>3.7200000000000135</c:v>
                </c:pt>
                <c:pt idx="144">
                  <c:v>3.2877231097336064</c:v>
                </c:pt>
                <c:pt idx="145">
                  <c:v>3.0365358054868268</c:v>
                </c:pt>
                <c:pt idx="146">
                  <c:v>2.9861696326773419</c:v>
                </c:pt>
                <c:pt idx="147">
                  <c:v>3.0078241061701556</c:v>
                </c:pt>
                <c:pt idx="148">
                  <c:v>3.0067474253245492</c:v>
                </c:pt>
                <c:pt idx="149">
                  <c:v>3.032243446393919</c:v>
                </c:pt>
                <c:pt idx="150">
                  <c:v>3.1008890455488989</c:v>
                </c:pt>
                <c:pt idx="151">
                  <c:v>2.8495310959960203</c:v>
                </c:pt>
                <c:pt idx="152">
                  <c:v>2.6336985317664396</c:v>
                </c:pt>
                <c:pt idx="153">
                  <c:v>3.0225648594065553</c:v>
                </c:pt>
                <c:pt idx="154">
                  <c:v>3.1841326802773886</c:v>
                </c:pt>
                <c:pt idx="155">
                  <c:v>3.2915664520133503</c:v>
                </c:pt>
                <c:pt idx="156">
                  <c:v>3.5210515586016711</c:v>
                </c:pt>
                <c:pt idx="157">
                  <c:v>3.8691226369364999</c:v>
                </c:pt>
                <c:pt idx="158">
                  <c:v>3.7122274331576643</c:v>
                </c:pt>
                <c:pt idx="159">
                  <c:v>2.7864434936302875</c:v>
                </c:pt>
                <c:pt idx="160">
                  <c:v>2.0811393126636419</c:v>
                </c:pt>
                <c:pt idx="161">
                  <c:v>2.2131669917537335</c:v>
                </c:pt>
                <c:pt idx="162">
                  <c:v>2.8251815980629558</c:v>
                </c:pt>
                <c:pt idx="163">
                  <c:v>2.850333281661765</c:v>
                </c:pt>
                <c:pt idx="164">
                  <c:v>3.167837248728516</c:v>
                </c:pt>
                <c:pt idx="165">
                  <c:v>3.4999467946175451</c:v>
                </c:pt>
                <c:pt idx="166">
                  <c:v>3.5859687035714969</c:v>
                </c:pt>
                <c:pt idx="167">
                  <c:v>3.6608175858079419</c:v>
                </c:pt>
                <c:pt idx="168">
                  <c:v>3.9896952972733115</c:v>
                </c:pt>
                <c:pt idx="169">
                  <c:v>4.1071583555937012</c:v>
                </c:pt>
                <c:pt idx="170">
                  <c:v>4.0961906870625935</c:v>
                </c:pt>
                <c:pt idx="171">
                  <c:v>3.9324276250636871</c:v>
                </c:pt>
                <c:pt idx="172">
                  <c:v>4.0854242482283132</c:v>
                </c:pt>
                <c:pt idx="173">
                  <c:v>4.0875060954038176</c:v>
                </c:pt>
                <c:pt idx="174">
                  <c:v>3.4292823293668411</c:v>
                </c:pt>
                <c:pt idx="175">
                  <c:v>3.2336113404116031</c:v>
                </c:pt>
                <c:pt idx="176">
                  <c:v>3.2194623828749194</c:v>
                </c:pt>
                <c:pt idx="177">
                  <c:v>3.0809104189246419</c:v>
                </c:pt>
                <c:pt idx="178">
                  <c:v>3.3349625897657642</c:v>
                </c:pt>
                <c:pt idx="179">
                  <c:v>3.7350008450228103</c:v>
                </c:pt>
                <c:pt idx="180">
                  <c:v>3.8448553959263365</c:v>
                </c:pt>
                <c:pt idx="181">
                  <c:v>3.6755303758598368</c:v>
                </c:pt>
                <c:pt idx="182">
                  <c:v>4.115464225110486</c:v>
                </c:pt>
                <c:pt idx="183">
                  <c:v>5.2235440040593089</c:v>
                </c:pt>
                <c:pt idx="184">
                  <c:v>6.0546117079172834</c:v>
                </c:pt>
                <c:pt idx="185">
                  <c:v>6.1159710544712569</c:v>
                </c:pt>
                <c:pt idx="186">
                  <c:v>5.7965281113717033</c:v>
                </c:pt>
                <c:pt idx="187">
                  <c:v>5.9901279225305624</c:v>
                </c:pt>
                <c:pt idx="188">
                  <c:v>6.0171839053476699</c:v>
                </c:pt>
                <c:pt idx="189">
                  <c:v>5.7397351179071183</c:v>
                </c:pt>
                <c:pt idx="190">
                  <c:v>5.7520187015115836</c:v>
                </c:pt>
                <c:pt idx="191">
                  <c:v>5.8604685770622345</c:v>
                </c:pt>
                <c:pt idx="192">
                  <c:v>5.5828237935737643</c:v>
                </c:pt>
                <c:pt idx="193">
                  <c:v>5.6013561080440155</c:v>
                </c:pt>
                <c:pt idx="194">
                  <c:v>5.8724521880664318</c:v>
                </c:pt>
                <c:pt idx="195">
                  <c:v>6.1269045394414325</c:v>
                </c:pt>
                <c:pt idx="196">
                  <c:v>6.1222236534604235</c:v>
                </c:pt>
                <c:pt idx="197">
                  <c:v>6.3557531553710316</c:v>
                </c:pt>
                <c:pt idx="198">
                  <c:v>7.0461849233311975</c:v>
                </c:pt>
                <c:pt idx="199">
                  <c:v>7.7048924182682095</c:v>
                </c:pt>
                <c:pt idx="200">
                  <c:v>7.4499853436904546</c:v>
                </c:pt>
                <c:pt idx="201">
                  <c:v>7.2594949439537722</c:v>
                </c:pt>
                <c:pt idx="202">
                  <c:v>7.1259641973511751</c:v>
                </c:pt>
                <c:pt idx="203">
                  <c:v>7.0145903479236811</c:v>
                </c:pt>
                <c:pt idx="204">
                  <c:v>7.2216803930067908</c:v>
                </c:pt>
                <c:pt idx="205">
                  <c:v>7.337120427803641</c:v>
                </c:pt>
                <c:pt idx="206">
                  <c:v>7.2867786653293685</c:v>
                </c:pt>
                <c:pt idx="207">
                  <c:v>7.6191496771773881</c:v>
                </c:pt>
                <c:pt idx="208">
                  <c:v>7.7205226145004069</c:v>
                </c:pt>
                <c:pt idx="209">
                  <c:v>7.645466847090657</c:v>
                </c:pt>
                <c:pt idx="210">
                  <c:v>7.5827316352240421</c:v>
                </c:pt>
                <c:pt idx="211">
                  <c:v>7.7223886168312408</c:v>
                </c:pt>
                <c:pt idx="212">
                  <c:v>7.8837586246601035</c:v>
                </c:pt>
                <c:pt idx="213">
                  <c:v>8.0905490930947845</c:v>
                </c:pt>
                <c:pt idx="214">
                  <c:v>8.1569746448607194</c:v>
                </c:pt>
                <c:pt idx="215">
                  <c:v>8.1445817006097414</c:v>
                </c:pt>
                <c:pt idx="216">
                  <c:v>8.6199623881751215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80-4646-A039-7E37A4308BF3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32444850120436E-4"/>
                  <c:y val="9.7732359391959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80-4646-A039-7E37A4308B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2018'!$A$187:$B$403</c:f>
              <c:multiLvlStrCache>
                <c:ptCount val="217"/>
                <c:lvl>
                  <c:pt idx="0">
                    <c:v>1qAgo</c:v>
                  </c:pt>
                  <c:pt idx="1">
                    <c:v>2qAgo</c:v>
                  </c:pt>
                  <c:pt idx="2">
                    <c:v>1qSep</c:v>
                  </c:pt>
                  <c:pt idx="3">
                    <c:v>2qSep</c:v>
                  </c:pt>
                  <c:pt idx="4">
                    <c:v>1qOct</c:v>
                  </c:pt>
                  <c:pt idx="5">
                    <c:v>2qOct</c:v>
                  </c:pt>
                  <c:pt idx="6">
                    <c:v>1qNov</c:v>
                  </c:pt>
                  <c:pt idx="7">
                    <c:v>2qNov</c:v>
                  </c:pt>
                  <c:pt idx="8">
                    <c:v>1qDic</c:v>
                  </c:pt>
                  <c:pt idx="9">
                    <c:v>2qDic</c:v>
                  </c:pt>
                  <c:pt idx="10">
                    <c:v>1qEne</c:v>
                  </c:pt>
                  <c:pt idx="11">
                    <c:v>2qEne</c:v>
                  </c:pt>
                  <c:pt idx="12">
                    <c:v>1qFeb</c:v>
                  </c:pt>
                  <c:pt idx="13">
                    <c:v>2qFeb</c:v>
                  </c:pt>
                  <c:pt idx="14">
                    <c:v>1qMar</c:v>
                  </c:pt>
                  <c:pt idx="15">
                    <c:v>2qMar</c:v>
                  </c:pt>
                  <c:pt idx="16">
                    <c:v>1qAbr</c:v>
                  </c:pt>
                  <c:pt idx="17">
                    <c:v>2qAbr</c:v>
                  </c:pt>
                  <c:pt idx="18">
                    <c:v>1qMay</c:v>
                  </c:pt>
                  <c:pt idx="19">
                    <c:v>2qMay</c:v>
                  </c:pt>
                  <c:pt idx="20">
                    <c:v>1qJun</c:v>
                  </c:pt>
                  <c:pt idx="21">
                    <c:v>2qJun</c:v>
                  </c:pt>
                  <c:pt idx="22">
                    <c:v>1qJul</c:v>
                  </c:pt>
                  <c:pt idx="23">
                    <c:v>2qJul</c:v>
                  </c:pt>
                  <c:pt idx="24">
                    <c:v>1qAgo</c:v>
                  </c:pt>
                  <c:pt idx="25">
                    <c:v>2qAgo</c:v>
                  </c:pt>
                  <c:pt idx="26">
                    <c:v>1qSep</c:v>
                  </c:pt>
                  <c:pt idx="27">
                    <c:v>2qSep</c:v>
                  </c:pt>
                  <c:pt idx="28">
                    <c:v>1qOct</c:v>
                  </c:pt>
                  <c:pt idx="29">
                    <c:v>2qOct</c:v>
                  </c:pt>
                  <c:pt idx="30">
                    <c:v>1qNov</c:v>
                  </c:pt>
                  <c:pt idx="31">
                    <c:v>2qNov</c:v>
                  </c:pt>
                  <c:pt idx="32">
                    <c:v>1qDic</c:v>
                  </c:pt>
                  <c:pt idx="33">
                    <c:v>2qDic</c:v>
                  </c:pt>
                  <c:pt idx="34">
                    <c:v>1qEne</c:v>
                  </c:pt>
                  <c:pt idx="35">
                    <c:v>2qEne</c:v>
                  </c:pt>
                  <c:pt idx="36">
                    <c:v>1qFeb</c:v>
                  </c:pt>
                  <c:pt idx="37">
                    <c:v>2qFeb</c:v>
                  </c:pt>
                  <c:pt idx="38">
                    <c:v>1qMar</c:v>
                  </c:pt>
                  <c:pt idx="39">
                    <c:v>2qMar</c:v>
                  </c:pt>
                  <c:pt idx="40">
                    <c:v>1qAbr</c:v>
                  </c:pt>
                  <c:pt idx="41">
                    <c:v>2qAbr</c:v>
                  </c:pt>
                  <c:pt idx="42">
                    <c:v>1qMay</c:v>
                  </c:pt>
                  <c:pt idx="43">
                    <c:v>2qMay</c:v>
                  </c:pt>
                  <c:pt idx="44">
                    <c:v>1qJun</c:v>
                  </c:pt>
                  <c:pt idx="45">
                    <c:v>2qJun</c:v>
                  </c:pt>
                  <c:pt idx="46">
                    <c:v>1qJul</c:v>
                  </c:pt>
                  <c:pt idx="47">
                    <c:v>2qJul</c:v>
                  </c:pt>
                  <c:pt idx="48">
                    <c:v>1qAgo</c:v>
                  </c:pt>
                  <c:pt idx="49">
                    <c:v>2qAgo</c:v>
                  </c:pt>
                  <c:pt idx="50">
                    <c:v>1qSep</c:v>
                  </c:pt>
                  <c:pt idx="51">
                    <c:v>2qSep</c:v>
                  </c:pt>
                  <c:pt idx="52">
                    <c:v>1qOct</c:v>
                  </c:pt>
                  <c:pt idx="53">
                    <c:v>2qOct</c:v>
                  </c:pt>
                  <c:pt idx="54">
                    <c:v>1qNov</c:v>
                  </c:pt>
                  <c:pt idx="55">
                    <c:v>2qNov</c:v>
                  </c:pt>
                  <c:pt idx="56">
                    <c:v>1qDic</c:v>
                  </c:pt>
                  <c:pt idx="57">
                    <c:v>2qDic</c:v>
                  </c:pt>
                  <c:pt idx="58">
                    <c:v>1qEne</c:v>
                  </c:pt>
                  <c:pt idx="59">
                    <c:v>2qEne</c:v>
                  </c:pt>
                  <c:pt idx="60">
                    <c:v>1qFeb</c:v>
                  </c:pt>
                  <c:pt idx="61">
                    <c:v>2qFeb</c:v>
                  </c:pt>
                  <c:pt idx="62">
                    <c:v>1qMar</c:v>
                  </c:pt>
                  <c:pt idx="63">
                    <c:v>2qMar</c:v>
                  </c:pt>
                  <c:pt idx="64">
                    <c:v>1qAbr</c:v>
                  </c:pt>
                  <c:pt idx="65">
                    <c:v>2qAbr</c:v>
                  </c:pt>
                  <c:pt idx="66">
                    <c:v>1qMay</c:v>
                  </c:pt>
                  <c:pt idx="67">
                    <c:v>2qMay</c:v>
                  </c:pt>
                  <c:pt idx="68">
                    <c:v>1qJun</c:v>
                  </c:pt>
                  <c:pt idx="69">
                    <c:v>2qJun</c:v>
                  </c:pt>
                  <c:pt idx="70">
                    <c:v>1qJul</c:v>
                  </c:pt>
                  <c:pt idx="71">
                    <c:v>2qJul</c:v>
                  </c:pt>
                  <c:pt idx="72">
                    <c:v>1qAgo</c:v>
                  </c:pt>
                  <c:pt idx="73">
                    <c:v>2qAgo</c:v>
                  </c:pt>
                  <c:pt idx="74">
                    <c:v>1qSep</c:v>
                  </c:pt>
                  <c:pt idx="75">
                    <c:v>2qSep</c:v>
                  </c:pt>
                  <c:pt idx="76">
                    <c:v>1qOct</c:v>
                  </c:pt>
                  <c:pt idx="77">
                    <c:v>2qOct</c:v>
                  </c:pt>
                  <c:pt idx="78">
                    <c:v>1qNov</c:v>
                  </c:pt>
                  <c:pt idx="79">
                    <c:v>2qNov</c:v>
                  </c:pt>
                  <c:pt idx="80">
                    <c:v>1qDic</c:v>
                  </c:pt>
                  <c:pt idx="81">
                    <c:v>2qDic</c:v>
                  </c:pt>
                  <c:pt idx="82">
                    <c:v>1qEne</c:v>
                  </c:pt>
                  <c:pt idx="83">
                    <c:v>2qEne</c:v>
                  </c:pt>
                  <c:pt idx="84">
                    <c:v>1qFeb</c:v>
                  </c:pt>
                  <c:pt idx="85">
                    <c:v>2qFeb</c:v>
                  </c:pt>
                  <c:pt idx="86">
                    <c:v>1qMar</c:v>
                  </c:pt>
                  <c:pt idx="87">
                    <c:v>2qMar</c:v>
                  </c:pt>
                  <c:pt idx="88">
                    <c:v>1qAbr</c:v>
                  </c:pt>
                  <c:pt idx="89">
                    <c:v>2qAbr</c:v>
                  </c:pt>
                  <c:pt idx="90">
                    <c:v>1qMay</c:v>
                  </c:pt>
                  <c:pt idx="91">
                    <c:v>2qMay</c:v>
                  </c:pt>
                  <c:pt idx="92">
                    <c:v>1qJun</c:v>
                  </c:pt>
                  <c:pt idx="93">
                    <c:v>2qJun</c:v>
                  </c:pt>
                  <c:pt idx="94">
                    <c:v>1qJul</c:v>
                  </c:pt>
                  <c:pt idx="95">
                    <c:v>2qJul</c:v>
                  </c:pt>
                  <c:pt idx="96">
                    <c:v>1qAgo</c:v>
                  </c:pt>
                  <c:pt idx="97">
                    <c:v>2qAgo</c:v>
                  </c:pt>
                  <c:pt idx="98">
                    <c:v>1qSep</c:v>
                  </c:pt>
                  <c:pt idx="99">
                    <c:v>2qSep</c:v>
                  </c:pt>
                  <c:pt idx="100">
                    <c:v>1qOct</c:v>
                  </c:pt>
                  <c:pt idx="101">
                    <c:v>2qOct</c:v>
                  </c:pt>
                  <c:pt idx="102">
                    <c:v>1qNov</c:v>
                  </c:pt>
                  <c:pt idx="103">
                    <c:v>2qNov</c:v>
                  </c:pt>
                  <c:pt idx="104">
                    <c:v>1qDic</c:v>
                  </c:pt>
                  <c:pt idx="105">
                    <c:v>2qDic</c:v>
                  </c:pt>
                  <c:pt idx="106">
                    <c:v>1qEne</c:v>
                  </c:pt>
                  <c:pt idx="107">
                    <c:v>2qEne</c:v>
                  </c:pt>
                  <c:pt idx="108">
                    <c:v>1qFeb</c:v>
                  </c:pt>
                  <c:pt idx="109">
                    <c:v>2qFeb</c:v>
                  </c:pt>
                  <c:pt idx="110">
                    <c:v>1qMar</c:v>
                  </c:pt>
                  <c:pt idx="111">
                    <c:v>2qMar</c:v>
                  </c:pt>
                  <c:pt idx="112">
                    <c:v>1qAbr</c:v>
                  </c:pt>
                  <c:pt idx="113">
                    <c:v>2qAbr</c:v>
                  </c:pt>
                  <c:pt idx="114">
                    <c:v>1qMay</c:v>
                  </c:pt>
                  <c:pt idx="115">
                    <c:v>2qMay</c:v>
                  </c:pt>
                  <c:pt idx="116">
                    <c:v>1qJun</c:v>
                  </c:pt>
                  <c:pt idx="117">
                    <c:v>2qJun</c:v>
                  </c:pt>
                  <c:pt idx="118">
                    <c:v>1qJul</c:v>
                  </c:pt>
                  <c:pt idx="119">
                    <c:v>2qJul</c:v>
                  </c:pt>
                  <c:pt idx="120">
                    <c:v>1qAgo</c:v>
                  </c:pt>
                  <c:pt idx="121">
                    <c:v>2qAgo</c:v>
                  </c:pt>
                  <c:pt idx="122">
                    <c:v>1qSep</c:v>
                  </c:pt>
                  <c:pt idx="123">
                    <c:v>2qSep</c:v>
                  </c:pt>
                  <c:pt idx="124">
                    <c:v>1qOct</c:v>
                  </c:pt>
                  <c:pt idx="125">
                    <c:v>2qOct</c:v>
                  </c:pt>
                  <c:pt idx="126">
                    <c:v>1qNov</c:v>
                  </c:pt>
                  <c:pt idx="127">
                    <c:v>2qNov</c:v>
                  </c:pt>
                  <c:pt idx="128">
                    <c:v>1qDic</c:v>
                  </c:pt>
                  <c:pt idx="129">
                    <c:v>2qDic</c:v>
                  </c:pt>
                  <c:pt idx="130">
                    <c:v>1qEne</c:v>
                  </c:pt>
                  <c:pt idx="131">
                    <c:v>2qEne</c:v>
                  </c:pt>
                  <c:pt idx="132">
                    <c:v>1qFeb</c:v>
                  </c:pt>
                  <c:pt idx="133">
                    <c:v>2qFeb</c:v>
                  </c:pt>
                  <c:pt idx="134">
                    <c:v>1qMar</c:v>
                  </c:pt>
                  <c:pt idx="135">
                    <c:v>2qMar</c:v>
                  </c:pt>
                  <c:pt idx="136">
                    <c:v>1qAbr</c:v>
                  </c:pt>
                  <c:pt idx="137">
                    <c:v>2qAbr</c:v>
                  </c:pt>
                  <c:pt idx="138">
                    <c:v>1qMay</c:v>
                  </c:pt>
                  <c:pt idx="139">
                    <c:v>2qMay</c:v>
                  </c:pt>
                  <c:pt idx="140">
                    <c:v>1qJun</c:v>
                  </c:pt>
                  <c:pt idx="141">
                    <c:v>2qJun</c:v>
                  </c:pt>
                  <c:pt idx="142">
                    <c:v>1qJul</c:v>
                  </c:pt>
                  <c:pt idx="143">
                    <c:v>2qJul</c:v>
                  </c:pt>
                  <c:pt idx="144">
                    <c:v>1qAgo</c:v>
                  </c:pt>
                  <c:pt idx="145">
                    <c:v>2qAgo</c:v>
                  </c:pt>
                  <c:pt idx="146">
                    <c:v>1qSep</c:v>
                  </c:pt>
                  <c:pt idx="147">
                    <c:v>2qSep</c:v>
                  </c:pt>
                  <c:pt idx="148">
                    <c:v>1qOct</c:v>
                  </c:pt>
                  <c:pt idx="149">
                    <c:v>2qOct</c:v>
                  </c:pt>
                  <c:pt idx="150">
                    <c:v>1qNov</c:v>
                  </c:pt>
                  <c:pt idx="151">
                    <c:v>2qNov</c:v>
                  </c:pt>
                  <c:pt idx="152">
                    <c:v>1qDic</c:v>
                  </c:pt>
                  <c:pt idx="153">
                    <c:v>2qDic</c:v>
                  </c:pt>
                  <c:pt idx="154">
                    <c:v>1qEne</c:v>
                  </c:pt>
                  <c:pt idx="155">
                    <c:v>2qEne</c:v>
                  </c:pt>
                  <c:pt idx="156">
                    <c:v>1qFeb</c:v>
                  </c:pt>
                  <c:pt idx="157">
                    <c:v>2qFeb</c:v>
                  </c:pt>
                  <c:pt idx="158">
                    <c:v>1qMar</c:v>
                  </c:pt>
                  <c:pt idx="159">
                    <c:v>2qMar</c:v>
                  </c:pt>
                  <c:pt idx="160">
                    <c:v>1qAbr</c:v>
                  </c:pt>
                  <c:pt idx="161">
                    <c:v>2qAbr</c:v>
                  </c:pt>
                  <c:pt idx="162">
                    <c:v>1qMay</c:v>
                  </c:pt>
                  <c:pt idx="163">
                    <c:v>2qMay</c:v>
                  </c:pt>
                  <c:pt idx="164">
                    <c:v>1qJun</c:v>
                  </c:pt>
                  <c:pt idx="165">
                    <c:v>2qJun</c:v>
                  </c:pt>
                  <c:pt idx="166">
                    <c:v>1qJul</c:v>
                  </c:pt>
                  <c:pt idx="167">
                    <c:v>2qJul</c:v>
                  </c:pt>
                  <c:pt idx="168">
                    <c:v>1qAgo</c:v>
                  </c:pt>
                  <c:pt idx="169">
                    <c:v>2qAgo</c:v>
                  </c:pt>
                  <c:pt idx="170">
                    <c:v>1qSep</c:v>
                  </c:pt>
                  <c:pt idx="171">
                    <c:v>2qSep</c:v>
                  </c:pt>
                  <c:pt idx="172">
                    <c:v>1qOct</c:v>
                  </c:pt>
                  <c:pt idx="173">
                    <c:v>2qOct</c:v>
                  </c:pt>
                  <c:pt idx="174">
                    <c:v>1qNov</c:v>
                  </c:pt>
                  <c:pt idx="175">
                    <c:v>2qNov</c:v>
                  </c:pt>
                  <c:pt idx="176">
                    <c:v>1qDic</c:v>
                  </c:pt>
                  <c:pt idx="177">
                    <c:v>2qDic</c:v>
                  </c:pt>
                  <c:pt idx="178">
                    <c:v>1qEne</c:v>
                  </c:pt>
                  <c:pt idx="179">
                    <c:v>2qEne</c:v>
                  </c:pt>
                  <c:pt idx="180">
                    <c:v>1qFeb</c:v>
                  </c:pt>
                  <c:pt idx="181">
                    <c:v>2qFeb</c:v>
                  </c:pt>
                  <c:pt idx="182">
                    <c:v>1qMar</c:v>
                  </c:pt>
                  <c:pt idx="183">
                    <c:v>2qMar</c:v>
                  </c:pt>
                  <c:pt idx="184">
                    <c:v>1qAbr</c:v>
                  </c:pt>
                  <c:pt idx="185">
                    <c:v>2qAbr</c:v>
                  </c:pt>
                  <c:pt idx="186">
                    <c:v>1qMay</c:v>
                  </c:pt>
                  <c:pt idx="187">
                    <c:v>2qMay</c:v>
                  </c:pt>
                  <c:pt idx="188">
                    <c:v>1qJun</c:v>
                  </c:pt>
                  <c:pt idx="189">
                    <c:v>2qJun</c:v>
                  </c:pt>
                  <c:pt idx="190">
                    <c:v>1qJul</c:v>
                  </c:pt>
                  <c:pt idx="191">
                    <c:v>2qJul</c:v>
                  </c:pt>
                  <c:pt idx="192">
                    <c:v>1qAgo</c:v>
                  </c:pt>
                  <c:pt idx="193">
                    <c:v>2qAgo</c:v>
                  </c:pt>
                  <c:pt idx="194">
                    <c:v>1qSep</c:v>
                  </c:pt>
                  <c:pt idx="195">
                    <c:v>2qSep</c:v>
                  </c:pt>
                  <c:pt idx="196">
                    <c:v>1qOct</c:v>
                  </c:pt>
                  <c:pt idx="197">
                    <c:v>2qOct</c:v>
                  </c:pt>
                  <c:pt idx="198">
                    <c:v>1qNov</c:v>
                  </c:pt>
                  <c:pt idx="199">
                    <c:v>2qNov</c:v>
                  </c:pt>
                  <c:pt idx="200">
                    <c:v>1qDic</c:v>
                  </c:pt>
                  <c:pt idx="201">
                    <c:v>2qDic</c:v>
                  </c:pt>
                  <c:pt idx="202">
                    <c:v>1qEne</c:v>
                  </c:pt>
                  <c:pt idx="203">
                    <c:v>2qEne</c:v>
                  </c:pt>
                  <c:pt idx="204">
                    <c:v>1qFeb</c:v>
                  </c:pt>
                  <c:pt idx="205">
                    <c:v>2qFeb</c:v>
                  </c:pt>
                  <c:pt idx="206">
                    <c:v>1qMar</c:v>
                  </c:pt>
                  <c:pt idx="207">
                    <c:v>2qMar</c:v>
                  </c:pt>
                  <c:pt idx="208">
                    <c:v>1qAbr</c:v>
                  </c:pt>
                  <c:pt idx="209">
                    <c:v>2qAbr</c:v>
                  </c:pt>
                  <c:pt idx="210">
                    <c:v>1qMay</c:v>
                  </c:pt>
                  <c:pt idx="211">
                    <c:v>2qMay</c:v>
                  </c:pt>
                  <c:pt idx="212">
                    <c:v>1qJun</c:v>
                  </c:pt>
                  <c:pt idx="213">
                    <c:v>2qJun</c:v>
                  </c:pt>
                  <c:pt idx="214">
                    <c:v>1qJul</c:v>
                  </c:pt>
                  <c:pt idx="215">
                    <c:v>2qJul</c:v>
                  </c:pt>
                  <c:pt idx="216">
                    <c:v>1qAgo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2013</c:v>
                  </c:pt>
                  <c:pt idx="9">
                    <c:v>2013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2014</c:v>
                  </c:pt>
                  <c:pt idx="33">
                    <c:v>2014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2015</c:v>
                  </c:pt>
                  <c:pt idx="57">
                    <c:v>2015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2016</c:v>
                  </c:pt>
                  <c:pt idx="81">
                    <c:v>2016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2017</c:v>
                  </c:pt>
                  <c:pt idx="105">
                    <c:v>2017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2018</c:v>
                  </c:pt>
                  <c:pt idx="129">
                    <c:v>2018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2019</c:v>
                  </c:pt>
                  <c:pt idx="153">
                    <c:v>2019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2020</c:v>
                  </c:pt>
                  <c:pt idx="177">
                    <c:v>2020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2021</c:v>
                  </c:pt>
                  <c:pt idx="201">
                    <c:v>2021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2018'!$G$187:$G$403</c:f>
              <c:numCache>
                <c:formatCode>0.00</c:formatCode>
                <c:ptCount val="217"/>
                <c:pt idx="0">
                  <c:v>2.3835805910849777</c:v>
                </c:pt>
                <c:pt idx="1">
                  <c:v>2.3480634242683229</c:v>
                </c:pt>
                <c:pt idx="2">
                  <c:v>2.535276339954553</c:v>
                </c:pt>
                <c:pt idx="3">
                  <c:v>2.4965785009156081</c:v>
                </c:pt>
                <c:pt idx="4">
                  <c:v>2.4640712164855678</c:v>
                </c:pt>
                <c:pt idx="5">
                  <c:v>2.4948139964390839</c:v>
                </c:pt>
                <c:pt idx="6">
                  <c:v>2.4265245867401597</c:v>
                </c:pt>
                <c:pt idx="7">
                  <c:v>2.7038703266946786</c:v>
                </c:pt>
                <c:pt idx="8">
                  <c:v>2.751128068649233</c:v>
                </c:pt>
                <c:pt idx="9">
                  <c:v>2.8026579468947426</c:v>
                </c:pt>
                <c:pt idx="10">
                  <c:v>3.3301766974286218</c:v>
                </c:pt>
                <c:pt idx="11">
                  <c:v>3.1002666825252425</c:v>
                </c:pt>
                <c:pt idx="12">
                  <c:v>2.9720512722063508</c:v>
                </c:pt>
                <c:pt idx="13">
                  <c:v>2.9911409949387719</c:v>
                </c:pt>
                <c:pt idx="14">
                  <c:v>2.8393403954390637</c:v>
                </c:pt>
                <c:pt idx="15">
                  <c:v>2.9470966063651716</c:v>
                </c:pt>
                <c:pt idx="16">
                  <c:v>3.1650623331299617</c:v>
                </c:pt>
                <c:pt idx="17">
                  <c:v>3.0552508730965879</c:v>
                </c:pt>
                <c:pt idx="18">
                  <c:v>2.965790301060844</c:v>
                </c:pt>
                <c:pt idx="19">
                  <c:v>3.0412359691456019</c:v>
                </c:pt>
                <c:pt idx="20">
                  <c:v>3.0875416706861825</c:v>
                </c:pt>
                <c:pt idx="21">
                  <c:v>3.0926368076054618</c:v>
                </c:pt>
                <c:pt idx="22">
                  <c:v>3.2008508707259615</c:v>
                </c:pt>
                <c:pt idx="23">
                  <c:v>3.296727917181848</c:v>
                </c:pt>
                <c:pt idx="24">
                  <c:v>3.3403363995215916</c:v>
                </c:pt>
                <c:pt idx="25">
                  <c:v>3.4088159517772554</c:v>
                </c:pt>
                <c:pt idx="26">
                  <c:v>3.3443317105628387</c:v>
                </c:pt>
                <c:pt idx="27">
                  <c:v>3.3410517831071793</c:v>
                </c:pt>
                <c:pt idx="28">
                  <c:v>3.320114326066006</c:v>
                </c:pt>
                <c:pt idx="29">
                  <c:v>3.3125587217442973</c:v>
                </c:pt>
                <c:pt idx="30">
                  <c:v>3.3269143797989815</c:v>
                </c:pt>
                <c:pt idx="31">
                  <c:v>3.3597016646049473</c:v>
                </c:pt>
                <c:pt idx="32">
                  <c:v>3.2613173618448141</c:v>
                </c:pt>
                <c:pt idx="33">
                  <c:v>3.2283311008381563</c:v>
                </c:pt>
                <c:pt idx="34">
                  <c:v>2.4257619293549975</c:v>
                </c:pt>
                <c:pt idx="35">
                  <c:v>2.2512483178846994</c:v>
                </c:pt>
                <c:pt idx="36">
                  <c:v>2.4154760560769155</c:v>
                </c:pt>
                <c:pt idx="37">
                  <c:v>2.3803601042870661</c:v>
                </c:pt>
                <c:pt idx="38">
                  <c:v>2.4210809690652884</c:v>
                </c:pt>
                <c:pt idx="39">
                  <c:v>2.4716727562373664</c:v>
                </c:pt>
                <c:pt idx="40">
                  <c:v>2.22959038644635</c:v>
                </c:pt>
                <c:pt idx="41">
                  <c:v>2.3867779230047406</c:v>
                </c:pt>
                <c:pt idx="42">
                  <c:v>2.3645039102051868</c:v>
                </c:pt>
                <c:pt idx="43">
                  <c:v>2.2967267698564018</c:v>
                </c:pt>
                <c:pt idx="44">
                  <c:v>2.3068088582791066</c:v>
                </c:pt>
                <c:pt idx="45">
                  <c:v>2.3470897521408207</c:v>
                </c:pt>
                <c:pt idx="46">
                  <c:v>2.3048831870518853</c:v>
                </c:pt>
                <c:pt idx="47">
                  <c:v>2.3176027185983523</c:v>
                </c:pt>
                <c:pt idx="48">
                  <c:v>2.2916919550657333</c:v>
                </c:pt>
                <c:pt idx="49">
                  <c:v>2.3072511966621598</c:v>
                </c:pt>
                <c:pt idx="50">
                  <c:v>2.3401806229756428</c:v>
                </c:pt>
                <c:pt idx="51">
                  <c:v>2.4176421285037821</c:v>
                </c:pt>
                <c:pt idx="52">
                  <c:v>2.4587510846686191</c:v>
                </c:pt>
                <c:pt idx="53">
                  <c:v>2.4726079923024322</c:v>
                </c:pt>
                <c:pt idx="54">
                  <c:v>2.3463360125931945</c:v>
                </c:pt>
                <c:pt idx="55">
                  <c:v>2.3268213688759705</c:v>
                </c:pt>
                <c:pt idx="56">
                  <c:v>2.390553712314857</c:v>
                </c:pt>
                <c:pt idx="57">
                  <c:v>2.4333480158938574</c:v>
                </c:pt>
                <c:pt idx="58">
                  <c:v>2.6075350521938248</c:v>
                </c:pt>
                <c:pt idx="59">
                  <c:v>2.6792848558866034</c:v>
                </c:pt>
                <c:pt idx="60">
                  <c:v>2.6247721940712854</c:v>
                </c:pt>
                <c:pt idx="61">
                  <c:v>2.6999719049183106</c:v>
                </c:pt>
                <c:pt idx="62">
                  <c:v>2.8570717271853301</c:v>
                </c:pt>
                <c:pt idx="63">
                  <c:v>2.6643976864392171</c:v>
                </c:pt>
                <c:pt idx="64">
                  <c:v>2.7889505267186077</c:v>
                </c:pt>
                <c:pt idx="65">
                  <c:v>2.8653494472590446</c:v>
                </c:pt>
                <c:pt idx="66">
                  <c:v>2.9155541341971842</c:v>
                </c:pt>
                <c:pt idx="67">
                  <c:v>2.9400204454453038</c:v>
                </c:pt>
                <c:pt idx="68">
                  <c:v>2.9780685524937418</c:v>
                </c:pt>
                <c:pt idx="69">
                  <c:v>2.970805194310711</c:v>
                </c:pt>
                <c:pt idx="70">
                  <c:v>2.9869000821721321</c:v>
                </c:pt>
                <c:pt idx="71">
                  <c:v>2.958184265532811</c:v>
                </c:pt>
                <c:pt idx="72">
                  <c:v>2.9678902064447099</c:v>
                </c:pt>
                <c:pt idx="73">
                  <c:v>2.9539547347381339</c:v>
                </c:pt>
                <c:pt idx="74">
                  <c:v>3.0468116923746806</c:v>
                </c:pt>
                <c:pt idx="75">
                  <c:v>3.0912825950724891</c:v>
                </c:pt>
                <c:pt idx="76">
                  <c:v>3.1012509952726064</c:v>
                </c:pt>
                <c:pt idx="77">
                  <c:v>3.0947616902772506</c:v>
                </c:pt>
                <c:pt idx="78">
                  <c:v>3.3319998055344984</c:v>
                </c:pt>
                <c:pt idx="79">
                  <c:v>3.2541169825970431</c:v>
                </c:pt>
                <c:pt idx="80">
                  <c:v>3.4556844443457231</c:v>
                </c:pt>
                <c:pt idx="81">
                  <c:v>3.4190637781387228</c:v>
                </c:pt>
                <c:pt idx="82">
                  <c:v>3.7171121119421828</c:v>
                </c:pt>
                <c:pt idx="83">
                  <c:v>3.9541963785562761</c:v>
                </c:pt>
                <c:pt idx="84">
                  <c:v>4.1997330552909586</c:v>
                </c:pt>
                <c:pt idx="85">
                  <c:v>4.311207443014049</c:v>
                </c:pt>
                <c:pt idx="86">
                  <c:v>4.3234288151573121</c:v>
                </c:pt>
                <c:pt idx="87">
                  <c:v>4.6332592126084799</c:v>
                </c:pt>
                <c:pt idx="88">
                  <c:v>4.755660342374016</c:v>
                </c:pt>
                <c:pt idx="89">
                  <c:v>4.6790514324428747</c:v>
                </c:pt>
                <c:pt idx="90">
                  <c:v>4.7509278569842373</c:v>
                </c:pt>
                <c:pt idx="91">
                  <c:v>4.8121947523125428</c:v>
                </c:pt>
                <c:pt idx="92">
                  <c:v>4.8209395856761645</c:v>
                </c:pt>
                <c:pt idx="93">
                  <c:v>4.8467381815305748</c:v>
                </c:pt>
                <c:pt idx="94">
                  <c:v>4.9207056044795072</c:v>
                </c:pt>
                <c:pt idx="95">
                  <c:v>4.9503227740202931</c:v>
                </c:pt>
                <c:pt idx="96">
                  <c:v>5.0213060833167322</c:v>
                </c:pt>
                <c:pt idx="97">
                  <c:v>4.9846248601918619</c:v>
                </c:pt>
                <c:pt idx="98">
                  <c:v>4.896399946121428</c:v>
                </c:pt>
                <c:pt idx="99">
                  <c:v>4.7040384762837748</c:v>
                </c:pt>
                <c:pt idx="100">
                  <c:v>4.7478938244134978</c:v>
                </c:pt>
                <c:pt idx="101">
                  <c:v>4.7956917969896518</c:v>
                </c:pt>
                <c:pt idx="102">
                  <c:v>4.8450991871710318</c:v>
                </c:pt>
                <c:pt idx="103">
                  <c:v>4.9491574797445885</c:v>
                </c:pt>
                <c:pt idx="104">
                  <c:v>4.9048497326154274</c:v>
                </c:pt>
                <c:pt idx="105">
                  <c:v>4.8327261818475638</c:v>
                </c:pt>
                <c:pt idx="106">
                  <c:v>4.626351793496065</c:v>
                </c:pt>
                <c:pt idx="107">
                  <c:v>4.4960621553256628</c:v>
                </c:pt>
                <c:pt idx="108">
                  <c:v>4.3243267051739158</c:v>
                </c:pt>
                <c:pt idx="109">
                  <c:v>4.225113200069833</c:v>
                </c:pt>
                <c:pt idx="110">
                  <c:v>4.1452320212772849</c:v>
                </c:pt>
                <c:pt idx="111">
                  <c:v>3.9008573614003428</c:v>
                </c:pt>
                <c:pt idx="112">
                  <c:v>3.7001331444606622</c:v>
                </c:pt>
                <c:pt idx="113">
                  <c:v>3.7189879850623115</c:v>
                </c:pt>
                <c:pt idx="114">
                  <c:v>3.6940324860046641</c:v>
                </c:pt>
                <c:pt idx="115">
                  <c:v>3.6872847615328928</c:v>
                </c:pt>
                <c:pt idx="116">
                  <c:v>3.5926706669103226</c:v>
                </c:pt>
                <c:pt idx="117">
                  <c:v>3.6378912164257176</c:v>
                </c:pt>
                <c:pt idx="118">
                  <c:v>3.6414532163026938</c:v>
                </c:pt>
                <c:pt idx="119">
                  <c:v>3.6283822763214917</c:v>
                </c:pt>
                <c:pt idx="120">
                  <c:v>3.60422766425244</c:v>
                </c:pt>
                <c:pt idx="121">
                  <c:v>3.6492836648371476</c:v>
                </c:pt>
                <c:pt idx="122">
                  <c:v>3.5583711462958476</c:v>
                </c:pt>
                <c:pt idx="123">
                  <c:v>3.7816822032604827</c:v>
                </c:pt>
                <c:pt idx="124">
                  <c:v>3.7416397848555354</c:v>
                </c:pt>
                <c:pt idx="125">
                  <c:v>3.7169746286009109</c:v>
                </c:pt>
                <c:pt idx="126">
                  <c:v>3.6257828133946166</c:v>
                </c:pt>
                <c:pt idx="127">
                  <c:v>3.6406529749812364</c:v>
                </c:pt>
                <c:pt idx="128">
                  <c:v>3.6377886379533457</c:v>
                </c:pt>
                <c:pt idx="129">
                  <c:v>3.7284330721464332</c:v>
                </c:pt>
                <c:pt idx="130">
                  <c:v>3.6380265636959224</c:v>
                </c:pt>
                <c:pt idx="131">
                  <c:v>3.5537579923622067</c:v>
                </c:pt>
                <c:pt idx="132">
                  <c:v>3.509918365929515</c:v>
                </c:pt>
                <c:pt idx="133">
                  <c:v>3.564393581591327</c:v>
                </c:pt>
                <c:pt idx="134">
                  <c:v>3.5059473833730292</c:v>
                </c:pt>
                <c:pt idx="135">
                  <c:v>3.598281490808529</c:v>
                </c:pt>
                <c:pt idx="136">
                  <c:v>3.9357101255393165</c:v>
                </c:pt>
                <c:pt idx="137">
                  <c:v>3.806631755056848</c:v>
                </c:pt>
                <c:pt idx="138">
                  <c:v>3.7691795637214343</c:v>
                </c:pt>
                <c:pt idx="139">
                  <c:v>3.7794944538024566</c:v>
                </c:pt>
                <c:pt idx="140">
                  <c:v>3.8676322662943812</c:v>
                </c:pt>
                <c:pt idx="141">
                  <c:v>3.8307340537165544</c:v>
                </c:pt>
                <c:pt idx="142">
                  <c:v>3.8083742254525612</c:v>
                </c:pt>
                <c:pt idx="143">
                  <c:v>3.8340000000000032</c:v>
                </c:pt>
                <c:pt idx="144">
                  <c:v>3.7689600905269542</c:v>
                </c:pt>
                <c:pt idx="145">
                  <c:v>3.7839724729466879</c:v>
                </c:pt>
                <c:pt idx="146">
                  <c:v>3.7817928425663299</c:v>
                </c:pt>
                <c:pt idx="147">
                  <c:v>3.7183882347095838</c:v>
                </c:pt>
                <c:pt idx="148">
                  <c:v>3.6764049402311283</c:v>
                </c:pt>
                <c:pt idx="149">
                  <c:v>3.6914813493479151</c:v>
                </c:pt>
                <c:pt idx="150">
                  <c:v>3.6567393003036597</c:v>
                </c:pt>
                <c:pt idx="151">
                  <c:v>3.6491658343140236</c:v>
                </c:pt>
                <c:pt idx="152">
                  <c:v>3.5895062336281049</c:v>
                </c:pt>
                <c:pt idx="153">
                  <c:v>3.5997205247050266</c:v>
                </c:pt>
                <c:pt idx="154">
                  <c:v>3.7255904505319482</c:v>
                </c:pt>
                <c:pt idx="155">
                  <c:v>3.7263910158244067</c:v>
                </c:pt>
                <c:pt idx="156">
                  <c:v>3.6855710480965023</c:v>
                </c:pt>
                <c:pt idx="157">
                  <c:v>3.6268569194683473</c:v>
                </c:pt>
                <c:pt idx="158">
                  <c:v>3.6028213808376321</c:v>
                </c:pt>
                <c:pt idx="159">
                  <c:v>3.6045163615817035</c:v>
                </c:pt>
                <c:pt idx="160">
                  <c:v>3.4020338456761374</c:v>
                </c:pt>
                <c:pt idx="161">
                  <c:v>3.6057109025438834</c:v>
                </c:pt>
                <c:pt idx="162">
                  <c:v>3.7614545454545505</c:v>
                </c:pt>
                <c:pt idx="163">
                  <c:v>3.5250013876223387</c:v>
                </c:pt>
                <c:pt idx="164">
                  <c:v>3.659738605186095</c:v>
                </c:pt>
                <c:pt idx="165">
                  <c:v>3.7594346533181571</c:v>
                </c:pt>
                <c:pt idx="166">
                  <c:v>3.8425489491590819</c:v>
                </c:pt>
                <c:pt idx="167">
                  <c:v>3.858184029893867</c:v>
                </c:pt>
                <c:pt idx="168">
                  <c:v>3.9284069886773598</c:v>
                </c:pt>
                <c:pt idx="169">
                  <c:v>4.0085810875560952</c:v>
                </c:pt>
                <c:pt idx="170">
                  <c:v>3.985434789552432</c:v>
                </c:pt>
                <c:pt idx="171">
                  <c:v>3.9869639891930237</c:v>
                </c:pt>
                <c:pt idx="172">
                  <c:v>4.0038638007482525</c:v>
                </c:pt>
                <c:pt idx="173">
                  <c:v>3.9551742982615523</c:v>
                </c:pt>
                <c:pt idx="174">
                  <c:v>3.6806887946334848</c:v>
                </c:pt>
                <c:pt idx="175">
                  <c:v>3.6441282754343662</c:v>
                </c:pt>
                <c:pt idx="176">
                  <c:v>3.8063059449952892</c:v>
                </c:pt>
                <c:pt idx="177">
                  <c:v>3.8009539755122201</c:v>
                </c:pt>
                <c:pt idx="178">
                  <c:v>3.8343803459062813</c:v>
                </c:pt>
                <c:pt idx="179">
                  <c:v>3.8403499970661676</c:v>
                </c:pt>
                <c:pt idx="180">
                  <c:v>3.8433110627809506</c:v>
                </c:pt>
                <c:pt idx="181">
                  <c:v>3.8941881578029052</c:v>
                </c:pt>
                <c:pt idx="182">
                  <c:v>4.0915417712531523</c:v>
                </c:pt>
                <c:pt idx="183">
                  <c:v>4.1541554811046559</c:v>
                </c:pt>
                <c:pt idx="184">
                  <c:v>4.1336789805934631</c:v>
                </c:pt>
                <c:pt idx="185">
                  <c:v>4.1303004832031229</c:v>
                </c:pt>
                <c:pt idx="186">
                  <c:v>4.2210262645321626</c:v>
                </c:pt>
                <c:pt idx="187">
                  <c:v>4.514189759892246</c:v>
                </c:pt>
                <c:pt idx="188">
                  <c:v>4.5762652187977055</c:v>
                </c:pt>
                <c:pt idx="189">
                  <c:v>4.5804625467541191</c:v>
                </c:pt>
                <c:pt idx="190">
                  <c:v>4.6418025650333057</c:v>
                </c:pt>
                <c:pt idx="191">
                  <c:v>4.6799779264850656</c:v>
                </c:pt>
                <c:pt idx="192">
                  <c:v>4.7840050996555545</c:v>
                </c:pt>
                <c:pt idx="193">
                  <c:v>4.7682683239604051</c:v>
                </c:pt>
                <c:pt idx="194">
                  <c:v>4.9175124157183596</c:v>
                </c:pt>
                <c:pt idx="195">
                  <c:v>4.9305342421115048</c:v>
                </c:pt>
                <c:pt idx="196">
                  <c:v>5.1239683570276924</c:v>
                </c:pt>
                <c:pt idx="197">
                  <c:v>5.2583505912886368</c:v>
                </c:pt>
                <c:pt idx="198">
                  <c:v>5.5328294224899803</c:v>
                </c:pt>
                <c:pt idx="199">
                  <c:v>5.8020067320056583</c:v>
                </c:pt>
                <c:pt idx="200">
                  <c:v>5.8712533506471338</c:v>
                </c:pt>
                <c:pt idx="201">
                  <c:v>6.0006935160912214</c:v>
                </c:pt>
                <c:pt idx="202">
                  <c:v>6.1131302426428498</c:v>
                </c:pt>
                <c:pt idx="203">
                  <c:v>6.2996855062488377</c:v>
                </c:pt>
                <c:pt idx="204">
                  <c:v>6.5188490233412031</c:v>
                </c:pt>
                <c:pt idx="205">
                  <c:v>6.6657137301541676</c:v>
                </c:pt>
                <c:pt idx="206">
                  <c:v>6.6752994056542612</c:v>
                </c:pt>
                <c:pt idx="207">
                  <c:v>6.8839129683895326</c:v>
                </c:pt>
                <c:pt idx="208">
                  <c:v>7.1634575574922188</c:v>
                </c:pt>
                <c:pt idx="209">
                  <c:v>7.2673964222308109</c:v>
                </c:pt>
                <c:pt idx="210">
                  <c:v>7.2437990887817119</c:v>
                </c:pt>
                <c:pt idx="211">
                  <c:v>7.3198387106294103</c:v>
                </c:pt>
                <c:pt idx="212">
                  <c:v>7.4694197781819476</c:v>
                </c:pt>
                <c:pt idx="213">
                  <c:v>7.5187501668164254</c:v>
                </c:pt>
                <c:pt idx="214">
                  <c:v>7.5578971643472324</c:v>
                </c:pt>
                <c:pt idx="215">
                  <c:v>7.7457988962413733</c:v>
                </c:pt>
                <c:pt idx="216">
                  <c:v>7.9688700829483317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A80-4646-A039-7E37A4308BF3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384934905707869E-4"/>
                  <c:y val="-1.272170085685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80-4646-A039-7E37A4308B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2018'!$A$187:$B$403</c:f>
              <c:multiLvlStrCache>
                <c:ptCount val="217"/>
                <c:lvl>
                  <c:pt idx="0">
                    <c:v>1qAgo</c:v>
                  </c:pt>
                  <c:pt idx="1">
                    <c:v>2qAgo</c:v>
                  </c:pt>
                  <c:pt idx="2">
                    <c:v>1qSep</c:v>
                  </c:pt>
                  <c:pt idx="3">
                    <c:v>2qSep</c:v>
                  </c:pt>
                  <c:pt idx="4">
                    <c:v>1qOct</c:v>
                  </c:pt>
                  <c:pt idx="5">
                    <c:v>2qOct</c:v>
                  </c:pt>
                  <c:pt idx="6">
                    <c:v>1qNov</c:v>
                  </c:pt>
                  <c:pt idx="7">
                    <c:v>2qNov</c:v>
                  </c:pt>
                  <c:pt idx="8">
                    <c:v>1qDic</c:v>
                  </c:pt>
                  <c:pt idx="9">
                    <c:v>2qDic</c:v>
                  </c:pt>
                  <c:pt idx="10">
                    <c:v>1qEne</c:v>
                  </c:pt>
                  <c:pt idx="11">
                    <c:v>2qEne</c:v>
                  </c:pt>
                  <c:pt idx="12">
                    <c:v>1qFeb</c:v>
                  </c:pt>
                  <c:pt idx="13">
                    <c:v>2qFeb</c:v>
                  </c:pt>
                  <c:pt idx="14">
                    <c:v>1qMar</c:v>
                  </c:pt>
                  <c:pt idx="15">
                    <c:v>2qMar</c:v>
                  </c:pt>
                  <c:pt idx="16">
                    <c:v>1qAbr</c:v>
                  </c:pt>
                  <c:pt idx="17">
                    <c:v>2qAbr</c:v>
                  </c:pt>
                  <c:pt idx="18">
                    <c:v>1qMay</c:v>
                  </c:pt>
                  <c:pt idx="19">
                    <c:v>2qMay</c:v>
                  </c:pt>
                  <c:pt idx="20">
                    <c:v>1qJun</c:v>
                  </c:pt>
                  <c:pt idx="21">
                    <c:v>2qJun</c:v>
                  </c:pt>
                  <c:pt idx="22">
                    <c:v>1qJul</c:v>
                  </c:pt>
                  <c:pt idx="23">
                    <c:v>2qJul</c:v>
                  </c:pt>
                  <c:pt idx="24">
                    <c:v>1qAgo</c:v>
                  </c:pt>
                  <c:pt idx="25">
                    <c:v>2qAgo</c:v>
                  </c:pt>
                  <c:pt idx="26">
                    <c:v>1qSep</c:v>
                  </c:pt>
                  <c:pt idx="27">
                    <c:v>2qSep</c:v>
                  </c:pt>
                  <c:pt idx="28">
                    <c:v>1qOct</c:v>
                  </c:pt>
                  <c:pt idx="29">
                    <c:v>2qOct</c:v>
                  </c:pt>
                  <c:pt idx="30">
                    <c:v>1qNov</c:v>
                  </c:pt>
                  <c:pt idx="31">
                    <c:v>2qNov</c:v>
                  </c:pt>
                  <c:pt idx="32">
                    <c:v>1qDic</c:v>
                  </c:pt>
                  <c:pt idx="33">
                    <c:v>2qDic</c:v>
                  </c:pt>
                  <c:pt idx="34">
                    <c:v>1qEne</c:v>
                  </c:pt>
                  <c:pt idx="35">
                    <c:v>2qEne</c:v>
                  </c:pt>
                  <c:pt idx="36">
                    <c:v>1qFeb</c:v>
                  </c:pt>
                  <c:pt idx="37">
                    <c:v>2qFeb</c:v>
                  </c:pt>
                  <c:pt idx="38">
                    <c:v>1qMar</c:v>
                  </c:pt>
                  <c:pt idx="39">
                    <c:v>2qMar</c:v>
                  </c:pt>
                  <c:pt idx="40">
                    <c:v>1qAbr</c:v>
                  </c:pt>
                  <c:pt idx="41">
                    <c:v>2qAbr</c:v>
                  </c:pt>
                  <c:pt idx="42">
                    <c:v>1qMay</c:v>
                  </c:pt>
                  <c:pt idx="43">
                    <c:v>2qMay</c:v>
                  </c:pt>
                  <c:pt idx="44">
                    <c:v>1qJun</c:v>
                  </c:pt>
                  <c:pt idx="45">
                    <c:v>2qJun</c:v>
                  </c:pt>
                  <c:pt idx="46">
                    <c:v>1qJul</c:v>
                  </c:pt>
                  <c:pt idx="47">
                    <c:v>2qJul</c:v>
                  </c:pt>
                  <c:pt idx="48">
                    <c:v>1qAgo</c:v>
                  </c:pt>
                  <c:pt idx="49">
                    <c:v>2qAgo</c:v>
                  </c:pt>
                  <c:pt idx="50">
                    <c:v>1qSep</c:v>
                  </c:pt>
                  <c:pt idx="51">
                    <c:v>2qSep</c:v>
                  </c:pt>
                  <c:pt idx="52">
                    <c:v>1qOct</c:v>
                  </c:pt>
                  <c:pt idx="53">
                    <c:v>2qOct</c:v>
                  </c:pt>
                  <c:pt idx="54">
                    <c:v>1qNov</c:v>
                  </c:pt>
                  <c:pt idx="55">
                    <c:v>2qNov</c:v>
                  </c:pt>
                  <c:pt idx="56">
                    <c:v>1qDic</c:v>
                  </c:pt>
                  <c:pt idx="57">
                    <c:v>2qDic</c:v>
                  </c:pt>
                  <c:pt idx="58">
                    <c:v>1qEne</c:v>
                  </c:pt>
                  <c:pt idx="59">
                    <c:v>2qEne</c:v>
                  </c:pt>
                  <c:pt idx="60">
                    <c:v>1qFeb</c:v>
                  </c:pt>
                  <c:pt idx="61">
                    <c:v>2qFeb</c:v>
                  </c:pt>
                  <c:pt idx="62">
                    <c:v>1qMar</c:v>
                  </c:pt>
                  <c:pt idx="63">
                    <c:v>2qMar</c:v>
                  </c:pt>
                  <c:pt idx="64">
                    <c:v>1qAbr</c:v>
                  </c:pt>
                  <c:pt idx="65">
                    <c:v>2qAbr</c:v>
                  </c:pt>
                  <c:pt idx="66">
                    <c:v>1qMay</c:v>
                  </c:pt>
                  <c:pt idx="67">
                    <c:v>2qMay</c:v>
                  </c:pt>
                  <c:pt idx="68">
                    <c:v>1qJun</c:v>
                  </c:pt>
                  <c:pt idx="69">
                    <c:v>2qJun</c:v>
                  </c:pt>
                  <c:pt idx="70">
                    <c:v>1qJul</c:v>
                  </c:pt>
                  <c:pt idx="71">
                    <c:v>2qJul</c:v>
                  </c:pt>
                  <c:pt idx="72">
                    <c:v>1qAgo</c:v>
                  </c:pt>
                  <c:pt idx="73">
                    <c:v>2qAgo</c:v>
                  </c:pt>
                  <c:pt idx="74">
                    <c:v>1qSep</c:v>
                  </c:pt>
                  <c:pt idx="75">
                    <c:v>2qSep</c:v>
                  </c:pt>
                  <c:pt idx="76">
                    <c:v>1qOct</c:v>
                  </c:pt>
                  <c:pt idx="77">
                    <c:v>2qOct</c:v>
                  </c:pt>
                  <c:pt idx="78">
                    <c:v>1qNov</c:v>
                  </c:pt>
                  <c:pt idx="79">
                    <c:v>2qNov</c:v>
                  </c:pt>
                  <c:pt idx="80">
                    <c:v>1qDic</c:v>
                  </c:pt>
                  <c:pt idx="81">
                    <c:v>2qDic</c:v>
                  </c:pt>
                  <c:pt idx="82">
                    <c:v>1qEne</c:v>
                  </c:pt>
                  <c:pt idx="83">
                    <c:v>2qEne</c:v>
                  </c:pt>
                  <c:pt idx="84">
                    <c:v>1qFeb</c:v>
                  </c:pt>
                  <c:pt idx="85">
                    <c:v>2qFeb</c:v>
                  </c:pt>
                  <c:pt idx="86">
                    <c:v>1qMar</c:v>
                  </c:pt>
                  <c:pt idx="87">
                    <c:v>2qMar</c:v>
                  </c:pt>
                  <c:pt idx="88">
                    <c:v>1qAbr</c:v>
                  </c:pt>
                  <c:pt idx="89">
                    <c:v>2qAbr</c:v>
                  </c:pt>
                  <c:pt idx="90">
                    <c:v>1qMay</c:v>
                  </c:pt>
                  <c:pt idx="91">
                    <c:v>2qMay</c:v>
                  </c:pt>
                  <c:pt idx="92">
                    <c:v>1qJun</c:v>
                  </c:pt>
                  <c:pt idx="93">
                    <c:v>2qJun</c:v>
                  </c:pt>
                  <c:pt idx="94">
                    <c:v>1qJul</c:v>
                  </c:pt>
                  <c:pt idx="95">
                    <c:v>2qJul</c:v>
                  </c:pt>
                  <c:pt idx="96">
                    <c:v>1qAgo</c:v>
                  </c:pt>
                  <c:pt idx="97">
                    <c:v>2qAgo</c:v>
                  </c:pt>
                  <c:pt idx="98">
                    <c:v>1qSep</c:v>
                  </c:pt>
                  <c:pt idx="99">
                    <c:v>2qSep</c:v>
                  </c:pt>
                  <c:pt idx="100">
                    <c:v>1qOct</c:v>
                  </c:pt>
                  <c:pt idx="101">
                    <c:v>2qOct</c:v>
                  </c:pt>
                  <c:pt idx="102">
                    <c:v>1qNov</c:v>
                  </c:pt>
                  <c:pt idx="103">
                    <c:v>2qNov</c:v>
                  </c:pt>
                  <c:pt idx="104">
                    <c:v>1qDic</c:v>
                  </c:pt>
                  <c:pt idx="105">
                    <c:v>2qDic</c:v>
                  </c:pt>
                  <c:pt idx="106">
                    <c:v>1qEne</c:v>
                  </c:pt>
                  <c:pt idx="107">
                    <c:v>2qEne</c:v>
                  </c:pt>
                  <c:pt idx="108">
                    <c:v>1qFeb</c:v>
                  </c:pt>
                  <c:pt idx="109">
                    <c:v>2qFeb</c:v>
                  </c:pt>
                  <c:pt idx="110">
                    <c:v>1qMar</c:v>
                  </c:pt>
                  <c:pt idx="111">
                    <c:v>2qMar</c:v>
                  </c:pt>
                  <c:pt idx="112">
                    <c:v>1qAbr</c:v>
                  </c:pt>
                  <c:pt idx="113">
                    <c:v>2qAbr</c:v>
                  </c:pt>
                  <c:pt idx="114">
                    <c:v>1qMay</c:v>
                  </c:pt>
                  <c:pt idx="115">
                    <c:v>2qMay</c:v>
                  </c:pt>
                  <c:pt idx="116">
                    <c:v>1qJun</c:v>
                  </c:pt>
                  <c:pt idx="117">
                    <c:v>2qJun</c:v>
                  </c:pt>
                  <c:pt idx="118">
                    <c:v>1qJul</c:v>
                  </c:pt>
                  <c:pt idx="119">
                    <c:v>2qJul</c:v>
                  </c:pt>
                  <c:pt idx="120">
                    <c:v>1qAgo</c:v>
                  </c:pt>
                  <c:pt idx="121">
                    <c:v>2qAgo</c:v>
                  </c:pt>
                  <c:pt idx="122">
                    <c:v>1qSep</c:v>
                  </c:pt>
                  <c:pt idx="123">
                    <c:v>2qSep</c:v>
                  </c:pt>
                  <c:pt idx="124">
                    <c:v>1qOct</c:v>
                  </c:pt>
                  <c:pt idx="125">
                    <c:v>2qOct</c:v>
                  </c:pt>
                  <c:pt idx="126">
                    <c:v>1qNov</c:v>
                  </c:pt>
                  <c:pt idx="127">
                    <c:v>2qNov</c:v>
                  </c:pt>
                  <c:pt idx="128">
                    <c:v>1qDic</c:v>
                  </c:pt>
                  <c:pt idx="129">
                    <c:v>2qDic</c:v>
                  </c:pt>
                  <c:pt idx="130">
                    <c:v>1qEne</c:v>
                  </c:pt>
                  <c:pt idx="131">
                    <c:v>2qEne</c:v>
                  </c:pt>
                  <c:pt idx="132">
                    <c:v>1qFeb</c:v>
                  </c:pt>
                  <c:pt idx="133">
                    <c:v>2qFeb</c:v>
                  </c:pt>
                  <c:pt idx="134">
                    <c:v>1qMar</c:v>
                  </c:pt>
                  <c:pt idx="135">
                    <c:v>2qMar</c:v>
                  </c:pt>
                  <c:pt idx="136">
                    <c:v>1qAbr</c:v>
                  </c:pt>
                  <c:pt idx="137">
                    <c:v>2qAbr</c:v>
                  </c:pt>
                  <c:pt idx="138">
                    <c:v>1qMay</c:v>
                  </c:pt>
                  <c:pt idx="139">
                    <c:v>2qMay</c:v>
                  </c:pt>
                  <c:pt idx="140">
                    <c:v>1qJun</c:v>
                  </c:pt>
                  <c:pt idx="141">
                    <c:v>2qJun</c:v>
                  </c:pt>
                  <c:pt idx="142">
                    <c:v>1qJul</c:v>
                  </c:pt>
                  <c:pt idx="143">
                    <c:v>2qJul</c:v>
                  </c:pt>
                  <c:pt idx="144">
                    <c:v>1qAgo</c:v>
                  </c:pt>
                  <c:pt idx="145">
                    <c:v>2qAgo</c:v>
                  </c:pt>
                  <c:pt idx="146">
                    <c:v>1qSep</c:v>
                  </c:pt>
                  <c:pt idx="147">
                    <c:v>2qSep</c:v>
                  </c:pt>
                  <c:pt idx="148">
                    <c:v>1qOct</c:v>
                  </c:pt>
                  <c:pt idx="149">
                    <c:v>2qOct</c:v>
                  </c:pt>
                  <c:pt idx="150">
                    <c:v>1qNov</c:v>
                  </c:pt>
                  <c:pt idx="151">
                    <c:v>2qNov</c:v>
                  </c:pt>
                  <c:pt idx="152">
                    <c:v>1qDic</c:v>
                  </c:pt>
                  <c:pt idx="153">
                    <c:v>2qDic</c:v>
                  </c:pt>
                  <c:pt idx="154">
                    <c:v>1qEne</c:v>
                  </c:pt>
                  <c:pt idx="155">
                    <c:v>2qEne</c:v>
                  </c:pt>
                  <c:pt idx="156">
                    <c:v>1qFeb</c:v>
                  </c:pt>
                  <c:pt idx="157">
                    <c:v>2qFeb</c:v>
                  </c:pt>
                  <c:pt idx="158">
                    <c:v>1qMar</c:v>
                  </c:pt>
                  <c:pt idx="159">
                    <c:v>2qMar</c:v>
                  </c:pt>
                  <c:pt idx="160">
                    <c:v>1qAbr</c:v>
                  </c:pt>
                  <c:pt idx="161">
                    <c:v>2qAbr</c:v>
                  </c:pt>
                  <c:pt idx="162">
                    <c:v>1qMay</c:v>
                  </c:pt>
                  <c:pt idx="163">
                    <c:v>2qMay</c:v>
                  </c:pt>
                  <c:pt idx="164">
                    <c:v>1qJun</c:v>
                  </c:pt>
                  <c:pt idx="165">
                    <c:v>2qJun</c:v>
                  </c:pt>
                  <c:pt idx="166">
                    <c:v>1qJul</c:v>
                  </c:pt>
                  <c:pt idx="167">
                    <c:v>2qJul</c:v>
                  </c:pt>
                  <c:pt idx="168">
                    <c:v>1qAgo</c:v>
                  </c:pt>
                  <c:pt idx="169">
                    <c:v>2qAgo</c:v>
                  </c:pt>
                  <c:pt idx="170">
                    <c:v>1qSep</c:v>
                  </c:pt>
                  <c:pt idx="171">
                    <c:v>2qSep</c:v>
                  </c:pt>
                  <c:pt idx="172">
                    <c:v>1qOct</c:v>
                  </c:pt>
                  <c:pt idx="173">
                    <c:v>2qOct</c:v>
                  </c:pt>
                  <c:pt idx="174">
                    <c:v>1qNov</c:v>
                  </c:pt>
                  <c:pt idx="175">
                    <c:v>2qNov</c:v>
                  </c:pt>
                  <c:pt idx="176">
                    <c:v>1qDic</c:v>
                  </c:pt>
                  <c:pt idx="177">
                    <c:v>2qDic</c:v>
                  </c:pt>
                  <c:pt idx="178">
                    <c:v>1qEne</c:v>
                  </c:pt>
                  <c:pt idx="179">
                    <c:v>2qEne</c:v>
                  </c:pt>
                  <c:pt idx="180">
                    <c:v>1qFeb</c:v>
                  </c:pt>
                  <c:pt idx="181">
                    <c:v>2qFeb</c:v>
                  </c:pt>
                  <c:pt idx="182">
                    <c:v>1qMar</c:v>
                  </c:pt>
                  <c:pt idx="183">
                    <c:v>2qMar</c:v>
                  </c:pt>
                  <c:pt idx="184">
                    <c:v>1qAbr</c:v>
                  </c:pt>
                  <c:pt idx="185">
                    <c:v>2qAbr</c:v>
                  </c:pt>
                  <c:pt idx="186">
                    <c:v>1qMay</c:v>
                  </c:pt>
                  <c:pt idx="187">
                    <c:v>2qMay</c:v>
                  </c:pt>
                  <c:pt idx="188">
                    <c:v>1qJun</c:v>
                  </c:pt>
                  <c:pt idx="189">
                    <c:v>2qJun</c:v>
                  </c:pt>
                  <c:pt idx="190">
                    <c:v>1qJul</c:v>
                  </c:pt>
                  <c:pt idx="191">
                    <c:v>2qJul</c:v>
                  </c:pt>
                  <c:pt idx="192">
                    <c:v>1qAgo</c:v>
                  </c:pt>
                  <c:pt idx="193">
                    <c:v>2qAgo</c:v>
                  </c:pt>
                  <c:pt idx="194">
                    <c:v>1qSep</c:v>
                  </c:pt>
                  <c:pt idx="195">
                    <c:v>2qSep</c:v>
                  </c:pt>
                  <c:pt idx="196">
                    <c:v>1qOct</c:v>
                  </c:pt>
                  <c:pt idx="197">
                    <c:v>2qOct</c:v>
                  </c:pt>
                  <c:pt idx="198">
                    <c:v>1qNov</c:v>
                  </c:pt>
                  <c:pt idx="199">
                    <c:v>2qNov</c:v>
                  </c:pt>
                  <c:pt idx="200">
                    <c:v>1qDic</c:v>
                  </c:pt>
                  <c:pt idx="201">
                    <c:v>2qDic</c:v>
                  </c:pt>
                  <c:pt idx="202">
                    <c:v>1qEne</c:v>
                  </c:pt>
                  <c:pt idx="203">
                    <c:v>2qEne</c:v>
                  </c:pt>
                  <c:pt idx="204">
                    <c:v>1qFeb</c:v>
                  </c:pt>
                  <c:pt idx="205">
                    <c:v>2qFeb</c:v>
                  </c:pt>
                  <c:pt idx="206">
                    <c:v>1qMar</c:v>
                  </c:pt>
                  <c:pt idx="207">
                    <c:v>2qMar</c:v>
                  </c:pt>
                  <c:pt idx="208">
                    <c:v>1qAbr</c:v>
                  </c:pt>
                  <c:pt idx="209">
                    <c:v>2qAbr</c:v>
                  </c:pt>
                  <c:pt idx="210">
                    <c:v>1qMay</c:v>
                  </c:pt>
                  <c:pt idx="211">
                    <c:v>2qMay</c:v>
                  </c:pt>
                  <c:pt idx="212">
                    <c:v>1qJun</c:v>
                  </c:pt>
                  <c:pt idx="213">
                    <c:v>2qJun</c:v>
                  </c:pt>
                  <c:pt idx="214">
                    <c:v>1qJul</c:v>
                  </c:pt>
                  <c:pt idx="215">
                    <c:v>2qJul</c:v>
                  </c:pt>
                  <c:pt idx="216">
                    <c:v>1qAgo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2013</c:v>
                  </c:pt>
                  <c:pt idx="9">
                    <c:v>2013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2014</c:v>
                  </c:pt>
                  <c:pt idx="33">
                    <c:v>2014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2015</c:v>
                  </c:pt>
                  <c:pt idx="57">
                    <c:v>2015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2016</c:v>
                  </c:pt>
                  <c:pt idx="81">
                    <c:v>2016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2017</c:v>
                  </c:pt>
                  <c:pt idx="105">
                    <c:v>2017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2018</c:v>
                  </c:pt>
                  <c:pt idx="129">
                    <c:v>2018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2019</c:v>
                  </c:pt>
                  <c:pt idx="153">
                    <c:v>2019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2020</c:v>
                  </c:pt>
                  <c:pt idx="177">
                    <c:v>2020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2021</c:v>
                  </c:pt>
                  <c:pt idx="201">
                    <c:v>2021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2018'!$J$187:$J$403</c:f>
              <c:numCache>
                <c:formatCode>0.00</c:formatCode>
                <c:ptCount val="217"/>
                <c:pt idx="0">
                  <c:v>7.3449762834321159</c:v>
                </c:pt>
                <c:pt idx="1">
                  <c:v>6.6779523560491665</c:v>
                </c:pt>
                <c:pt idx="2">
                  <c:v>6.4359410807156525</c:v>
                </c:pt>
                <c:pt idx="3">
                  <c:v>5.9553218744046132</c:v>
                </c:pt>
                <c:pt idx="4">
                  <c:v>5.8530958727509432</c:v>
                </c:pt>
                <c:pt idx="5">
                  <c:v>6.5128075430433015</c:v>
                </c:pt>
                <c:pt idx="6">
                  <c:v>7.0118965034908376</c:v>
                </c:pt>
                <c:pt idx="7">
                  <c:v>7.0221263361673998</c:v>
                </c:pt>
                <c:pt idx="8">
                  <c:v>7.4370205211353877</c:v>
                </c:pt>
                <c:pt idx="9">
                  <c:v>8.2465287880433564</c:v>
                </c:pt>
                <c:pt idx="10">
                  <c:v>8.8367983932548242</c:v>
                </c:pt>
                <c:pt idx="11">
                  <c:v>8.3284321874428038</c:v>
                </c:pt>
                <c:pt idx="12">
                  <c:v>8.2233548225420758</c:v>
                </c:pt>
                <c:pt idx="13">
                  <c:v>8.3413815433276302</c:v>
                </c:pt>
                <c:pt idx="14">
                  <c:v>7.2884436711685847</c:v>
                </c:pt>
                <c:pt idx="15">
                  <c:v>5.7915782414892245</c:v>
                </c:pt>
                <c:pt idx="16">
                  <c:v>4.6968785523998315</c:v>
                </c:pt>
                <c:pt idx="17">
                  <c:v>4.798318686234242</c:v>
                </c:pt>
                <c:pt idx="18">
                  <c:v>5.020625205263511</c:v>
                </c:pt>
                <c:pt idx="19">
                  <c:v>5.3523730112123085</c:v>
                </c:pt>
                <c:pt idx="20">
                  <c:v>5.781514877854991</c:v>
                </c:pt>
                <c:pt idx="21">
                  <c:v>6.1425421142468783</c:v>
                </c:pt>
                <c:pt idx="22">
                  <c:v>6.6760329205397984</c:v>
                </c:pt>
                <c:pt idx="23">
                  <c:v>6.9782029697425152</c:v>
                </c:pt>
                <c:pt idx="24">
                  <c:v>6.4950635503201806</c:v>
                </c:pt>
                <c:pt idx="25">
                  <c:v>6.9409184628710738</c:v>
                </c:pt>
                <c:pt idx="26">
                  <c:v>7.0922003284502013</c:v>
                </c:pt>
                <c:pt idx="27">
                  <c:v>7.1317297538828734</c:v>
                </c:pt>
                <c:pt idx="28">
                  <c:v>7.5886496453235548</c:v>
                </c:pt>
                <c:pt idx="29">
                  <c:v>7.4237251066789662</c:v>
                </c:pt>
                <c:pt idx="30">
                  <c:v>6.7872551782769337</c:v>
                </c:pt>
                <c:pt idx="31">
                  <c:v>6.7653961950898802</c:v>
                </c:pt>
                <c:pt idx="32">
                  <c:v>7.1142206408702933</c:v>
                </c:pt>
                <c:pt idx="33">
                  <c:v>6.2883677473259407</c:v>
                </c:pt>
                <c:pt idx="34">
                  <c:v>5.1238236673489137</c:v>
                </c:pt>
                <c:pt idx="35">
                  <c:v>5.553502053315559</c:v>
                </c:pt>
                <c:pt idx="36">
                  <c:v>4.9759722534293189</c:v>
                </c:pt>
                <c:pt idx="37">
                  <c:v>4.7923307780056659</c:v>
                </c:pt>
                <c:pt idx="38">
                  <c:v>4.6877848019337964</c:v>
                </c:pt>
                <c:pt idx="39">
                  <c:v>5.8982881785546351</c:v>
                </c:pt>
                <c:pt idx="40">
                  <c:v>5.5662086749607775</c:v>
                </c:pt>
                <c:pt idx="41">
                  <c:v>5.3604930577271457</c:v>
                </c:pt>
                <c:pt idx="42">
                  <c:v>4.7646302304178798</c:v>
                </c:pt>
                <c:pt idx="43">
                  <c:v>4.5218429460487961</c:v>
                </c:pt>
                <c:pt idx="44">
                  <c:v>4.7150900692212332</c:v>
                </c:pt>
                <c:pt idx="45">
                  <c:v>4.5522452292606204</c:v>
                </c:pt>
                <c:pt idx="46">
                  <c:v>4.2340596225878899</c:v>
                </c:pt>
                <c:pt idx="47">
                  <c:v>4.0145974849363251</c:v>
                </c:pt>
                <c:pt idx="48">
                  <c:v>3.7730940060574425</c:v>
                </c:pt>
                <c:pt idx="49">
                  <c:v>3.253707279534702</c:v>
                </c:pt>
                <c:pt idx="50">
                  <c:v>3.1284345527310906</c:v>
                </c:pt>
                <c:pt idx="51">
                  <c:v>2.799376312718608</c:v>
                </c:pt>
                <c:pt idx="52">
                  <c:v>2.5182673831467639</c:v>
                </c:pt>
                <c:pt idx="53">
                  <c:v>2.5316811331532789</c:v>
                </c:pt>
                <c:pt idx="54">
                  <c:v>2.0256458057087765</c:v>
                </c:pt>
                <c:pt idx="55">
                  <c:v>1.6607444895850163</c:v>
                </c:pt>
                <c:pt idx="56">
                  <c:v>0.82695210466758939</c:v>
                </c:pt>
                <c:pt idx="57">
                  <c:v>1.724262703140605</c:v>
                </c:pt>
                <c:pt idx="58">
                  <c:v>2.076840265880878</c:v>
                </c:pt>
                <c:pt idx="59">
                  <c:v>2.9670720466403915</c:v>
                </c:pt>
                <c:pt idx="60">
                  <c:v>3.8869802894417953</c:v>
                </c:pt>
                <c:pt idx="61">
                  <c:v>3.1013903780819594</c:v>
                </c:pt>
                <c:pt idx="62">
                  <c:v>2.2772829941737354</c:v>
                </c:pt>
                <c:pt idx="63">
                  <c:v>1.9572208365234951</c:v>
                </c:pt>
                <c:pt idx="64">
                  <c:v>2.0115736658447148</c:v>
                </c:pt>
                <c:pt idx="65">
                  <c:v>1.3069599469632531</c:v>
                </c:pt>
                <c:pt idx="66">
                  <c:v>1.3202540826712859</c:v>
                </c:pt>
                <c:pt idx="67">
                  <c:v>1.7754334846294024</c:v>
                </c:pt>
                <c:pt idx="68">
                  <c:v>1.1875054186072642</c:v>
                </c:pt>
                <c:pt idx="69">
                  <c:v>1.1236102759206998</c:v>
                </c:pt>
                <c:pt idx="70">
                  <c:v>1.8570672629971363</c:v>
                </c:pt>
                <c:pt idx="71">
                  <c:v>1.435473434493211</c:v>
                </c:pt>
                <c:pt idx="72">
                  <c:v>2.2551891944160936</c:v>
                </c:pt>
                <c:pt idx="73">
                  <c:v>1.7205237390155139</c:v>
                </c:pt>
                <c:pt idx="74">
                  <c:v>2.3568244434462002</c:v>
                </c:pt>
                <c:pt idx="75">
                  <c:v>2.9494501849673669</c:v>
                </c:pt>
                <c:pt idx="76">
                  <c:v>3.0509461123777619</c:v>
                </c:pt>
                <c:pt idx="77">
                  <c:v>2.8557463161235983</c:v>
                </c:pt>
                <c:pt idx="78">
                  <c:v>3.1799022420404248</c:v>
                </c:pt>
                <c:pt idx="79">
                  <c:v>3.5033422442723645</c:v>
                </c:pt>
                <c:pt idx="80">
                  <c:v>3.5487290477032336</c:v>
                </c:pt>
                <c:pt idx="81">
                  <c:v>2.7088446842934264</c:v>
                </c:pt>
                <c:pt idx="82">
                  <c:v>8.0155759671578775</c:v>
                </c:pt>
                <c:pt idx="83">
                  <c:v>6.7889227299709018</c:v>
                </c:pt>
                <c:pt idx="84">
                  <c:v>6.2468428455855101</c:v>
                </c:pt>
                <c:pt idx="85">
                  <c:v>7.1735536812742309</c:v>
                </c:pt>
                <c:pt idx="86">
                  <c:v>8.2400694123811249</c:v>
                </c:pt>
                <c:pt idx="87">
                  <c:v>7.8091062118025887</c:v>
                </c:pt>
                <c:pt idx="88">
                  <c:v>8.3192674122531542</c:v>
                </c:pt>
                <c:pt idx="89">
                  <c:v>10.188536743829049</c:v>
                </c:pt>
                <c:pt idx="90">
                  <c:v>10.713444255762218</c:v>
                </c:pt>
                <c:pt idx="91">
                  <c:v>10.494054509718536</c:v>
                </c:pt>
                <c:pt idx="92">
                  <c:v>11.068084455061635</c:v>
                </c:pt>
                <c:pt idx="93">
                  <c:v>11.116193236681299</c:v>
                </c:pt>
                <c:pt idx="94">
                  <c:v>10.654814832773308</c:v>
                </c:pt>
                <c:pt idx="95">
                  <c:v>11.890453651150397</c:v>
                </c:pt>
                <c:pt idx="96">
                  <c:v>11.59946520094484</c:v>
                </c:pt>
                <c:pt idx="97">
                  <c:v>12.370504117360422</c:v>
                </c:pt>
                <c:pt idx="98">
                  <c:v>11.732885573617841</c:v>
                </c:pt>
                <c:pt idx="99">
                  <c:v>10.826978305481262</c:v>
                </c:pt>
                <c:pt idx="100">
                  <c:v>11.175643401945399</c:v>
                </c:pt>
                <c:pt idx="101">
                  <c:v>11.627961590016657</c:v>
                </c:pt>
                <c:pt idx="102">
                  <c:v>11.979095541609256</c:v>
                </c:pt>
                <c:pt idx="103">
                  <c:v>11.966928586012539</c:v>
                </c:pt>
                <c:pt idx="104">
                  <c:v>12.19819985820498</c:v>
                </c:pt>
                <c:pt idx="105">
                  <c:v>13.042548535754021</c:v>
                </c:pt>
                <c:pt idx="106">
                  <c:v>8.0957142470216468</c:v>
                </c:pt>
                <c:pt idx="107">
                  <c:v>8.784029546271972</c:v>
                </c:pt>
                <c:pt idx="108">
                  <c:v>8.7699585650103895</c:v>
                </c:pt>
                <c:pt idx="109">
                  <c:v>8.2133204175087577</c:v>
                </c:pt>
                <c:pt idx="110">
                  <c:v>8.2109095942744847</c:v>
                </c:pt>
                <c:pt idx="111">
                  <c:v>7.8437064030363404</c:v>
                </c:pt>
                <c:pt idx="112">
                  <c:v>7.674493162831669</c:v>
                </c:pt>
                <c:pt idx="113">
                  <c:v>6.4732617723916475</c:v>
                </c:pt>
                <c:pt idx="114">
                  <c:v>6.7861034921774976</c:v>
                </c:pt>
                <c:pt idx="115">
                  <c:v>7.1894470826787513</c:v>
                </c:pt>
                <c:pt idx="116">
                  <c:v>7.4080464156303885</c:v>
                </c:pt>
                <c:pt idx="117">
                  <c:v>8.1759578507468582</c:v>
                </c:pt>
                <c:pt idx="118">
                  <c:v>8.5244469707804758</c:v>
                </c:pt>
                <c:pt idx="119">
                  <c:v>8.2396443389400353</c:v>
                </c:pt>
                <c:pt idx="120">
                  <c:v>8.4778777874222051</c:v>
                </c:pt>
                <c:pt idx="121">
                  <c:v>9.1250834094069031</c:v>
                </c:pt>
                <c:pt idx="122">
                  <c:v>8.9014621740238677</c:v>
                </c:pt>
                <c:pt idx="123">
                  <c:v>9.4001712302329175</c:v>
                </c:pt>
                <c:pt idx="124">
                  <c:v>8.5833746080847018</c:v>
                </c:pt>
                <c:pt idx="125">
                  <c:v>8.4149503244663659</c:v>
                </c:pt>
                <c:pt idx="126">
                  <c:v>7.4587754195543852</c:v>
                </c:pt>
                <c:pt idx="127">
                  <c:v>8.6855000983297579</c:v>
                </c:pt>
                <c:pt idx="128">
                  <c:v>9.2345283540430856</c:v>
                </c:pt>
                <c:pt idx="129">
                  <c:v>7.5711178493052351</c:v>
                </c:pt>
                <c:pt idx="130">
                  <c:v>7.3124385579132483</c:v>
                </c:pt>
                <c:pt idx="131">
                  <c:v>6.3061753519809374</c:v>
                </c:pt>
                <c:pt idx="132">
                  <c:v>5.1471540749467239</c:v>
                </c:pt>
                <c:pt idx="133">
                  <c:v>5.3588076577166346</c:v>
                </c:pt>
                <c:pt idx="134">
                  <c:v>5.3893710249035962</c:v>
                </c:pt>
                <c:pt idx="135">
                  <c:v>5.5437019338347788</c:v>
                </c:pt>
                <c:pt idx="136">
                  <c:v>5.7707492934085547</c:v>
                </c:pt>
                <c:pt idx="137">
                  <c:v>6.3945344975361236</c:v>
                </c:pt>
                <c:pt idx="138">
                  <c:v>6.4150072664465689</c:v>
                </c:pt>
                <c:pt idx="139">
                  <c:v>5.1485634676002903</c:v>
                </c:pt>
                <c:pt idx="140">
                  <c:v>4.3393156770757928</c:v>
                </c:pt>
                <c:pt idx="141">
                  <c:v>4.037491372769324</c:v>
                </c:pt>
                <c:pt idx="142">
                  <c:v>3.920254162049539</c:v>
                </c:pt>
                <c:pt idx="143">
                  <c:v>3.3700000000000041</c:v>
                </c:pt>
                <c:pt idx="144">
                  <c:v>1.8069870764384564</c:v>
                </c:pt>
                <c:pt idx="145">
                  <c:v>0.76325379907859547</c:v>
                </c:pt>
                <c:pt idx="146">
                  <c:v>0.56789253123408745</c:v>
                </c:pt>
                <c:pt idx="147">
                  <c:v>0.84506489941570395</c:v>
                </c:pt>
                <c:pt idx="148">
                  <c:v>0.98524078276217042</c:v>
                </c:pt>
                <c:pt idx="149">
                  <c:v>1.0409411036297576</c:v>
                </c:pt>
                <c:pt idx="150">
                  <c:v>1.4517936155263074</c:v>
                </c:pt>
                <c:pt idx="151">
                  <c:v>0.50817105300167975</c:v>
                </c:pt>
                <c:pt idx="152">
                  <c:v>-0.15228473531241721</c:v>
                </c:pt>
                <c:pt idx="153">
                  <c:v>1.3325873082482418</c:v>
                </c:pt>
                <c:pt idx="154">
                  <c:v>1.6008786217551949</c:v>
                </c:pt>
                <c:pt idx="155">
                  <c:v>2.012004712129996</c:v>
                </c:pt>
                <c:pt idx="156">
                  <c:v>3.0312774872081154</c:v>
                </c:pt>
                <c:pt idx="157">
                  <c:v>4.5964072536017415</c:v>
                </c:pt>
                <c:pt idx="158">
                  <c:v>4.0373138543215932</c:v>
                </c:pt>
                <c:pt idx="159">
                  <c:v>0.34719281903632798</c:v>
                </c:pt>
                <c:pt idx="160">
                  <c:v>-1.930833261820982</c:v>
                </c:pt>
                <c:pt idx="161">
                  <c:v>-1.9980466772494827</c:v>
                </c:pt>
                <c:pt idx="162">
                  <c:v>-5.7393011472736191E-2</c:v>
                </c:pt>
                <c:pt idx="163">
                  <c:v>0.76048900522543172</c:v>
                </c:pt>
                <c:pt idx="164">
                  <c:v>1.6331513149342729</c:v>
                </c:pt>
                <c:pt idx="165">
                  <c:v>2.6874230090821523</c:v>
                </c:pt>
                <c:pt idx="166">
                  <c:v>2.787655826092013</c:v>
                </c:pt>
                <c:pt idx="167">
                  <c:v>3.0465607132630317</c:v>
                </c:pt>
                <c:pt idx="168">
                  <c:v>4.1843838910259485</c:v>
                </c:pt>
                <c:pt idx="169">
                  <c:v>4.4180932242781061</c:v>
                </c:pt>
                <c:pt idx="170">
                  <c:v>4.4425939324519019</c:v>
                </c:pt>
                <c:pt idx="171">
                  <c:v>3.7586638561818293</c:v>
                </c:pt>
                <c:pt idx="172">
                  <c:v>4.3403733451765829</c:v>
                </c:pt>
                <c:pt idx="173">
                  <c:v>4.4997493100608947</c:v>
                </c:pt>
                <c:pt idx="174">
                  <c:v>2.6666806586988949</c:v>
                </c:pt>
                <c:pt idx="175">
                  <c:v>1.993183644063844</c:v>
                </c:pt>
                <c:pt idx="176">
                  <c:v>1.4456611454584429</c:v>
                </c:pt>
                <c:pt idx="177">
                  <c:v>0.92548698474195523</c:v>
                </c:pt>
                <c:pt idx="178">
                  <c:v>1.8426776370681801</c:v>
                </c:pt>
                <c:pt idx="179">
                  <c:v>3.4184266440289588</c:v>
                </c:pt>
                <c:pt idx="180">
                  <c:v>3.848367960362034</c:v>
                </c:pt>
                <c:pt idx="181">
                  <c:v>3.0274489023441742</c:v>
                </c:pt>
                <c:pt idx="182">
                  <c:v>4.186290297042242</c:v>
                </c:pt>
                <c:pt idx="183">
                  <c:v>8.5179516897327598</c:v>
                </c:pt>
                <c:pt idx="184">
                  <c:v>12.205980881655186</c:v>
                </c:pt>
                <c:pt idx="185">
                  <c:v>12.467228886585106</c:v>
                </c:pt>
                <c:pt idx="186">
                  <c:v>10.829272756103951</c:v>
                </c:pt>
                <c:pt idx="187">
                  <c:v>10.69282858164269</c:v>
                </c:pt>
                <c:pt idx="188">
                  <c:v>10.606168428546892</c:v>
                </c:pt>
                <c:pt idx="189">
                  <c:v>9.3954493360536961</c:v>
                </c:pt>
                <c:pt idx="190">
                  <c:v>9.2354738674274106</c:v>
                </c:pt>
                <c:pt idx="191">
                  <c:v>9.5520500935988384</c:v>
                </c:pt>
                <c:pt idx="192">
                  <c:v>8.0754583330724294</c:v>
                </c:pt>
                <c:pt idx="193">
                  <c:v>8.2037242236645724</c:v>
                </c:pt>
                <c:pt idx="194">
                  <c:v>8.8565985490027401</c:v>
                </c:pt>
                <c:pt idx="195">
                  <c:v>9.8869828720812016</c:v>
                </c:pt>
                <c:pt idx="196">
                  <c:v>9.2105726524141787</c:v>
                </c:pt>
                <c:pt idx="197">
                  <c:v>9.7342128422913365</c:v>
                </c:pt>
                <c:pt idx="198">
                  <c:v>11.677454408481875</c:v>
                </c:pt>
                <c:pt idx="199">
                  <c:v>13.548484833729162</c:v>
                </c:pt>
                <c:pt idx="200">
                  <c:v>12.337791153867729</c:v>
                </c:pt>
                <c:pt idx="201">
                  <c:v>11.136468899571431</c:v>
                </c:pt>
                <c:pt idx="202">
                  <c:v>10.210723121241049</c:v>
                </c:pt>
                <c:pt idx="203">
                  <c:v>9.162680664951802</c:v>
                </c:pt>
                <c:pt idx="204">
                  <c:v>9.3325417132999977</c:v>
                </c:pt>
                <c:pt idx="205">
                  <c:v>9.3421127995854842</c:v>
                </c:pt>
                <c:pt idx="206">
                  <c:v>9.101348968857268</c:v>
                </c:pt>
                <c:pt idx="207">
                  <c:v>9.7962273671212508</c:v>
                </c:pt>
                <c:pt idx="208">
                  <c:v>9.3772382652773096</c:v>
                </c:pt>
                <c:pt idx="209">
                  <c:v>8.7649360143960582</c:v>
                </c:pt>
                <c:pt idx="210">
                  <c:v>8.5995523081447018</c:v>
                </c:pt>
                <c:pt idx="211">
                  <c:v>8.9339266339930212</c:v>
                </c:pt>
                <c:pt idx="212">
                  <c:v>9.1285550578185237</c:v>
                </c:pt>
                <c:pt idx="213">
                  <c:v>9.8075406625592478</c:v>
                </c:pt>
                <c:pt idx="214">
                  <c:v>9.9549266157041547</c:v>
                </c:pt>
                <c:pt idx="215">
                  <c:v>9.3372409892539459</c:v>
                </c:pt>
                <c:pt idx="216">
                  <c:v>10.592366438622742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A80-4646-A039-7E37A4308B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2960912"/>
        <c:axId val="792957384"/>
      </c:lineChart>
      <c:catAx>
        <c:axId val="7929609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92957384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792957384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92960912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DBB4-4B29-413E-A9FA-158D00EC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19</TotalTime>
  <Pages>10</Pages>
  <Words>1837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al Consumidor</vt:lpstr>
    </vt:vector>
  </TitlesOfParts>
  <Company>INEGI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PRECIOS CONSUMIDOR SUBYACENTE</cp:keywords>
  <cp:lastModifiedBy>GUILLEN MEDINA MOISES</cp:lastModifiedBy>
  <cp:revision>10</cp:revision>
  <cp:lastPrinted>2021-01-19T21:18:00Z</cp:lastPrinted>
  <dcterms:created xsi:type="dcterms:W3CDTF">2022-08-23T15:34:00Z</dcterms:created>
  <dcterms:modified xsi:type="dcterms:W3CDTF">2022-08-23T19:43:00Z</dcterms:modified>
  <cp:category>INDICES DE PRECIOS</cp:category>
  <cp:version>1</cp:version>
</cp:coreProperties>
</file>