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07C5" w14:textId="77777777" w:rsidR="0068430F" w:rsidRPr="00FC3C74" w:rsidRDefault="0068430F" w:rsidP="0068430F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813DD" wp14:editId="44AEBAC9">
                <wp:simplePos x="0" y="0"/>
                <wp:positionH relativeFrom="column">
                  <wp:posOffset>3042285</wp:posOffset>
                </wp:positionH>
                <wp:positionV relativeFrom="paragraph">
                  <wp:posOffset>3175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C2F3" w14:textId="77777777" w:rsidR="0068430F" w:rsidRPr="003D4E37" w:rsidRDefault="0068430F" w:rsidP="0068430F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8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813D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55pt;margin-top:.25pt;width:262.7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" stroked="f">
                <v:textbox>
                  <w:txbxContent>
                    <w:p w14:paraId="1983C2F3" w14:textId="77777777" w:rsidR="0068430F" w:rsidRPr="003D4E37" w:rsidRDefault="0068430F" w:rsidP="0068430F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8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diciembre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01BCF50D" w14:textId="77777777" w:rsidR="0068430F" w:rsidRPr="003C0C3F" w:rsidRDefault="0068430F" w:rsidP="0068430F">
      <w:pPr>
        <w:jc w:val="center"/>
        <w:rPr>
          <w:b/>
          <w:bCs/>
          <w:caps/>
          <w:lang w:val="es-MX"/>
        </w:rPr>
      </w:pPr>
    </w:p>
    <w:p w14:paraId="49119717" w14:textId="77777777" w:rsidR="0068430F" w:rsidRPr="005B5335" w:rsidRDefault="0068430F" w:rsidP="0068430F">
      <w:pPr>
        <w:pStyle w:val="Profesin"/>
        <w:rPr>
          <w:sz w:val="24"/>
          <w:szCs w:val="24"/>
        </w:rPr>
      </w:pPr>
    </w:p>
    <w:p w14:paraId="42DE1D02" w14:textId="77777777" w:rsidR="0068430F" w:rsidRPr="00D10D8C" w:rsidRDefault="0068430F" w:rsidP="0068430F">
      <w:pPr>
        <w:pStyle w:val="Profesin"/>
        <w:rPr>
          <w:sz w:val="24"/>
          <w:szCs w:val="24"/>
        </w:rPr>
      </w:pPr>
    </w:p>
    <w:p w14:paraId="5E0BA36D" w14:textId="77777777" w:rsidR="0068430F" w:rsidRDefault="0068430F" w:rsidP="0068430F">
      <w:pPr>
        <w:pStyle w:val="Profesin"/>
        <w:rPr>
          <w:sz w:val="24"/>
          <w:szCs w:val="24"/>
        </w:rPr>
      </w:pPr>
    </w:p>
    <w:p w14:paraId="7F89744B" w14:textId="6F829502" w:rsidR="0068430F" w:rsidRPr="004F2655" w:rsidRDefault="0068430F" w:rsidP="0068430F">
      <w:pPr>
        <w:pStyle w:val="Profesin"/>
        <w:rPr>
          <w:sz w:val="24"/>
          <w:szCs w:val="24"/>
        </w:rPr>
      </w:pPr>
      <w:bookmarkStart w:id="1" w:name="_GoBack"/>
      <w:bookmarkEnd w:id="1"/>
      <w:r w:rsidRPr="004F2655">
        <w:rPr>
          <w:sz w:val="24"/>
          <w:szCs w:val="24"/>
        </w:rPr>
        <w:t>ÍNDICE NACIONAL DE PRECIOS AL CONSUMIDOR</w:t>
      </w:r>
    </w:p>
    <w:p w14:paraId="573F706F" w14:textId="77777777" w:rsidR="0068430F" w:rsidRPr="004F2655" w:rsidRDefault="0068430F" w:rsidP="0068430F">
      <w:pPr>
        <w:pStyle w:val="Profesin"/>
        <w:spacing w:before="60"/>
        <w:rPr>
          <w:caps w:val="0"/>
          <w:sz w:val="24"/>
          <w:szCs w:val="24"/>
        </w:rPr>
      </w:pPr>
      <w:r w:rsidRPr="004F2655">
        <w:rPr>
          <w:caps w:val="0"/>
          <w:sz w:val="24"/>
          <w:szCs w:val="24"/>
        </w:rPr>
        <w:t>OCTUBRE DE 2022</w:t>
      </w:r>
    </w:p>
    <w:p w14:paraId="37C930A9" w14:textId="77777777" w:rsidR="0068430F" w:rsidRPr="004F2655" w:rsidRDefault="0068430F" w:rsidP="0068430F">
      <w:pPr>
        <w:spacing w:before="360"/>
        <w:ind w:left="142" w:right="49"/>
        <w:rPr>
          <w:bCs/>
          <w:spacing w:val="4"/>
        </w:rPr>
      </w:pPr>
      <w:r w:rsidRPr="004F2655">
        <w:rPr>
          <w:bCs/>
          <w:spacing w:val="4"/>
        </w:rPr>
        <w:t>En octubre de 2022, el Índice Nacional de Precios al Consumidor (INPC) registró una variación de 0.57 % respecto al mes anterior. Con este resultado, la inflación general anual se ubicó en 8.41 por ciento. En el mismo mes de 2021, la inflación mensual fue de 0.84 % y la anual, de 6.24 por ciento.</w:t>
      </w:r>
    </w:p>
    <w:p w14:paraId="3C5C912C" w14:textId="77777777" w:rsidR="0068430F" w:rsidRPr="004F2655" w:rsidRDefault="0068430F" w:rsidP="0068430F">
      <w:pPr>
        <w:spacing w:before="360"/>
        <w:ind w:left="142" w:right="49"/>
        <w:rPr>
          <w:bCs/>
          <w:spacing w:val="4"/>
        </w:rPr>
      </w:pPr>
      <w:r w:rsidRPr="004F2655">
        <w:rPr>
          <w:bCs/>
          <w:spacing w:val="4"/>
        </w:rPr>
        <w:t>El índice de precios subyacente</w:t>
      </w:r>
      <w:r w:rsidRPr="004F2655">
        <w:rPr>
          <w:rStyle w:val="Refdenotaalpie"/>
          <w:bCs/>
          <w:spacing w:val="4"/>
        </w:rPr>
        <w:footnoteReference w:id="1"/>
      </w:r>
      <w:r w:rsidRPr="004F2655">
        <w:rPr>
          <w:bCs/>
          <w:spacing w:val="4"/>
        </w:rPr>
        <w:t xml:space="preserve"> incrementó 0.63 % mensual y 8.42 % anual. El índice de precios no subyacente creció 0.38 % a tasa mensual y 8.36 % a tasa anual.</w:t>
      </w:r>
    </w:p>
    <w:p w14:paraId="463A0D4A" w14:textId="77777777" w:rsidR="0068430F" w:rsidRPr="004F2655" w:rsidRDefault="0068430F" w:rsidP="0068430F">
      <w:pPr>
        <w:spacing w:before="360"/>
        <w:ind w:left="142" w:right="49"/>
        <w:rPr>
          <w:bCs/>
          <w:spacing w:val="4"/>
        </w:rPr>
      </w:pPr>
      <w:r w:rsidRPr="004F2655">
        <w:rPr>
          <w:bCs/>
          <w:spacing w:val="4"/>
        </w:rPr>
        <w:t>Al interior del índice subyacente, a tasa mensual, los precios de las mercancías subieron 0.87 % y los de servicios, 0.33 por ciento.</w:t>
      </w:r>
    </w:p>
    <w:p w14:paraId="3C1CB496" w14:textId="77777777" w:rsidR="0068430F" w:rsidRPr="004F2655" w:rsidRDefault="0068430F" w:rsidP="0068430F">
      <w:pPr>
        <w:spacing w:before="360"/>
        <w:ind w:left="142" w:right="49"/>
        <w:rPr>
          <w:bCs/>
          <w:spacing w:val="4"/>
        </w:rPr>
      </w:pPr>
      <w:r w:rsidRPr="004F2655">
        <w:rPr>
          <w:bCs/>
          <w:spacing w:val="4"/>
        </w:rPr>
        <w:t>Dentro del índice no subyacente y a tasa mensual, los precios de los productos agropecuarios bajaron 0.52 % y los de energéticos y tarifas autorizadas por el gobierno aumentaron 1.17 por ciento. Lo anterior,</w:t>
      </w:r>
      <w:r w:rsidRPr="004F2655">
        <w:rPr>
          <w:bCs/>
          <w:spacing w:val="6"/>
        </w:rPr>
        <w:t xml:space="preserve"> en mayor medida, por la conclusión del subsidio al programa de tarifas eléctricas de temporada de verano en 18 ciudades del país donde el INPC tiene cobertura.</w:t>
      </w:r>
    </w:p>
    <w:bookmarkEnd w:id="0"/>
    <w:p w14:paraId="3448BD21" w14:textId="77777777" w:rsidR="0068430F" w:rsidRPr="004F2655" w:rsidRDefault="0068430F" w:rsidP="0068430F">
      <w:pPr>
        <w:spacing w:before="120"/>
        <w:ind w:right="49"/>
        <w:rPr>
          <w:snapToGrid w:val="0"/>
          <w:spacing w:val="6"/>
        </w:rPr>
      </w:pPr>
    </w:p>
    <w:p w14:paraId="658C5E46" w14:textId="77777777" w:rsidR="0068430F" w:rsidRPr="00EC7EAB" w:rsidRDefault="0068430F" w:rsidP="0068430F">
      <w:pPr>
        <w:spacing w:before="120"/>
        <w:ind w:right="49"/>
        <w:rPr>
          <w:snapToGrid w:val="0"/>
          <w:spacing w:val="6"/>
        </w:rPr>
      </w:pPr>
    </w:p>
    <w:p w14:paraId="5509819D" w14:textId="77777777" w:rsidR="0068430F" w:rsidRDefault="0068430F" w:rsidP="0068430F">
      <w:pPr>
        <w:spacing w:before="120"/>
        <w:ind w:right="49"/>
        <w:rPr>
          <w:snapToGrid w:val="0"/>
          <w:spacing w:val="6"/>
        </w:rPr>
      </w:pPr>
    </w:p>
    <w:p w14:paraId="68BE4A3C" w14:textId="77777777" w:rsidR="0068430F" w:rsidRDefault="0068430F" w:rsidP="0068430F">
      <w:pPr>
        <w:spacing w:before="120"/>
        <w:ind w:right="49"/>
        <w:rPr>
          <w:snapToGrid w:val="0"/>
          <w:spacing w:val="6"/>
        </w:rPr>
      </w:pPr>
    </w:p>
    <w:p w14:paraId="6732D6B5" w14:textId="77777777" w:rsidR="0068430F" w:rsidRDefault="0068430F" w:rsidP="0068430F">
      <w:pPr>
        <w:spacing w:before="120"/>
        <w:ind w:right="49"/>
        <w:rPr>
          <w:snapToGrid w:val="0"/>
          <w:spacing w:val="6"/>
        </w:rPr>
      </w:pPr>
    </w:p>
    <w:p w14:paraId="2463C1B6" w14:textId="77777777" w:rsidR="0068430F" w:rsidRDefault="0068430F" w:rsidP="0068430F">
      <w:pPr>
        <w:spacing w:before="120"/>
        <w:ind w:right="49"/>
        <w:rPr>
          <w:snapToGrid w:val="0"/>
          <w:spacing w:val="6"/>
        </w:rPr>
      </w:pPr>
    </w:p>
    <w:p w14:paraId="220B226F" w14:textId="77777777" w:rsidR="0068430F" w:rsidRDefault="0068430F" w:rsidP="0068430F">
      <w:pPr>
        <w:spacing w:before="120"/>
        <w:ind w:right="49"/>
        <w:rPr>
          <w:snapToGrid w:val="0"/>
          <w:spacing w:val="6"/>
        </w:rPr>
      </w:pPr>
    </w:p>
    <w:p w14:paraId="2034C276" w14:textId="77777777" w:rsidR="0068430F" w:rsidRPr="0031763B" w:rsidRDefault="0068430F" w:rsidP="0068430F">
      <w:pPr>
        <w:spacing w:before="120"/>
        <w:ind w:right="49"/>
        <w:rPr>
          <w:snapToGrid w:val="0"/>
          <w:spacing w:val="6"/>
        </w:rPr>
      </w:pPr>
    </w:p>
    <w:p w14:paraId="2314DCF2" w14:textId="77777777" w:rsidR="0068430F" w:rsidRPr="00B81C75" w:rsidRDefault="0068430F" w:rsidP="0068430F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581158">
        <w:rPr>
          <w:b/>
          <w:bCs/>
          <w:iCs/>
          <w:smallCaps/>
          <w:color w:val="000000" w:themeColor="text1"/>
          <w:sz w:val="22"/>
          <w:szCs w:val="22"/>
        </w:rPr>
        <w:lastRenderedPageBreak/>
        <w:t>Índice Nacional de Precios al Consumidor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26CEC9A" w14:textId="77777777" w:rsidR="0068430F" w:rsidRPr="00257AF9" w:rsidRDefault="0068430F" w:rsidP="0068430F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octubre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57BDD517" w14:textId="77777777" w:rsidR="0068430F" w:rsidRPr="0019118A" w:rsidRDefault="0068430F" w:rsidP="0068430F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4F79AF">
        <w:rPr>
          <w:noProof/>
        </w:rPr>
        <w:drawing>
          <wp:inline distT="0" distB="0" distL="0" distR="0" wp14:anchorId="7E407F04" wp14:editId="0B55C008">
            <wp:extent cx="5972810" cy="2491105"/>
            <wp:effectExtent l="0" t="0" r="889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CB05" w14:textId="77777777" w:rsidR="0068430F" w:rsidRPr="00E671DE" w:rsidRDefault="0068430F" w:rsidP="0068430F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550D355D" w14:textId="77777777" w:rsidR="0068430F" w:rsidRPr="00E671DE" w:rsidRDefault="0068430F" w:rsidP="0068430F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76C5139D" w14:textId="77777777" w:rsidR="0068430F" w:rsidRPr="00E671DE" w:rsidRDefault="0068430F" w:rsidP="0068430F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018E5E48" w14:textId="77777777" w:rsidR="0068430F" w:rsidRDefault="0068430F" w:rsidP="0068430F">
      <w:pPr>
        <w:autoSpaceDE w:val="0"/>
        <w:autoSpaceDN w:val="0"/>
        <w:adjustRightInd w:val="0"/>
        <w:ind w:left="567" w:right="474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4DC3A787" w14:textId="77777777" w:rsidR="0068430F" w:rsidRPr="000D38ED" w:rsidRDefault="0068430F" w:rsidP="0068430F">
      <w:pPr>
        <w:autoSpaceDE w:val="0"/>
        <w:autoSpaceDN w:val="0"/>
        <w:adjustRightInd w:val="0"/>
        <w:ind w:left="567" w:right="474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5FEC8CC" w14:textId="77777777" w:rsidR="0068430F" w:rsidRPr="00472632" w:rsidRDefault="0068430F" w:rsidP="0068430F">
      <w:pPr>
        <w:pStyle w:val="Texto"/>
        <w:autoSpaceDE w:val="0"/>
        <w:autoSpaceDN w:val="0"/>
        <w:adjustRightInd w:val="0"/>
        <w:spacing w:before="480" w:after="0" w:line="240" w:lineRule="auto"/>
        <w:ind w:firstLine="0"/>
        <w:jc w:val="center"/>
        <w:rPr>
          <w:b/>
          <w:sz w:val="22"/>
          <w:szCs w:val="24"/>
        </w:rPr>
      </w:pPr>
      <w:bookmarkStart w:id="2" w:name="_Hlk97203714"/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7A6A2ED8" w14:textId="77777777" w:rsidR="0068430F" w:rsidRPr="00E45F62" w:rsidRDefault="0068430F" w:rsidP="0068430F">
      <w:pPr>
        <w:pStyle w:val="Texto"/>
        <w:autoSpaceDE w:val="0"/>
        <w:autoSpaceDN w:val="0"/>
        <w:adjustRightInd w:val="0"/>
        <w:spacing w:before="40" w:after="0" w:line="240" w:lineRule="auto"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73B4A4E1" wp14:editId="742651DB">
            <wp:extent cx="4121509" cy="1922400"/>
            <wp:effectExtent l="0" t="0" r="0" b="1905"/>
            <wp:docPr id="4" name="Imagen 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09" cy="19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41485" w14:textId="77777777" w:rsidR="0068430F" w:rsidRPr="00840624" w:rsidRDefault="0068430F" w:rsidP="0068430F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16"/>
          <w:szCs w:val="16"/>
          <w:lang w:val="es-ES_tradnl"/>
        </w:rPr>
      </w:pPr>
    </w:p>
    <w:bookmarkEnd w:id="2"/>
    <w:p w14:paraId="09E41C7E" w14:textId="77777777" w:rsidR="0068430F" w:rsidRPr="004A4E2D" w:rsidRDefault="0068430F" w:rsidP="0068430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F25D003" w14:textId="77777777" w:rsidR="0068430F" w:rsidRPr="00EC7EAB" w:rsidRDefault="0068430F" w:rsidP="0068430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Para consultas de medios y periodistas, </w:t>
      </w:r>
      <w:r>
        <w:rPr>
          <w:rFonts w:ascii="Arial" w:hAnsi="Arial" w:cs="Arial"/>
          <w:sz w:val="20"/>
          <w:szCs w:val="20"/>
        </w:rPr>
        <w:t xml:space="preserve">escribir </w:t>
      </w:r>
      <w:r w:rsidRPr="00EC7EAB">
        <w:rPr>
          <w:rFonts w:ascii="Arial" w:hAnsi="Arial" w:cs="Arial"/>
          <w:sz w:val="20"/>
          <w:szCs w:val="20"/>
        </w:rPr>
        <w:t xml:space="preserve">a: </w:t>
      </w:r>
      <w:hyperlink r:id="rId10" w:history="1">
        <w:r w:rsidRPr="00EC7EAB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EC7EAB">
        <w:rPr>
          <w:rFonts w:ascii="Arial" w:hAnsi="Arial" w:cs="Arial"/>
          <w:sz w:val="20"/>
          <w:szCs w:val="20"/>
        </w:rPr>
        <w:t xml:space="preserve"> </w:t>
      </w:r>
    </w:p>
    <w:p w14:paraId="38A9CC72" w14:textId="77777777" w:rsidR="0068430F" w:rsidRPr="00EC7EAB" w:rsidRDefault="0068430F" w:rsidP="0068430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EC7EAB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EC7EAB">
        <w:rPr>
          <w:rFonts w:ascii="Arial" w:hAnsi="Arial" w:cs="Arial"/>
          <w:sz w:val="20"/>
          <w:szCs w:val="20"/>
        </w:rPr>
        <w:t>exts</w:t>
      </w:r>
      <w:proofErr w:type="spellEnd"/>
      <w:r w:rsidRPr="00EC7EAB">
        <w:rPr>
          <w:rFonts w:ascii="Arial" w:hAnsi="Arial" w:cs="Arial"/>
          <w:sz w:val="20"/>
          <w:szCs w:val="20"/>
        </w:rPr>
        <w:t>. 1134, 1260 y 1241.</w:t>
      </w:r>
    </w:p>
    <w:p w14:paraId="65150495" w14:textId="77777777" w:rsidR="0068430F" w:rsidRPr="00EC7EAB" w:rsidRDefault="0068430F" w:rsidP="0068430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725DB9CB" w14:textId="77777777" w:rsidR="0068430F" w:rsidRPr="00EC7EAB" w:rsidRDefault="0068430F" w:rsidP="0068430F">
      <w:pPr>
        <w:ind w:left="-426" w:right="-518"/>
        <w:contextualSpacing/>
        <w:jc w:val="center"/>
        <w:rPr>
          <w:sz w:val="20"/>
          <w:szCs w:val="20"/>
        </w:rPr>
      </w:pPr>
      <w:r w:rsidRPr="00EC7EAB">
        <w:rPr>
          <w:sz w:val="20"/>
          <w:szCs w:val="20"/>
        </w:rPr>
        <w:t>Dirección de Atención a Medios / Dirección General Adjunta de Comunicación</w:t>
      </w:r>
    </w:p>
    <w:p w14:paraId="10AD8FA5" w14:textId="77777777" w:rsidR="0068430F" w:rsidRPr="00EC7EAB" w:rsidRDefault="0068430F" w:rsidP="0068430F">
      <w:pPr>
        <w:ind w:left="-426" w:right="-518"/>
        <w:contextualSpacing/>
        <w:jc w:val="center"/>
        <w:rPr>
          <w:sz w:val="16"/>
          <w:szCs w:val="16"/>
        </w:rPr>
      </w:pPr>
    </w:p>
    <w:p w14:paraId="6D6C59D2" w14:textId="77777777" w:rsidR="0068430F" w:rsidRDefault="0068430F" w:rsidP="0068430F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D1F4427" wp14:editId="33868747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B00730D" wp14:editId="6B4AA5C4">
            <wp:extent cx="365760" cy="365760"/>
            <wp:effectExtent l="0" t="0" r="0" b="0"/>
            <wp:docPr id="7" name="Imagen 7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9C64D8F" wp14:editId="379A3C71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30D9E8F" wp14:editId="2C888FD2">
            <wp:extent cx="365760" cy="365760"/>
            <wp:effectExtent l="0" t="0" r="0" b="0"/>
            <wp:docPr id="9" name="Imagen 9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E0223CA" wp14:editId="0323AE37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C5EC" w14:textId="77777777" w:rsidR="0068430F" w:rsidRPr="0083010F" w:rsidRDefault="0068430F" w:rsidP="0068430F">
      <w:pPr>
        <w:ind w:left="-567" w:right="-518"/>
        <w:contextualSpacing/>
        <w:jc w:val="center"/>
        <w:rPr>
          <w:sz w:val="20"/>
          <w:szCs w:val="20"/>
        </w:rPr>
      </w:pPr>
    </w:p>
    <w:p w14:paraId="61BBD9A8" w14:textId="77777777" w:rsidR="0068430F" w:rsidRDefault="0068430F" w:rsidP="0068430F">
      <w:pPr>
        <w:ind w:left="-567"/>
        <w:jc w:val="center"/>
        <w:rPr>
          <w:noProof/>
          <w:lang w:eastAsia="es-MX"/>
        </w:rPr>
        <w:sectPr w:rsidR="0068430F" w:rsidSect="006C6CF0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7E99E3A9" w14:textId="77777777" w:rsidR="0068430F" w:rsidRPr="0068430F" w:rsidRDefault="0068430F" w:rsidP="0068430F">
      <w:pPr>
        <w:pStyle w:val="Profesin"/>
        <w:outlineLvl w:val="0"/>
        <w:rPr>
          <w:sz w:val="24"/>
          <w:szCs w:val="24"/>
          <w:lang w:val="es-MX"/>
        </w:rPr>
      </w:pPr>
      <w:r w:rsidRPr="0068430F">
        <w:rPr>
          <w:sz w:val="24"/>
          <w:szCs w:val="24"/>
          <w:lang w:val="es-MX"/>
        </w:rPr>
        <w:lastRenderedPageBreak/>
        <w:t>ANEXO</w:t>
      </w:r>
    </w:p>
    <w:p w14:paraId="70BFBE3B" w14:textId="77777777" w:rsidR="0068430F" w:rsidRPr="0068430F" w:rsidRDefault="0068430F" w:rsidP="0014696E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68430F">
        <w:rPr>
          <w:sz w:val="24"/>
          <w:szCs w:val="24"/>
          <w:lang w:val="es-MX"/>
        </w:rPr>
        <w:t>Nota técnica</w:t>
      </w:r>
    </w:p>
    <w:p w14:paraId="06F1D6BF" w14:textId="77777777" w:rsidR="0068430F" w:rsidRDefault="0068430F" w:rsidP="0068430F">
      <w:pPr>
        <w:jc w:val="left"/>
        <w:rPr>
          <w:b/>
          <w:i/>
          <w:color w:val="000000" w:themeColor="text1"/>
        </w:rPr>
      </w:pPr>
    </w:p>
    <w:p w14:paraId="24D5CFC3" w14:textId="77777777" w:rsidR="00E0429B" w:rsidRPr="00EC4BE9" w:rsidRDefault="00E0429B" w:rsidP="0068430F">
      <w:pPr>
        <w:keepNext/>
        <w:keepLines/>
        <w:widowControl w:val="0"/>
        <w:spacing w:before="36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39902DC7" w14:textId="51D5ED06" w:rsidR="00F12550" w:rsidRDefault="00541295" w:rsidP="00F12550">
      <w:pPr>
        <w:autoSpaceDE w:val="0"/>
        <w:autoSpaceDN w:val="0"/>
        <w:adjustRightInd w:val="0"/>
        <w:spacing w:before="240"/>
      </w:pPr>
      <w:r>
        <w:t xml:space="preserve">En octubre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>
        <w:t xml:space="preserve">presentó un aumento mensual de 0.57 por ciento. En el mismo mes de 2021, </w:t>
      </w:r>
      <w:r w:rsidR="00D074E2">
        <w:t>subió</w:t>
      </w:r>
      <w:r>
        <w:t xml:space="preserve"> 0.84 por ciento</w:t>
      </w:r>
      <w:r w:rsidR="00B3564B">
        <w:t>.</w:t>
      </w:r>
    </w:p>
    <w:p w14:paraId="6B38FF23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4A0C560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26C09778" w14:textId="71758990" w:rsidR="000C372F" w:rsidRPr="000C372F" w:rsidRDefault="000C372F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mensual en </w:t>
      </w:r>
      <w:r w:rsidR="00D074E2">
        <w:rPr>
          <w:sz w:val="18"/>
          <w:szCs w:val="18"/>
        </w:rPr>
        <w:t>octu</w:t>
      </w:r>
      <w:r w:rsidR="00CF5C73">
        <w:rPr>
          <w:sz w:val="18"/>
          <w:szCs w:val="18"/>
        </w:rPr>
        <w:t>bre</w:t>
      </w:r>
      <w:r w:rsidRPr="000C372F">
        <w:rPr>
          <w:sz w:val="18"/>
          <w:szCs w:val="18"/>
        </w:rPr>
        <w:t xml:space="preserve"> de los años que se indican</w:t>
      </w:r>
    </w:p>
    <w:p w14:paraId="457F94C9" w14:textId="526FB6E2" w:rsidR="000C372F" w:rsidRDefault="00D074E2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22C7D62B" wp14:editId="1E59CC7F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7BB3B8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6AA6560" w14:textId="50F4BEB9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1F46E5" w:rsidRPr="001F46E5">
        <w:rPr>
          <w:color w:val="000000" w:themeColor="text1"/>
        </w:rPr>
        <w:t xml:space="preserve"> </w:t>
      </w:r>
      <w:r w:rsidR="00686F88">
        <w:rPr>
          <w:color w:val="000000" w:themeColor="text1"/>
        </w:rPr>
        <w:t xml:space="preserve">registradas </w:t>
      </w:r>
      <w:r w:rsidR="001F46E5">
        <w:rPr>
          <w:color w:val="000000" w:themeColor="text1"/>
        </w:rPr>
        <w:t xml:space="preserve">durante </w:t>
      </w:r>
      <w:r w:rsidR="00D074E2">
        <w:rPr>
          <w:color w:val="000000" w:themeColor="text1"/>
        </w:rPr>
        <w:t>octu</w:t>
      </w:r>
      <w:r w:rsidR="00CF5C73">
        <w:rPr>
          <w:color w:val="000000" w:themeColor="text1"/>
        </w:rPr>
        <w:t>bre</w:t>
      </w:r>
      <w:r w:rsidR="00F12550">
        <w:rPr>
          <w:color w:val="000000" w:themeColor="text1"/>
        </w:rPr>
        <w:t xml:space="preserve"> </w:t>
      </w:r>
      <w:r w:rsidR="001F46E5">
        <w:rPr>
          <w:color w:val="000000" w:themeColor="text1"/>
        </w:rPr>
        <w:t>de 2022</w:t>
      </w:r>
      <w:r w:rsidR="000C372F">
        <w:rPr>
          <w:color w:val="000000" w:themeColor="text1"/>
        </w:rPr>
        <w:t>.</w:t>
      </w:r>
    </w:p>
    <w:p w14:paraId="51FFCAF2" w14:textId="7777777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5D199328" w14:textId="77777777" w:rsidR="000C372F" w:rsidRPr="00B81C75" w:rsidRDefault="005012EA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bookmarkStart w:id="3" w:name="_Hlk113439436"/>
      <w:r w:rsidRPr="00581158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bookmarkEnd w:id="3"/>
      <w:r w:rsidR="000C372F">
        <w:rPr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92F5F4A" w14:textId="025BC7C3" w:rsidR="000C372F" w:rsidRPr="00257AF9" w:rsidRDefault="000C372F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</w:t>
      </w:r>
      <w:r w:rsidR="00D074E2">
        <w:rPr>
          <w:sz w:val="18"/>
          <w:szCs w:val="18"/>
        </w:rPr>
        <w:t>octu</w:t>
      </w:r>
      <w:r w:rsidR="00CF5C73">
        <w:rPr>
          <w:sz w:val="18"/>
          <w:szCs w:val="18"/>
        </w:rPr>
        <w:t>bre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69677A17" w14:textId="085919EA" w:rsidR="000C372F" w:rsidRPr="0019118A" w:rsidRDefault="004F79AF" w:rsidP="00EF7722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4F79AF">
        <w:rPr>
          <w:noProof/>
        </w:rPr>
        <w:drawing>
          <wp:inline distT="0" distB="0" distL="0" distR="0" wp14:anchorId="27B0A930" wp14:editId="1E728AFE">
            <wp:extent cx="5972810" cy="2491105"/>
            <wp:effectExtent l="0" t="0" r="8890" b="444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3A6E3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09E626D6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5D6CA772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2C60BA19" w14:textId="77777777" w:rsidR="000C372F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15D02A53" w14:textId="77777777" w:rsidR="000D38ED" w:rsidRPr="000D38ED" w:rsidRDefault="000D38ED" w:rsidP="000D38ED">
      <w:pPr>
        <w:autoSpaceDE w:val="0"/>
        <w:autoSpaceDN w:val="0"/>
        <w:adjustRightInd w:val="0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6DF47270" w14:textId="77777777" w:rsidR="00F90299" w:rsidRPr="00EC4BE9" w:rsidRDefault="000C372F" w:rsidP="004F1E7A">
      <w:pPr>
        <w:keepNext/>
        <w:keepLines/>
        <w:widowControl w:val="0"/>
        <w:spacing w:before="720"/>
        <w:jc w:val="left"/>
        <w:rPr>
          <w:b/>
          <w:smallCaps/>
          <w:color w:val="000000" w:themeColor="text1"/>
        </w:rPr>
      </w:pPr>
      <w:r w:rsidRPr="00EC4BE9">
        <w:rPr>
          <w:b/>
          <w:smallCaps/>
        </w:rPr>
        <w:t>Comp</w:t>
      </w:r>
      <w:r w:rsidR="00F90299" w:rsidRPr="00EC4BE9">
        <w:rPr>
          <w:b/>
          <w:smallCaps/>
        </w:rPr>
        <w:t xml:space="preserve">onentes del </w:t>
      </w:r>
      <w:r w:rsidR="00F90299" w:rsidRPr="00EC4BE9">
        <w:rPr>
          <w:b/>
          <w:smallCaps/>
          <w:color w:val="000000" w:themeColor="text1"/>
        </w:rPr>
        <w:t xml:space="preserve">Índice Nacional de Precios al Consumidor </w:t>
      </w:r>
    </w:p>
    <w:p w14:paraId="55D72D0B" w14:textId="0BAE8836" w:rsidR="000C372F" w:rsidRDefault="00A81C6E" w:rsidP="008602E5">
      <w:pPr>
        <w:autoSpaceDE w:val="0"/>
        <w:autoSpaceDN w:val="0"/>
        <w:adjustRightInd w:val="0"/>
        <w:spacing w:before="240"/>
      </w:pPr>
      <w:r>
        <w:t xml:space="preserve">En </w:t>
      </w:r>
      <w:r w:rsidR="00D074E2">
        <w:t>octu</w:t>
      </w:r>
      <w:r>
        <w:t xml:space="preserve">bre de 2022, la variación </w:t>
      </w:r>
      <w:r w:rsidRPr="00A71198">
        <w:t xml:space="preserve">de los índices subyacente y </w:t>
      </w:r>
      <w:r>
        <w:t>no</w:t>
      </w:r>
      <w:r w:rsidRPr="00A71198">
        <w:t xml:space="preserve"> subyacente fue</w:t>
      </w:r>
      <w:r>
        <w:t xml:space="preserve"> </w:t>
      </w:r>
      <w:r w:rsidRPr="00A71198">
        <w:t>de 0.</w:t>
      </w:r>
      <w:r>
        <w:t>6</w:t>
      </w:r>
      <w:r w:rsidR="00D074E2">
        <w:t>3</w:t>
      </w:r>
      <w:r>
        <w:t xml:space="preserve"> </w:t>
      </w:r>
      <w:r w:rsidRPr="00A71198">
        <w:t>y</w:t>
      </w:r>
      <w:r>
        <w:t xml:space="preserve"> 0.</w:t>
      </w:r>
      <w:r w:rsidR="00D074E2">
        <w:t>38</w:t>
      </w:r>
      <w:r>
        <w:t xml:space="preserve"> %, </w:t>
      </w:r>
      <w:r w:rsidRPr="00A71198">
        <w:t>respectivamente</w:t>
      </w:r>
      <w:r>
        <w:t>. En el mismo mes</w:t>
      </w:r>
      <w:r w:rsidRPr="00A71198">
        <w:t xml:space="preserve"> </w:t>
      </w:r>
      <w:r>
        <w:t xml:space="preserve">de </w:t>
      </w:r>
      <w:r w:rsidRPr="00A71198">
        <w:t>20</w:t>
      </w:r>
      <w:r>
        <w:t>21,</w:t>
      </w:r>
      <w:r w:rsidRPr="00A71198">
        <w:t xml:space="preserve"> </w:t>
      </w:r>
      <w:r w:rsidR="00D074E2">
        <w:t xml:space="preserve">fue de </w:t>
      </w:r>
      <w:r w:rsidR="00D074E2" w:rsidRPr="00A71198">
        <w:t>0.</w:t>
      </w:r>
      <w:r w:rsidR="00D074E2">
        <w:t>49</w:t>
      </w:r>
      <w:r w:rsidR="00D074E2" w:rsidRPr="00A71198">
        <w:t xml:space="preserve"> y </w:t>
      </w:r>
      <w:r w:rsidR="00D074E2">
        <w:t>1.87 por ciento</w:t>
      </w:r>
      <w:r w:rsidR="00691900" w:rsidRPr="00691900">
        <w:t>.</w:t>
      </w:r>
    </w:p>
    <w:p w14:paraId="3AE7F0AA" w14:textId="77777777" w:rsidR="000C372F" w:rsidRPr="0091201A" w:rsidRDefault="000C372F" w:rsidP="00F15E1E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F087249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2155421" w14:textId="191270B1" w:rsidR="000C372F" w:rsidRPr="000C372F" w:rsidRDefault="000C372F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mensual</w:t>
      </w:r>
      <w:r w:rsidRPr="000C372F">
        <w:rPr>
          <w:sz w:val="18"/>
          <w:szCs w:val="18"/>
        </w:rPr>
        <w:t xml:space="preserve"> en </w:t>
      </w:r>
      <w:r w:rsidR="00D074E2">
        <w:rPr>
          <w:sz w:val="18"/>
          <w:szCs w:val="18"/>
        </w:rPr>
        <w:t>octu</w:t>
      </w:r>
      <w:r w:rsidR="00CF5C73">
        <w:rPr>
          <w:sz w:val="18"/>
          <w:szCs w:val="18"/>
        </w:rPr>
        <w:t>bre</w:t>
      </w:r>
      <w:r w:rsidRPr="000C372F">
        <w:rPr>
          <w:sz w:val="18"/>
          <w:szCs w:val="18"/>
        </w:rPr>
        <w:t xml:space="preserve"> de los años que se indican</w:t>
      </w:r>
    </w:p>
    <w:p w14:paraId="77494855" w14:textId="2B7EC41A" w:rsidR="000C372F" w:rsidRPr="006556B1" w:rsidRDefault="00D074E2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3935E9D8" wp14:editId="649D93F2">
            <wp:extent cx="5039346" cy="2880000"/>
            <wp:effectExtent l="0" t="0" r="28575" b="349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168D69F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DFE6169" w14:textId="5123EEB9" w:rsidR="000C372F" w:rsidRPr="00D25428" w:rsidRDefault="00D074E2" w:rsidP="00A81C6E">
      <w:pPr>
        <w:autoSpaceDE w:val="0"/>
        <w:autoSpaceDN w:val="0"/>
        <w:adjustRightInd w:val="0"/>
        <w:spacing w:before="120"/>
        <w:rPr>
          <w:color w:val="000000" w:themeColor="text1"/>
        </w:rPr>
      </w:pPr>
      <w:r w:rsidRPr="00D074E2">
        <w:rPr>
          <w:color w:val="000000" w:themeColor="text1"/>
        </w:rPr>
        <w:t>En octubre de 2022, la variación anual del INPC fue de 8.41</w:t>
      </w:r>
      <w:r>
        <w:rPr>
          <w:color w:val="000000" w:themeColor="text1"/>
        </w:rPr>
        <w:t> </w:t>
      </w:r>
      <w:r w:rsidRPr="00D074E2">
        <w:rPr>
          <w:color w:val="000000" w:themeColor="text1"/>
        </w:rPr>
        <w:t xml:space="preserve">% y la de los índices subyacente y no subyacente fue de 8.42 y 8.36 %, respectivamente. En el mismo periodo del año anterior, el INPC </w:t>
      </w:r>
      <w:r w:rsidR="00C5150A">
        <w:rPr>
          <w:color w:val="000000" w:themeColor="text1"/>
        </w:rPr>
        <w:t>incrementó</w:t>
      </w:r>
      <w:r w:rsidR="00C5150A" w:rsidRPr="00D074E2">
        <w:rPr>
          <w:color w:val="000000" w:themeColor="text1"/>
        </w:rPr>
        <w:t xml:space="preserve"> </w:t>
      </w:r>
      <w:r w:rsidRPr="00D074E2">
        <w:rPr>
          <w:color w:val="000000" w:themeColor="text1"/>
        </w:rPr>
        <w:t>6.24</w:t>
      </w:r>
      <w:r>
        <w:rPr>
          <w:color w:val="000000" w:themeColor="text1"/>
        </w:rPr>
        <w:t> </w:t>
      </w:r>
      <w:r w:rsidRPr="00D074E2">
        <w:rPr>
          <w:color w:val="000000" w:themeColor="text1"/>
        </w:rPr>
        <w:t>% y sus índices componentes, 5.19 y 9.47</w:t>
      </w:r>
      <w:r>
        <w:rPr>
          <w:color w:val="000000" w:themeColor="text1"/>
        </w:rPr>
        <w:t> </w:t>
      </w:r>
      <w:r w:rsidRPr="00D074E2">
        <w:rPr>
          <w:color w:val="000000" w:themeColor="text1"/>
        </w:rPr>
        <w:t>%, en ese orden</w:t>
      </w:r>
      <w:r w:rsidR="000C372F" w:rsidRPr="00D25428">
        <w:rPr>
          <w:color w:val="000000" w:themeColor="text1"/>
        </w:rPr>
        <w:t>.</w:t>
      </w:r>
    </w:p>
    <w:p w14:paraId="62EBD634" w14:textId="77777777" w:rsidR="000C372F" w:rsidRPr="006E094F" w:rsidRDefault="000C372F" w:rsidP="00D074E2">
      <w:pPr>
        <w:pStyle w:val="n01"/>
        <w:keepNext/>
        <w:spacing w:before="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C8579A9" w14:textId="77777777" w:rsidR="000C372F" w:rsidRPr="00FA0577" w:rsidRDefault="005012EA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039AE">
        <w:rPr>
          <w:b/>
          <w:bCs/>
          <w:iCs/>
          <w:smallCaps/>
          <w:color w:val="000000" w:themeColor="text1"/>
          <w:sz w:val="22"/>
          <w:szCs w:val="22"/>
        </w:rPr>
        <w:t>Índice Nacional de Precios al Consumidor</w:t>
      </w:r>
      <w:r w:rsidR="000C372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0C372F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77990A07" w14:textId="77777777" w:rsidR="000C372F" w:rsidRPr="000C372F" w:rsidRDefault="000C372F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4522B33E" w14:textId="07C1E5EF" w:rsidR="000C372F" w:rsidRPr="00A71198" w:rsidRDefault="00D074E2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C5150A">
        <w:rPr>
          <w:noProof/>
          <w:color w:val="003300"/>
        </w:rPr>
        <w:drawing>
          <wp:inline distT="0" distB="0" distL="0" distR="0" wp14:anchorId="349EC6FC" wp14:editId="2E0987B8">
            <wp:extent cx="5040000" cy="2880000"/>
            <wp:effectExtent l="0" t="0" r="27305" b="349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F431F5F" w14:textId="77777777" w:rsidR="000D38ED" w:rsidRPr="000D38ED" w:rsidRDefault="000D38ED" w:rsidP="000D38ED">
      <w:pPr>
        <w:autoSpaceDE w:val="0"/>
        <w:autoSpaceDN w:val="0"/>
        <w:adjustRightInd w:val="0"/>
        <w:ind w:left="882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2D177527" w14:textId="77777777" w:rsidR="000C372F" w:rsidRPr="000C372F" w:rsidRDefault="00BD6157" w:rsidP="00AE3C90">
      <w:pPr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77F61362" w14:textId="77777777" w:rsidR="000C372F" w:rsidRPr="0091201A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36529BFA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A368596" w14:textId="77777777" w:rsidR="000C372F" w:rsidRPr="00FE61FF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38AF9513" w14:textId="4FC63671" w:rsidR="000C372F" w:rsidRPr="00581158" w:rsidRDefault="00D074E2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color w:val="000000"/>
          <w:position w:val="-1"/>
          <w:sz w:val="18"/>
          <w:szCs w:val="20"/>
        </w:rPr>
      </w:pPr>
      <w:r>
        <w:rPr>
          <w:b/>
          <w:bCs/>
          <w:color w:val="000000"/>
          <w:position w:val="-1"/>
          <w:sz w:val="18"/>
          <w:szCs w:val="20"/>
        </w:rPr>
        <w:t>Octu</w:t>
      </w:r>
      <w:r w:rsidR="00B92218">
        <w:rPr>
          <w:b/>
          <w:bCs/>
          <w:color w:val="000000"/>
          <w:position w:val="-1"/>
          <w:sz w:val="18"/>
          <w:szCs w:val="20"/>
        </w:rPr>
        <w:t>bre</w:t>
      </w:r>
      <w:r w:rsidR="000C372F" w:rsidRPr="00581158">
        <w:rPr>
          <w:b/>
          <w:bCs/>
          <w:color w:val="000000"/>
          <w:position w:val="-1"/>
          <w:sz w:val="18"/>
          <w:szCs w:val="20"/>
        </w:rPr>
        <w:t xml:space="preserve"> de 2022</w:t>
      </w:r>
    </w:p>
    <w:p w14:paraId="42F6BB9D" w14:textId="7DAB6719" w:rsidR="000C372F" w:rsidRPr="00A71198" w:rsidRDefault="004F79AF" w:rsidP="00AE3C90">
      <w:pPr>
        <w:autoSpaceDE w:val="0"/>
        <w:autoSpaceDN w:val="0"/>
        <w:adjustRightInd w:val="0"/>
        <w:jc w:val="center"/>
      </w:pPr>
      <w:r w:rsidRPr="004F79AF">
        <w:rPr>
          <w:noProof/>
        </w:rPr>
        <w:drawing>
          <wp:inline distT="0" distB="0" distL="0" distR="0" wp14:anchorId="08422327" wp14:editId="637D6DCE">
            <wp:extent cx="5972810" cy="1704340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5B57" w14:textId="05295055" w:rsidR="000C372F" w:rsidRDefault="000C372F" w:rsidP="00AE3C9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1CFB9171" w14:textId="16DBB088" w:rsidR="004F79AF" w:rsidRDefault="004F79AF" w:rsidP="00AE3C9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>
        <w:rPr>
          <w:sz w:val="18"/>
          <w:szCs w:val="16"/>
          <w:vertAlign w:val="superscript"/>
        </w:rPr>
        <w:t>2</w:t>
      </w:r>
      <w:r w:rsidRPr="00204508">
        <w:rPr>
          <w:sz w:val="18"/>
          <w:szCs w:val="16"/>
          <w:vertAlign w:val="superscript"/>
        </w:rPr>
        <w:t>/</w:t>
      </w:r>
      <w:r w:rsidRPr="00204508">
        <w:rPr>
          <w:sz w:val="18"/>
          <w:szCs w:val="16"/>
          <w:vertAlign w:val="superscript"/>
        </w:rPr>
        <w:tab/>
      </w:r>
      <w:r w:rsidRPr="004F79AF">
        <w:rPr>
          <w:sz w:val="16"/>
          <w:szCs w:val="16"/>
        </w:rPr>
        <w:t>El programa de tarifas eléctricas de temporada cálida termino su periodo de vigencia durante octubre en las siguientes ciudades: Mérida, Monterrey, Acapulco,</w:t>
      </w:r>
      <w:r>
        <w:rPr>
          <w:sz w:val="16"/>
          <w:szCs w:val="16"/>
        </w:rPr>
        <w:t xml:space="preserve"> </w:t>
      </w:r>
      <w:r w:rsidRPr="004F79AF">
        <w:rPr>
          <w:sz w:val="16"/>
          <w:szCs w:val="16"/>
        </w:rPr>
        <w:t>Torreón, Veracruz, Villahermosa, Tampico, Monclova, Chetumal, Iguala, Tepic, San Andrés Tuxtla, Campeche, Tehuantepec, Cd. Acuña, Cancún, Coatzacoalcos y Tuxtla Gutiérrez.</w:t>
      </w:r>
    </w:p>
    <w:p w14:paraId="2024E243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208ED05" w14:textId="563D0CBA" w:rsidR="000C372F" w:rsidRDefault="00BD6157" w:rsidP="00AE3C90">
      <w:pPr>
        <w:autoSpaceDE w:val="0"/>
        <w:autoSpaceDN w:val="0"/>
        <w:adjustRightInd w:val="0"/>
        <w:spacing w:before="480"/>
      </w:pPr>
      <w:r>
        <w:t xml:space="preserve">En los siguientes cuadros se muestran las entidades federativas y ciudades en las que </w:t>
      </w:r>
      <w:r w:rsidR="00505F90">
        <w:t>el INPC</w:t>
      </w:r>
      <w:r>
        <w:t xml:space="preserve"> alcanzó las mayores y menores variaciones </w:t>
      </w:r>
      <w:r w:rsidR="00D4046C">
        <w:t xml:space="preserve">en </w:t>
      </w:r>
      <w:r w:rsidR="002938E4">
        <w:t>octu</w:t>
      </w:r>
      <w:r w:rsidR="00D4046C">
        <w:t>bre</w:t>
      </w:r>
      <w:r>
        <w:t xml:space="preserve"> de 2022</w:t>
      </w:r>
      <w:r w:rsidR="000C372F">
        <w:t>.</w:t>
      </w:r>
    </w:p>
    <w:p w14:paraId="6B79B9FF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7E15C08" w14:textId="77777777" w:rsidR="000C372F" w:rsidRPr="00704894" w:rsidRDefault="000C372F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5B946410" w14:textId="77777777" w:rsidR="000C372F" w:rsidRPr="00704894" w:rsidRDefault="000C372F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66CFACC0" w14:textId="59E39714" w:rsidR="000C372F" w:rsidRPr="00581158" w:rsidRDefault="00D074E2" w:rsidP="00AE3C9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 w:themeColor="text1"/>
          <w:spacing w:val="1"/>
          <w:sz w:val="18"/>
          <w:szCs w:val="20"/>
        </w:rPr>
      </w:pPr>
      <w:r>
        <w:rPr>
          <w:b/>
          <w:color w:val="000000" w:themeColor="text1"/>
          <w:spacing w:val="1"/>
          <w:sz w:val="18"/>
          <w:szCs w:val="20"/>
        </w:rPr>
        <w:t>Octu</w:t>
      </w:r>
      <w:r w:rsidR="00B92218">
        <w:rPr>
          <w:b/>
          <w:color w:val="000000" w:themeColor="text1"/>
          <w:spacing w:val="1"/>
          <w:sz w:val="18"/>
          <w:szCs w:val="20"/>
        </w:rPr>
        <w:t>bre</w:t>
      </w:r>
      <w:r w:rsidR="000C372F" w:rsidRPr="00581158">
        <w:rPr>
          <w:b/>
          <w:color w:val="000000" w:themeColor="text1"/>
          <w:spacing w:val="1"/>
          <w:sz w:val="18"/>
          <w:szCs w:val="20"/>
        </w:rPr>
        <w:t xml:space="preserve"> de 2022</w:t>
      </w:r>
    </w:p>
    <w:p w14:paraId="48233404" w14:textId="3E73C15A" w:rsidR="000C372F" w:rsidRPr="00C16680" w:rsidRDefault="004F79AF" w:rsidP="00AE3C90">
      <w:pPr>
        <w:autoSpaceDE w:val="0"/>
        <w:autoSpaceDN w:val="0"/>
        <w:adjustRightInd w:val="0"/>
        <w:jc w:val="center"/>
      </w:pPr>
      <w:r w:rsidRPr="004F79AF">
        <w:rPr>
          <w:noProof/>
        </w:rPr>
        <w:drawing>
          <wp:inline distT="0" distB="0" distL="0" distR="0" wp14:anchorId="35553B03" wp14:editId="7AE0B8CF">
            <wp:extent cx="5972810" cy="1169670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575F" w14:textId="77777777" w:rsidR="000C372F" w:rsidRDefault="000C372F" w:rsidP="00AE3C9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B1789CA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310DDFA7" w14:textId="77777777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7C49D844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7FA974C" w14:textId="77777777" w:rsidR="000C372F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238B1C59" w14:textId="649C8042" w:rsidR="000C372F" w:rsidRPr="00581158" w:rsidRDefault="00D074E2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color w:val="000000" w:themeColor="text1"/>
          <w:spacing w:val="1"/>
          <w:sz w:val="18"/>
          <w:szCs w:val="20"/>
        </w:rPr>
      </w:pPr>
      <w:r>
        <w:rPr>
          <w:b/>
          <w:color w:val="000000" w:themeColor="text1"/>
          <w:spacing w:val="1"/>
          <w:sz w:val="18"/>
          <w:szCs w:val="20"/>
        </w:rPr>
        <w:t>Octu</w:t>
      </w:r>
      <w:r w:rsidR="00B92218">
        <w:rPr>
          <w:b/>
          <w:color w:val="000000" w:themeColor="text1"/>
          <w:spacing w:val="1"/>
          <w:sz w:val="18"/>
          <w:szCs w:val="20"/>
        </w:rPr>
        <w:t>bre</w:t>
      </w:r>
      <w:r w:rsidR="00596C1C" w:rsidRPr="00581158">
        <w:rPr>
          <w:b/>
          <w:color w:val="000000" w:themeColor="text1"/>
          <w:spacing w:val="1"/>
          <w:sz w:val="18"/>
          <w:szCs w:val="20"/>
        </w:rPr>
        <w:t xml:space="preserve"> de</w:t>
      </w:r>
      <w:r w:rsidR="000C372F" w:rsidRPr="00581158">
        <w:rPr>
          <w:b/>
          <w:color w:val="000000" w:themeColor="text1"/>
          <w:spacing w:val="1"/>
          <w:sz w:val="18"/>
          <w:szCs w:val="20"/>
        </w:rPr>
        <w:t xml:space="preserve"> 2022</w:t>
      </w:r>
    </w:p>
    <w:p w14:paraId="2ACB3EBA" w14:textId="29119200" w:rsidR="000C372F" w:rsidRPr="0052734B" w:rsidRDefault="00F57339" w:rsidP="00E8372A">
      <w:pPr>
        <w:keepNext/>
        <w:keepLines/>
        <w:autoSpaceDE w:val="0"/>
        <w:autoSpaceDN w:val="0"/>
        <w:adjustRightInd w:val="0"/>
        <w:jc w:val="center"/>
      </w:pPr>
      <w:r w:rsidRPr="00F57339">
        <w:rPr>
          <w:noProof/>
        </w:rPr>
        <w:drawing>
          <wp:inline distT="0" distB="0" distL="0" distR="0" wp14:anchorId="60B3F242" wp14:editId="57659923">
            <wp:extent cx="5972810" cy="1906905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287B" w14:textId="77777777" w:rsidR="000C372F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6947D863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044548C7" w14:textId="6A3F1EBE" w:rsidR="000C372F" w:rsidRDefault="00CF15E9" w:rsidP="00AE3C90">
      <w:pPr>
        <w:widowControl w:val="0"/>
        <w:autoSpaceDE w:val="0"/>
        <w:autoSpaceDN w:val="0"/>
        <w:adjustRightInd w:val="0"/>
        <w:spacing w:before="240"/>
      </w:pPr>
      <w:r>
        <w:t>P</w:t>
      </w:r>
      <w:r w:rsidR="00C35BD7">
        <w:t xml:space="preserve">ara </w:t>
      </w:r>
      <w:r w:rsidR="002938E4">
        <w:t>octu</w:t>
      </w:r>
      <w:r w:rsidR="00B92218">
        <w:t>bre</w:t>
      </w:r>
      <w:r w:rsidR="00C35BD7">
        <w:t xml:space="preserve"> de 2022, </w:t>
      </w:r>
      <w:r w:rsidR="00BD6157" w:rsidRPr="005D3641">
        <w:t>se muestra</w:t>
      </w:r>
      <w:r w:rsidR="00BD6157">
        <w:t xml:space="preserve"> el comportamiento de los subíndices que integran </w:t>
      </w:r>
      <w:r w:rsidR="00E26BCC">
        <w:t>e</w:t>
      </w:r>
      <w:r w:rsidR="00BD6157">
        <w:t xml:space="preserve">l </w:t>
      </w:r>
      <w:r w:rsidR="00BD6157" w:rsidRPr="005D3641">
        <w:t>INPC</w:t>
      </w:r>
      <w:r w:rsidR="00BD6157">
        <w:t>, según</w:t>
      </w:r>
      <w:r w:rsidR="00BD6157" w:rsidRPr="005D3641">
        <w:t xml:space="preserve"> la Clasificación del Consumo Individual por Finalidades (CCIF)</w:t>
      </w:r>
      <w:r w:rsidR="00BD6157" w:rsidRPr="00A71198">
        <w:rPr>
          <w:vertAlign w:val="superscript"/>
        </w:rPr>
        <w:footnoteReference w:id="2"/>
      </w:r>
      <w:r w:rsidR="00BD6157" w:rsidRPr="005D3641">
        <w:t xml:space="preserve"> utilizada internacionalmente para los índices de</w:t>
      </w:r>
      <w:r w:rsidR="00BD6157">
        <w:t xml:space="preserve"> precios al </w:t>
      </w:r>
      <w:r w:rsidR="00BD6157" w:rsidRPr="00A71198">
        <w:t>consumidor</w:t>
      </w:r>
      <w:r w:rsidR="00AC32EA">
        <w:t>.</w:t>
      </w:r>
    </w:p>
    <w:p w14:paraId="7105A29A" w14:textId="77777777" w:rsidR="000C372F" w:rsidRPr="003C74AD" w:rsidRDefault="000C372F" w:rsidP="00AE3C90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03BE383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493CBEB" w14:textId="77777777" w:rsidR="00E671DE" w:rsidRPr="002660A9" w:rsidRDefault="00E671DE" w:rsidP="00AE3C90">
      <w:pPr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0502BA1D" w14:textId="77777777" w:rsidR="000C372F" w:rsidRPr="00E671DE" w:rsidRDefault="000C372F" w:rsidP="00AE3C90">
      <w:pPr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54AA8DCF" w14:textId="7B49CC68" w:rsidR="000C372F" w:rsidRPr="00A71198" w:rsidRDefault="00F57339" w:rsidP="00AE3C90">
      <w:pPr>
        <w:autoSpaceDE w:val="0"/>
        <w:autoSpaceDN w:val="0"/>
        <w:adjustRightInd w:val="0"/>
        <w:jc w:val="center"/>
      </w:pPr>
      <w:r w:rsidRPr="00F57339">
        <w:rPr>
          <w:noProof/>
        </w:rPr>
        <w:drawing>
          <wp:inline distT="0" distB="0" distL="0" distR="0" wp14:anchorId="6898A2E4" wp14:editId="237AEEC5">
            <wp:extent cx="5972810" cy="2675890"/>
            <wp:effectExtent l="0" t="0" r="889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F0EBB" w14:textId="77777777" w:rsidR="00E671DE" w:rsidRPr="004B7B53" w:rsidRDefault="00E671DE" w:rsidP="00AE3C9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4B7B53">
        <w:rPr>
          <w:sz w:val="16"/>
          <w:szCs w:val="16"/>
        </w:rPr>
        <w:t>.</w:t>
      </w:r>
    </w:p>
    <w:p w14:paraId="12B4E165" w14:textId="77777777" w:rsidR="000D38ED" w:rsidRPr="000D38ED" w:rsidRDefault="000D38ED" w:rsidP="000D38ED">
      <w:pPr>
        <w:autoSpaceDE w:val="0"/>
        <w:autoSpaceDN w:val="0"/>
        <w:adjustRightInd w:val="0"/>
        <w:spacing w:line="276" w:lineRule="auto"/>
        <w:ind w:left="283" w:right="113" w:hanging="170"/>
        <w:rPr>
          <w:color w:val="000000" w:themeColor="text1"/>
          <w:sz w:val="16"/>
        </w:rPr>
      </w:pPr>
      <w:r w:rsidRPr="000D38ED">
        <w:rPr>
          <w:color w:val="000000" w:themeColor="text1"/>
          <w:sz w:val="16"/>
        </w:rPr>
        <w:t>Fuente: INEGI</w:t>
      </w:r>
    </w:p>
    <w:p w14:paraId="4037A1C7" w14:textId="47BA7B77" w:rsidR="00512134" w:rsidRPr="00512134" w:rsidRDefault="00B44AC2" w:rsidP="00AE3C90">
      <w:pPr>
        <w:keepNext/>
        <w:autoSpaceDE w:val="0"/>
        <w:autoSpaceDN w:val="0"/>
        <w:adjustRightInd w:val="0"/>
        <w:rPr>
          <w:color w:val="000000" w:themeColor="text1"/>
        </w:rPr>
      </w:pPr>
      <w:r w:rsidRPr="00743497">
        <w:rPr>
          <w:color w:val="000000" w:themeColor="text1"/>
        </w:rPr>
        <w:lastRenderedPageBreak/>
        <w:t>En la prim</w:t>
      </w:r>
      <w:r>
        <w:rPr>
          <w:color w:val="000000" w:themeColor="text1"/>
        </w:rPr>
        <w:t xml:space="preserve">era y segunda quincena de </w:t>
      </w:r>
      <w:r w:rsidR="002938E4">
        <w:rPr>
          <w:color w:val="000000" w:themeColor="text1"/>
        </w:rPr>
        <w:t>octu</w:t>
      </w:r>
      <w:r>
        <w:rPr>
          <w:color w:val="000000" w:themeColor="text1"/>
        </w:rPr>
        <w:t>bre</w:t>
      </w:r>
      <w:r w:rsidRPr="00743497">
        <w:rPr>
          <w:color w:val="000000" w:themeColor="text1"/>
        </w:rPr>
        <w:t xml:space="preserve"> de 2022, el INPC registró niveles de </w:t>
      </w:r>
      <w:r w:rsidR="002938E4" w:rsidRPr="00743497">
        <w:rPr>
          <w:color w:val="000000" w:themeColor="text1"/>
        </w:rPr>
        <w:t>1</w:t>
      </w:r>
      <w:r w:rsidR="002938E4">
        <w:rPr>
          <w:color w:val="000000" w:themeColor="text1"/>
        </w:rPr>
        <w:t xml:space="preserve">25.182 </w:t>
      </w:r>
      <w:r w:rsidR="002938E4" w:rsidRPr="00743497">
        <w:rPr>
          <w:color w:val="000000" w:themeColor="text1"/>
        </w:rPr>
        <w:t>y 1</w:t>
      </w:r>
      <w:r w:rsidR="002938E4">
        <w:rPr>
          <w:color w:val="000000" w:themeColor="text1"/>
        </w:rPr>
        <w:t>25.371</w:t>
      </w:r>
      <w:r w:rsidRPr="00743497">
        <w:rPr>
          <w:color w:val="000000" w:themeColor="text1"/>
        </w:rPr>
        <w:t xml:space="preserve">, respectivamente. Esto implicó </w:t>
      </w:r>
      <w:r>
        <w:rPr>
          <w:color w:val="000000" w:themeColor="text1"/>
        </w:rPr>
        <w:t>un crecimiento quincenal de 0.1</w:t>
      </w:r>
      <w:r w:rsidR="002938E4">
        <w:rPr>
          <w:color w:val="000000" w:themeColor="text1"/>
        </w:rPr>
        <w:t>5</w:t>
      </w:r>
      <w:r w:rsidR="003E4698">
        <w:rPr>
          <w:color w:val="000000" w:themeColor="text1"/>
        </w:rPr>
        <w:t> </w:t>
      </w:r>
      <w:r>
        <w:rPr>
          <w:color w:val="000000" w:themeColor="text1"/>
        </w:rPr>
        <w:t>por</w:t>
      </w:r>
      <w:r w:rsidR="003E4698">
        <w:rPr>
          <w:color w:val="000000" w:themeColor="text1"/>
        </w:rPr>
        <w:t> </w:t>
      </w:r>
      <w:r>
        <w:rPr>
          <w:color w:val="000000" w:themeColor="text1"/>
        </w:rPr>
        <w:t>ciento</w:t>
      </w:r>
      <w:r w:rsidR="00512134" w:rsidRPr="00512134">
        <w:rPr>
          <w:color w:val="000000" w:themeColor="text1"/>
        </w:rPr>
        <w:t>.</w:t>
      </w:r>
    </w:p>
    <w:p w14:paraId="31463113" w14:textId="4B963FE8" w:rsidR="00BF7DA3" w:rsidRDefault="00BC6EF4" w:rsidP="00AE3C90">
      <w:pPr>
        <w:keepNext/>
        <w:autoSpaceDE w:val="0"/>
        <w:autoSpaceDN w:val="0"/>
        <w:adjustRightInd w:val="0"/>
        <w:spacing w:before="240"/>
        <w:rPr>
          <w:color w:val="000000" w:themeColor="text1"/>
        </w:rPr>
      </w:pPr>
      <w:r w:rsidRPr="00BC6EF4">
        <w:rPr>
          <w:color w:val="000000" w:themeColor="text1"/>
        </w:rPr>
        <w:t>Por último, el Índice de Precios de la Canasta de Consumo Mínimo</w:t>
      </w:r>
      <w:r w:rsidR="00932DC0">
        <w:rPr>
          <w:color w:val="000000" w:themeColor="text1"/>
        </w:rPr>
        <w:t xml:space="preserve"> (IPCCM)</w:t>
      </w:r>
      <w:r w:rsidRPr="00BC6EF4">
        <w:rPr>
          <w:color w:val="000000" w:themeColor="text1"/>
          <w:vertAlign w:val="superscript"/>
        </w:rPr>
        <w:footnoteReference w:id="3"/>
      </w:r>
      <w:r w:rsidRPr="00BC6EF4">
        <w:rPr>
          <w:color w:val="000000" w:themeColor="text1"/>
        </w:rPr>
        <w:t xml:space="preserve"> </w:t>
      </w:r>
      <w:r w:rsidR="00B44AC2">
        <w:rPr>
          <w:color w:val="000000" w:themeColor="text1"/>
        </w:rPr>
        <w:t>tuvo una variación mensual de</w:t>
      </w:r>
      <w:r w:rsidR="00B44AC2" w:rsidRPr="00AF5DD6">
        <w:rPr>
          <w:color w:val="000000" w:themeColor="text1"/>
        </w:rPr>
        <w:t xml:space="preserve"> </w:t>
      </w:r>
      <w:r w:rsidR="002938E4">
        <w:rPr>
          <w:color w:val="000000" w:themeColor="text1"/>
        </w:rPr>
        <w:t>0.50 % y anual de 9.09 por ciento. E</w:t>
      </w:r>
      <w:r w:rsidR="002938E4" w:rsidRPr="00AF5DD6">
        <w:rPr>
          <w:color w:val="000000" w:themeColor="text1"/>
        </w:rPr>
        <w:t xml:space="preserve">n el mismo </w:t>
      </w:r>
      <w:r w:rsidR="002938E4">
        <w:rPr>
          <w:color w:val="000000" w:themeColor="text1"/>
        </w:rPr>
        <w:t xml:space="preserve">periodo </w:t>
      </w:r>
      <w:r w:rsidR="002938E4" w:rsidRPr="00AF5DD6">
        <w:rPr>
          <w:color w:val="000000" w:themeColor="text1"/>
        </w:rPr>
        <w:t>de 20</w:t>
      </w:r>
      <w:r w:rsidR="002938E4">
        <w:rPr>
          <w:color w:val="000000" w:themeColor="text1"/>
        </w:rPr>
        <w:t>21,</w:t>
      </w:r>
      <w:r w:rsidR="002938E4" w:rsidRPr="00AF5DD6">
        <w:rPr>
          <w:color w:val="000000" w:themeColor="text1"/>
        </w:rPr>
        <w:t xml:space="preserve"> </w:t>
      </w:r>
      <w:r w:rsidR="002938E4" w:rsidRPr="00B72438">
        <w:rPr>
          <w:color w:val="000000" w:themeColor="text1"/>
        </w:rPr>
        <w:t>las cifras</w:t>
      </w:r>
      <w:r w:rsidR="002938E4">
        <w:rPr>
          <w:color w:val="000000" w:themeColor="text1"/>
        </w:rPr>
        <w:t xml:space="preserve"> correspondientes fueron de 0.97</w:t>
      </w:r>
      <w:r w:rsidR="002938E4" w:rsidRPr="00AF5DD6">
        <w:rPr>
          <w:color w:val="000000" w:themeColor="text1"/>
        </w:rPr>
        <w:t xml:space="preserve"> y</w:t>
      </w:r>
      <w:r w:rsidR="002938E4">
        <w:rPr>
          <w:color w:val="000000" w:themeColor="text1"/>
        </w:rPr>
        <w:t xml:space="preserve"> 7.15 %, en ese orden</w:t>
      </w:r>
      <w:r w:rsidR="000C372F" w:rsidRPr="00B72438">
        <w:rPr>
          <w:color w:val="000000" w:themeColor="text1"/>
        </w:rPr>
        <w:t>.</w:t>
      </w:r>
    </w:p>
    <w:p w14:paraId="6CD58150" w14:textId="77777777" w:rsidR="00624F11" w:rsidRPr="00294C3A" w:rsidRDefault="00624F11" w:rsidP="000D38ED">
      <w:pPr>
        <w:keepNext/>
        <w:widowControl w:val="0"/>
        <w:autoSpaceDE w:val="0"/>
        <w:autoSpaceDN w:val="0"/>
        <w:adjustRightInd w:val="0"/>
        <w:spacing w:before="480"/>
        <w:rPr>
          <w:b/>
        </w:rPr>
      </w:pPr>
      <w:r w:rsidRPr="00294C3A">
        <w:rPr>
          <w:b/>
        </w:rPr>
        <w:t>Nota metodológica</w:t>
      </w:r>
    </w:p>
    <w:p w14:paraId="55CECAFA" w14:textId="77777777" w:rsidR="00C35BD7" w:rsidRPr="00A16DEB" w:rsidRDefault="00C35BD7" w:rsidP="00AE3C90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F81FAC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00A16DEB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AC32EA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794DCED4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39049E71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013F1F9C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 xml:space="preserve">la segunda quincena de julio de 2018=100. A partir de este se comparan los precios, por lo que se </w:t>
      </w:r>
      <w:r w:rsidR="00AC32EA" w:rsidRPr="00A16DEB">
        <w:rPr>
          <w:color w:val="000000" w:themeColor="text1"/>
          <w:sz w:val="24"/>
          <w:szCs w:val="24"/>
          <w:lang w:val="es-ES_tradnl"/>
        </w:rPr>
        <w:t>l</w:t>
      </w:r>
      <w:r w:rsidR="00AC32EA">
        <w:rPr>
          <w:color w:val="000000" w:themeColor="text1"/>
          <w:sz w:val="24"/>
          <w:szCs w:val="24"/>
          <w:lang w:val="es-ES_tradnl"/>
        </w:rPr>
        <w:t>o</w:t>
      </w:r>
      <w:r w:rsidR="00AC32EA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denomina </w:t>
      </w:r>
      <w:r w:rsidRPr="00581158">
        <w:rPr>
          <w:i/>
          <w:iCs/>
          <w:color w:val="000000" w:themeColor="text1"/>
          <w:sz w:val="24"/>
          <w:szCs w:val="24"/>
          <w:lang w:val="es-ES_tradnl"/>
        </w:rPr>
        <w:t>periodo base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6DAC4CE1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60E5033" w14:textId="77777777" w:rsidR="00C35BD7" w:rsidRPr="00A16DEB" w:rsidRDefault="00C35BD7" w:rsidP="000D38ED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6E27684D" w14:textId="77777777" w:rsidR="00C35BD7" w:rsidRPr="008F75CD" w:rsidRDefault="00C35BD7" w:rsidP="000D38ED">
      <w:pPr>
        <w:pStyle w:val="Texto"/>
        <w:keepNext/>
        <w:keepLines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lastRenderedPageBreak/>
        <w:t>Estructura de ponderación</w:t>
      </w:r>
    </w:p>
    <w:p w14:paraId="78D93F84" w14:textId="77777777" w:rsidR="00C35BD7" w:rsidRPr="00A16DEB" w:rsidRDefault="00C35BD7" w:rsidP="000D38ED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904866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 por ciento.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AC32EA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41669A5F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Muestreo de puntos de venta </w:t>
      </w:r>
    </w:p>
    <w:p w14:paraId="183D0C40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</w:t>
      </w:r>
      <w:r w:rsidR="00E57743">
        <w:rPr>
          <w:color w:val="000000"/>
          <w:sz w:val="24"/>
          <w:szCs w:val="24"/>
        </w:rPr>
        <w:t xml:space="preserve">las y </w:t>
      </w:r>
      <w:r w:rsidRPr="00A16DEB">
        <w:rPr>
          <w:color w:val="000000"/>
          <w:sz w:val="24"/>
          <w:szCs w:val="24"/>
        </w:rPr>
        <w:t xml:space="preserve">los investigadores de precios cotizan </w:t>
      </w:r>
      <w:r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incluye 299 productos genéricos</w:t>
      </w:r>
      <w:r w:rsidR="0046169F">
        <w:rPr>
          <w:color w:val="000000"/>
          <w:sz w:val="24"/>
          <w:szCs w:val="24"/>
        </w:rPr>
        <w:t>. D</w:t>
      </w:r>
      <w:r>
        <w:rPr>
          <w:color w:val="000000"/>
          <w:sz w:val="24"/>
          <w:szCs w:val="24"/>
        </w:rPr>
        <w:t xml:space="preserve">e </w:t>
      </w:r>
      <w:r w:rsidR="0046169F">
        <w:rPr>
          <w:color w:val="000000"/>
          <w:sz w:val="24"/>
          <w:szCs w:val="24"/>
        </w:rPr>
        <w:t>esto</w:t>
      </w:r>
      <w:r>
        <w:rPr>
          <w:color w:val="000000"/>
          <w:sz w:val="24"/>
          <w:szCs w:val="24"/>
        </w:rPr>
        <w:t>s</w:t>
      </w:r>
      <w:r w:rsidR="003827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se seleccionaron 248 </w:t>
      </w:r>
      <w:r w:rsidR="0046169F">
        <w:rPr>
          <w:color w:val="000000"/>
          <w:sz w:val="24"/>
          <w:szCs w:val="24"/>
        </w:rPr>
        <w:t>mediante</w:t>
      </w:r>
      <w:r w:rsidRPr="00A16DEB">
        <w:rPr>
          <w:color w:val="000000"/>
          <w:sz w:val="24"/>
          <w:szCs w:val="24"/>
        </w:rPr>
        <w:t xml:space="preserve"> un </w:t>
      </w:r>
      <w:r w:rsidRPr="00A16DEB">
        <w:rPr>
          <w:sz w:val="24"/>
          <w:szCs w:val="24"/>
          <w:lang w:val="es-ES_tradnl"/>
        </w:rPr>
        <w:t>muestreo probabilístico</w:t>
      </w:r>
      <w:r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790BAFA4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505E0FDA" w14:textId="2107AEBB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>
        <w:rPr>
          <w:sz w:val="24"/>
          <w:szCs w:val="24"/>
          <w:lang w:val="es-ES_tradnl"/>
        </w:rPr>
        <w:t>Cada quincena se</w:t>
      </w:r>
      <w:r w:rsidR="009E3E43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cotizan,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12120B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4392FFF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7972F53B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y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4A36C95A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32D75158" w14:textId="428D079D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 xml:space="preserve">, o el día hábil anterior en caso de que estas fechas sean sábado, domingo o día festivo. El día 25 de cada mes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 xml:space="preserve">nstituto </w:t>
      </w:r>
      <w:r w:rsidR="00AC32EA" w:rsidRPr="00A16DEB">
        <w:rPr>
          <w:sz w:val="24"/>
          <w:szCs w:val="24"/>
        </w:rPr>
        <w:t>N</w:t>
      </w:r>
      <w:r w:rsidR="00AC32EA">
        <w:rPr>
          <w:sz w:val="24"/>
          <w:szCs w:val="24"/>
        </w:rPr>
        <w:t xml:space="preserve">acional de </w:t>
      </w:r>
      <w:r w:rsidR="00AC32EA" w:rsidRPr="00A16DEB">
        <w:rPr>
          <w:sz w:val="24"/>
          <w:szCs w:val="24"/>
        </w:rPr>
        <w:t>E</w:t>
      </w:r>
      <w:r w:rsidR="00AC32EA">
        <w:rPr>
          <w:sz w:val="24"/>
          <w:szCs w:val="24"/>
        </w:rPr>
        <w:t xml:space="preserve">stadística y </w:t>
      </w:r>
      <w:r w:rsidR="00AC32EA" w:rsidRPr="00A16DEB">
        <w:rPr>
          <w:sz w:val="24"/>
          <w:szCs w:val="24"/>
        </w:rPr>
        <w:t>G</w:t>
      </w:r>
      <w:r w:rsidR="00AC32EA">
        <w:rPr>
          <w:sz w:val="24"/>
          <w:szCs w:val="24"/>
        </w:rPr>
        <w:t>eografía (</w:t>
      </w:r>
      <w:r w:rsidR="00AC32EA" w:rsidRPr="00A16DEB">
        <w:rPr>
          <w:sz w:val="24"/>
          <w:szCs w:val="24"/>
        </w:rPr>
        <w:t>I</w:t>
      </w:r>
      <w:r w:rsidR="00AC32EA">
        <w:rPr>
          <w:sz w:val="24"/>
          <w:szCs w:val="24"/>
        </w:rPr>
        <w:t>NEGI)</w:t>
      </w:r>
      <w:r w:rsidR="00AC32EA" w:rsidRPr="00A16DEB">
        <w:rPr>
          <w:sz w:val="24"/>
          <w:szCs w:val="24"/>
        </w:rPr>
        <w:t xml:space="preserve"> </w:t>
      </w:r>
      <w:r w:rsidRPr="00A16DEB">
        <w:rPr>
          <w:sz w:val="24"/>
          <w:szCs w:val="24"/>
        </w:rPr>
        <w:t xml:space="preserve">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9587A09" w14:textId="77777777" w:rsidR="00C35BD7" w:rsidRPr="0047679A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</w:rPr>
      </w:pPr>
      <w:r w:rsidRPr="0047679A">
        <w:rPr>
          <w:b/>
        </w:rPr>
        <w:lastRenderedPageBreak/>
        <w:t>Herramientas de análisis</w:t>
      </w:r>
    </w:p>
    <w:p w14:paraId="224E4F50" w14:textId="1EDAE730" w:rsidR="0044476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="0012120B">
        <w:rPr>
          <w:spacing w:val="-2"/>
          <w:sz w:val="24"/>
          <w:szCs w:val="24"/>
        </w:rPr>
        <w:t>página</w:t>
      </w:r>
      <w:r w:rsidRPr="000D36BF">
        <w:rPr>
          <w:spacing w:val="-2"/>
          <w:sz w:val="24"/>
          <w:szCs w:val="24"/>
        </w:rPr>
        <w:t>:</w:t>
      </w:r>
    </w:p>
    <w:p w14:paraId="314571B3" w14:textId="77777777" w:rsidR="00C35BD7" w:rsidRPr="00636E0F" w:rsidRDefault="002169A8" w:rsidP="00444768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30" w:anchor="Herramientas" w:history="1">
        <w:r w:rsidR="00C35BD7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5027BE5D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 en un intervalo. Calcula dos tipos de tasas de inflación porcentuales: la implícita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FBEC390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</w:t>
      </w:r>
      <w:r w:rsidR="00EE58E5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9C165A">
        <w:rPr>
          <w:sz w:val="24"/>
          <w:szCs w:val="24"/>
        </w:rPr>
        <w:t xml:space="preserve">ocho </w:t>
      </w:r>
      <w:r w:rsidRPr="00636E0F">
        <w:rPr>
          <w:sz w:val="24"/>
          <w:szCs w:val="24"/>
        </w:rPr>
        <w:t>grupos y 36 subgrupos, así como las variaciones en los precios de los</w:t>
      </w:r>
      <w:r w:rsidR="0004426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mismos.</w:t>
      </w:r>
    </w:p>
    <w:p w14:paraId="7461339E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5006191A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14FDD915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 xml:space="preserve">los </w:t>
      </w:r>
      <w:r w:rsidR="005476DA">
        <w:rPr>
          <w:sz w:val="24"/>
          <w:szCs w:val="24"/>
        </w:rPr>
        <w:t>í</w:t>
      </w:r>
      <w:r w:rsidRPr="00636E0F">
        <w:rPr>
          <w:sz w:val="24"/>
          <w:szCs w:val="24"/>
        </w:rPr>
        <w:t xml:space="preserve">ndices de </w:t>
      </w:r>
      <w:r w:rsidR="005476DA">
        <w:rPr>
          <w:sz w:val="24"/>
          <w:szCs w:val="24"/>
        </w:rPr>
        <w:t>p</w:t>
      </w:r>
      <w:r w:rsidRPr="00636E0F">
        <w:rPr>
          <w:sz w:val="24"/>
          <w:szCs w:val="24"/>
        </w:rPr>
        <w:t>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697DBDEA" w14:textId="77777777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17EB9832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43A7601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3387E65E" wp14:editId="7F9D6C00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52734B">
      <w:headerReference w:type="default" r:id="rId32"/>
      <w:footerReference w:type="default" r:id="rId33"/>
      <w:pgSz w:w="12242" w:h="15842" w:code="119"/>
      <w:pgMar w:top="2495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427F" w14:textId="77777777" w:rsidR="002169A8" w:rsidRDefault="002169A8">
      <w:r>
        <w:separator/>
      </w:r>
    </w:p>
  </w:endnote>
  <w:endnote w:type="continuationSeparator" w:id="0">
    <w:p w14:paraId="0268D77F" w14:textId="77777777" w:rsidR="002169A8" w:rsidRDefault="0021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1EBD5" w14:textId="77777777" w:rsidR="0068430F" w:rsidRPr="00975B1E" w:rsidRDefault="0068430F" w:rsidP="006C6C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723112FB" w14:textId="77777777" w:rsidR="0068430F" w:rsidRPr="007B4B63" w:rsidRDefault="0068430F" w:rsidP="006C6CF0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6626" w14:textId="77777777" w:rsidR="003B5757" w:rsidRPr="00B32D8B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B32D8B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CE8E2" w14:textId="77777777" w:rsidR="002169A8" w:rsidRDefault="002169A8">
      <w:r>
        <w:separator/>
      </w:r>
    </w:p>
  </w:footnote>
  <w:footnote w:type="continuationSeparator" w:id="0">
    <w:p w14:paraId="087212BE" w14:textId="77777777" w:rsidR="002169A8" w:rsidRDefault="002169A8">
      <w:r>
        <w:continuationSeparator/>
      </w:r>
    </w:p>
  </w:footnote>
  <w:footnote w:id="1">
    <w:p w14:paraId="0ADF1F71" w14:textId="77777777" w:rsidR="0068430F" w:rsidRDefault="0068430F" w:rsidP="00A30BDF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</w:t>
      </w:r>
      <w:r>
        <w:rPr>
          <w:color w:val="000000" w:themeColor="text1"/>
          <w:sz w:val="16"/>
          <w:szCs w:val="16"/>
        </w:rPr>
        <w:t>Índice Nacional de Precios al Consumidor 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</w:t>
      </w:r>
      <w:r>
        <w:rPr>
          <w:sz w:val="16"/>
          <w:szCs w:val="16"/>
        </w:rPr>
        <w:t>:</w:t>
      </w:r>
      <w:r w:rsidRPr="00CA39BA">
        <w:rPr>
          <w:sz w:val="16"/>
          <w:szCs w:val="16"/>
        </w:rPr>
        <w:t xml:space="preserve">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2CC5F304" w14:textId="77777777" w:rsidR="0068430F" w:rsidRDefault="0068430F" w:rsidP="00A30BDF">
      <w:pPr>
        <w:pStyle w:val="Textonotapie"/>
        <w:ind w:left="170" w:right="49" w:hanging="170"/>
        <w:rPr>
          <w:lang w:val="es-MX"/>
        </w:rPr>
      </w:pPr>
    </w:p>
    <w:p w14:paraId="4108BD6E" w14:textId="77777777" w:rsidR="0068430F" w:rsidRPr="000C372F" w:rsidRDefault="0068430F" w:rsidP="0068430F">
      <w:pPr>
        <w:pStyle w:val="Textonotapie"/>
        <w:ind w:left="170" w:hanging="170"/>
        <w:rPr>
          <w:lang w:val="es-MX"/>
        </w:rPr>
      </w:pPr>
    </w:p>
  </w:footnote>
  <w:footnote w:id="2">
    <w:p w14:paraId="3BBFE0F4" w14:textId="77777777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3">
    <w:p w14:paraId="4B25CD7A" w14:textId="3769F3F8" w:rsidR="00BC6EF4" w:rsidRDefault="00BC6EF4" w:rsidP="00BC6EF4">
      <w:pPr>
        <w:ind w:left="142" w:hanging="142"/>
        <w:rPr>
          <w:sz w:val="16"/>
          <w:szCs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sz w:val="16"/>
          <w:szCs w:val="16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sz w:val="16"/>
          <w:szCs w:val="16"/>
        </w:rPr>
        <w:t xml:space="preserve">Instituto Nacional de Estadística y </w:t>
      </w:r>
      <w:r w:rsidR="00217240">
        <w:rPr>
          <w:sz w:val="16"/>
          <w:szCs w:val="16"/>
        </w:rPr>
        <w:t>G</w:t>
      </w:r>
      <w:r>
        <w:rPr>
          <w:sz w:val="16"/>
          <w:szCs w:val="16"/>
        </w:rPr>
        <w:t>eografía (</w:t>
      </w:r>
      <w:r w:rsidRPr="00B2207F">
        <w:rPr>
          <w:sz w:val="16"/>
          <w:szCs w:val="16"/>
        </w:rPr>
        <w:t>INEGI</w:t>
      </w:r>
      <w:r>
        <w:rPr>
          <w:sz w:val="16"/>
          <w:szCs w:val="16"/>
        </w:rPr>
        <w:t>)</w:t>
      </w:r>
      <w:r w:rsidRPr="00B2207F">
        <w:rPr>
          <w:sz w:val="16"/>
          <w:szCs w:val="16"/>
        </w:rPr>
        <w:t>.</w:t>
      </w:r>
    </w:p>
    <w:p w14:paraId="04489D30" w14:textId="77777777" w:rsidR="00BC6EF4" w:rsidRPr="009C5908" w:rsidRDefault="00BC6EF4" w:rsidP="00BC6EF4">
      <w:pPr>
        <w:ind w:left="142" w:hanging="142"/>
        <w:rPr>
          <w:b/>
          <w:color w:val="C00000"/>
          <w:sz w:val="16"/>
        </w:rPr>
      </w:pPr>
      <w:r>
        <w:rPr>
          <w:sz w:val="16"/>
          <w:szCs w:val="16"/>
        </w:rPr>
        <w:t xml:space="preserve">   </w:t>
      </w:r>
      <w:r w:rsidRPr="00B2207F">
        <w:rPr>
          <w:sz w:val="16"/>
          <w:szCs w:val="16"/>
        </w:rPr>
        <w:t xml:space="preserve">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70C2E212" w14:textId="77777777" w:rsidR="00C35BD7" w:rsidRPr="006301B8" w:rsidRDefault="00C35BD7" w:rsidP="00C35BD7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FF84" w14:textId="275B5672" w:rsidR="0068430F" w:rsidRPr="00306ECD" w:rsidRDefault="0068430F" w:rsidP="006C6C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0AC31FD" wp14:editId="7906A20E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441CCB">
      <w:rPr>
        <w:b/>
        <w:color w:val="002060"/>
      </w:rPr>
      <w:t>653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55F21EF4" w14:textId="77777777" w:rsidR="0068430F" w:rsidRPr="00306ECD" w:rsidRDefault="0068430F" w:rsidP="006C6C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NOVIEMBRE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49A52BA" w14:textId="77777777" w:rsidR="0068430F" w:rsidRPr="00306ECD" w:rsidRDefault="0068430F" w:rsidP="006C6C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6F648C79" w14:textId="77777777" w:rsidR="0068430F" w:rsidRDefault="0068430F" w:rsidP="006C6CF0">
    <w:pPr>
      <w:pStyle w:val="Encabezado"/>
      <w:ind w:right="49"/>
      <w:jc w:val="center"/>
    </w:pPr>
  </w:p>
  <w:p w14:paraId="7F6DF52A" w14:textId="77777777" w:rsidR="0068430F" w:rsidRDefault="0068430F"/>
  <w:p w14:paraId="38634C29" w14:textId="77777777" w:rsidR="0068430F" w:rsidRDefault="006843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589A" w14:textId="3D284F88" w:rsidR="003B5757" w:rsidRDefault="00AD3792" w:rsidP="0068430F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75CCA9C5" wp14:editId="7E80EEB2">
          <wp:extent cx="828000" cy="828000"/>
          <wp:effectExtent l="0" t="0" r="0" b="0"/>
          <wp:docPr id="40" name="Imagen 4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1"/>
  </w:num>
  <w:num w:numId="14">
    <w:abstractNumId w:val="19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0"/>
  </w:num>
  <w:num w:numId="21">
    <w:abstractNumId w:val="3"/>
  </w:num>
  <w:num w:numId="22">
    <w:abstractNumId w:val="8"/>
  </w:num>
  <w:num w:numId="23">
    <w:abstractNumId w:val="12"/>
  </w:num>
  <w:num w:numId="24">
    <w:abstractNumId w:val="29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24"/>
  </w:num>
  <w:num w:numId="34">
    <w:abstractNumId w:val="18"/>
  </w:num>
  <w:num w:numId="35">
    <w:abstractNumId w:val="28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635"/>
    <w:rsid w:val="00010A59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3535"/>
    <w:rsid w:val="00043B32"/>
    <w:rsid w:val="00043E2B"/>
    <w:rsid w:val="00044268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A7"/>
    <w:rsid w:val="000501E0"/>
    <w:rsid w:val="00050934"/>
    <w:rsid w:val="00050FB5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64B"/>
    <w:rsid w:val="0008084D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29"/>
    <w:rsid w:val="0008524D"/>
    <w:rsid w:val="000856E9"/>
    <w:rsid w:val="00086295"/>
    <w:rsid w:val="0008756B"/>
    <w:rsid w:val="00087DB7"/>
    <w:rsid w:val="0009025D"/>
    <w:rsid w:val="00090B9C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8ED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DB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16F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06D09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A1"/>
    <w:rsid w:val="0012120B"/>
    <w:rsid w:val="0012181E"/>
    <w:rsid w:val="001218AA"/>
    <w:rsid w:val="00122048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96E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1F2A"/>
    <w:rsid w:val="00162331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8749B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2F3C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450E"/>
    <w:rsid w:val="001B46DB"/>
    <w:rsid w:val="001B4E18"/>
    <w:rsid w:val="001B4F75"/>
    <w:rsid w:val="001B5C28"/>
    <w:rsid w:val="001B5DDB"/>
    <w:rsid w:val="001B62AB"/>
    <w:rsid w:val="001B62D3"/>
    <w:rsid w:val="001B74BE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AEF"/>
    <w:rsid w:val="001D244E"/>
    <w:rsid w:val="001D24F1"/>
    <w:rsid w:val="001D2AD6"/>
    <w:rsid w:val="001D3AD1"/>
    <w:rsid w:val="001D478B"/>
    <w:rsid w:val="001D4970"/>
    <w:rsid w:val="001D49DE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DD7"/>
    <w:rsid w:val="001E5EEE"/>
    <w:rsid w:val="001E692A"/>
    <w:rsid w:val="001E7358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22B6"/>
    <w:rsid w:val="00203367"/>
    <w:rsid w:val="00204438"/>
    <w:rsid w:val="00204A44"/>
    <w:rsid w:val="00205F72"/>
    <w:rsid w:val="0020608F"/>
    <w:rsid w:val="00206147"/>
    <w:rsid w:val="002064F3"/>
    <w:rsid w:val="002069A8"/>
    <w:rsid w:val="00206A60"/>
    <w:rsid w:val="00206EE7"/>
    <w:rsid w:val="00206F75"/>
    <w:rsid w:val="0020789A"/>
    <w:rsid w:val="00207C83"/>
    <w:rsid w:val="00210869"/>
    <w:rsid w:val="002116AD"/>
    <w:rsid w:val="00211999"/>
    <w:rsid w:val="002123A4"/>
    <w:rsid w:val="002126CD"/>
    <w:rsid w:val="002130C4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69A8"/>
    <w:rsid w:val="00217240"/>
    <w:rsid w:val="0022018A"/>
    <w:rsid w:val="00220ADA"/>
    <w:rsid w:val="00220B7B"/>
    <w:rsid w:val="00220CB9"/>
    <w:rsid w:val="00220EAF"/>
    <w:rsid w:val="0022162D"/>
    <w:rsid w:val="0022180E"/>
    <w:rsid w:val="002219B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0F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933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334"/>
    <w:rsid w:val="00250FD5"/>
    <w:rsid w:val="00251167"/>
    <w:rsid w:val="002511BA"/>
    <w:rsid w:val="002517FD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8D7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8E4"/>
    <w:rsid w:val="00293ED1"/>
    <w:rsid w:val="0029478C"/>
    <w:rsid w:val="00294A06"/>
    <w:rsid w:val="00294C3A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3B2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6D1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5DB"/>
    <w:rsid w:val="002E0067"/>
    <w:rsid w:val="002E023E"/>
    <w:rsid w:val="002E02D0"/>
    <w:rsid w:val="002E0489"/>
    <w:rsid w:val="002E04C0"/>
    <w:rsid w:val="002E0544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808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2153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45A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6207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5E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38D"/>
    <w:rsid w:val="003863B6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9D0"/>
    <w:rsid w:val="003B6CE5"/>
    <w:rsid w:val="003B6D6C"/>
    <w:rsid w:val="003B7B4D"/>
    <w:rsid w:val="003C0125"/>
    <w:rsid w:val="003C03F7"/>
    <w:rsid w:val="003C05CD"/>
    <w:rsid w:val="003C0F6E"/>
    <w:rsid w:val="003C0FE5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974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698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947"/>
    <w:rsid w:val="003F2BFE"/>
    <w:rsid w:val="003F340D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40E3"/>
    <w:rsid w:val="00404D4D"/>
    <w:rsid w:val="00406AFE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F09"/>
    <w:rsid w:val="00435F6F"/>
    <w:rsid w:val="00436548"/>
    <w:rsid w:val="00436C20"/>
    <w:rsid w:val="00436FC5"/>
    <w:rsid w:val="004373A1"/>
    <w:rsid w:val="00440392"/>
    <w:rsid w:val="00440502"/>
    <w:rsid w:val="004412E5"/>
    <w:rsid w:val="004415FC"/>
    <w:rsid w:val="00441989"/>
    <w:rsid w:val="00441CCB"/>
    <w:rsid w:val="00441F3C"/>
    <w:rsid w:val="00442112"/>
    <w:rsid w:val="00442533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8"/>
    <w:rsid w:val="0044476D"/>
    <w:rsid w:val="00445064"/>
    <w:rsid w:val="00445172"/>
    <w:rsid w:val="00446BA8"/>
    <w:rsid w:val="00446C0F"/>
    <w:rsid w:val="0044746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43D"/>
    <w:rsid w:val="00460BE8"/>
    <w:rsid w:val="00460EF6"/>
    <w:rsid w:val="004610EB"/>
    <w:rsid w:val="0046115F"/>
    <w:rsid w:val="0046148D"/>
    <w:rsid w:val="00461535"/>
    <w:rsid w:val="0046169F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79A"/>
    <w:rsid w:val="00476DF1"/>
    <w:rsid w:val="00476E34"/>
    <w:rsid w:val="00476EE1"/>
    <w:rsid w:val="00477163"/>
    <w:rsid w:val="00477827"/>
    <w:rsid w:val="00477B0E"/>
    <w:rsid w:val="00481688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23F"/>
    <w:rsid w:val="004A5625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A12"/>
    <w:rsid w:val="004B7B53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22E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2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1E7A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C09"/>
    <w:rsid w:val="004F5E4E"/>
    <w:rsid w:val="004F63CC"/>
    <w:rsid w:val="004F6678"/>
    <w:rsid w:val="004F6B28"/>
    <w:rsid w:val="004F6C65"/>
    <w:rsid w:val="004F6D2E"/>
    <w:rsid w:val="004F7667"/>
    <w:rsid w:val="004F79AF"/>
    <w:rsid w:val="004F7A1A"/>
    <w:rsid w:val="004F7F0F"/>
    <w:rsid w:val="004F7FBC"/>
    <w:rsid w:val="005001AE"/>
    <w:rsid w:val="00500287"/>
    <w:rsid w:val="005007E7"/>
    <w:rsid w:val="005012EA"/>
    <w:rsid w:val="005012FC"/>
    <w:rsid w:val="005019BC"/>
    <w:rsid w:val="00501EBE"/>
    <w:rsid w:val="00502BF9"/>
    <w:rsid w:val="00503551"/>
    <w:rsid w:val="005037BB"/>
    <w:rsid w:val="00503F38"/>
    <w:rsid w:val="005043FC"/>
    <w:rsid w:val="00504855"/>
    <w:rsid w:val="00504A55"/>
    <w:rsid w:val="00505F08"/>
    <w:rsid w:val="00505F90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0E87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A4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4BD"/>
    <w:rsid w:val="00536A58"/>
    <w:rsid w:val="00536AB4"/>
    <w:rsid w:val="00537127"/>
    <w:rsid w:val="0053764B"/>
    <w:rsid w:val="00537D26"/>
    <w:rsid w:val="0054069F"/>
    <w:rsid w:val="00541295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6DA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A6D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158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C1C"/>
    <w:rsid w:val="00597799"/>
    <w:rsid w:val="005977F9"/>
    <w:rsid w:val="00597BA8"/>
    <w:rsid w:val="005A01E7"/>
    <w:rsid w:val="005A02C8"/>
    <w:rsid w:val="005A09E5"/>
    <w:rsid w:val="005A1473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4DFF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30F"/>
    <w:rsid w:val="00684529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2E0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0FB0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B9E"/>
    <w:rsid w:val="00763D31"/>
    <w:rsid w:val="00764588"/>
    <w:rsid w:val="007648FE"/>
    <w:rsid w:val="00764B39"/>
    <w:rsid w:val="00766264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285C"/>
    <w:rsid w:val="00782B30"/>
    <w:rsid w:val="00782FA6"/>
    <w:rsid w:val="00783A36"/>
    <w:rsid w:val="007845D4"/>
    <w:rsid w:val="00784DF0"/>
    <w:rsid w:val="00785A38"/>
    <w:rsid w:val="00785C2A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10F6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15B8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6BE"/>
    <w:rsid w:val="007F2DE9"/>
    <w:rsid w:val="007F341B"/>
    <w:rsid w:val="007F358F"/>
    <w:rsid w:val="007F3682"/>
    <w:rsid w:val="007F3786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8B1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26F38"/>
    <w:rsid w:val="008304AD"/>
    <w:rsid w:val="00830B33"/>
    <w:rsid w:val="0083118A"/>
    <w:rsid w:val="00831523"/>
    <w:rsid w:val="00831784"/>
    <w:rsid w:val="00831CBC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2E5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442"/>
    <w:rsid w:val="008675EC"/>
    <w:rsid w:val="008679CE"/>
    <w:rsid w:val="00867DA7"/>
    <w:rsid w:val="008705A8"/>
    <w:rsid w:val="008718FC"/>
    <w:rsid w:val="00871CC2"/>
    <w:rsid w:val="00871F4F"/>
    <w:rsid w:val="0087200D"/>
    <w:rsid w:val="008720A2"/>
    <w:rsid w:val="00872131"/>
    <w:rsid w:val="008721C9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DD9"/>
    <w:rsid w:val="0089013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474"/>
    <w:rsid w:val="00896DBC"/>
    <w:rsid w:val="008973E9"/>
    <w:rsid w:val="0089778E"/>
    <w:rsid w:val="00897B04"/>
    <w:rsid w:val="00897B59"/>
    <w:rsid w:val="00897C6C"/>
    <w:rsid w:val="00897D1A"/>
    <w:rsid w:val="008A0905"/>
    <w:rsid w:val="008A0B02"/>
    <w:rsid w:val="008A0E0D"/>
    <w:rsid w:val="008A10E7"/>
    <w:rsid w:val="008A154A"/>
    <w:rsid w:val="008A155C"/>
    <w:rsid w:val="008A180E"/>
    <w:rsid w:val="008A197C"/>
    <w:rsid w:val="008A1A18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3D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2EC9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43C"/>
    <w:rsid w:val="008F267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3B7"/>
    <w:rsid w:val="00916BF5"/>
    <w:rsid w:val="00916CCB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DC0"/>
    <w:rsid w:val="00932E9E"/>
    <w:rsid w:val="00933B8A"/>
    <w:rsid w:val="00933FE3"/>
    <w:rsid w:val="00934141"/>
    <w:rsid w:val="009341AA"/>
    <w:rsid w:val="0093429A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D9B"/>
    <w:rsid w:val="00941F15"/>
    <w:rsid w:val="0094243B"/>
    <w:rsid w:val="009425EB"/>
    <w:rsid w:val="00942810"/>
    <w:rsid w:val="009428A1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676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C84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418C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A38"/>
    <w:rsid w:val="009B3EB4"/>
    <w:rsid w:val="009B3F21"/>
    <w:rsid w:val="009B3FA8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6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3E43"/>
    <w:rsid w:val="009E453D"/>
    <w:rsid w:val="009E480C"/>
    <w:rsid w:val="009E5013"/>
    <w:rsid w:val="009E56B0"/>
    <w:rsid w:val="009E5917"/>
    <w:rsid w:val="009E6223"/>
    <w:rsid w:val="009E6341"/>
    <w:rsid w:val="009E70C2"/>
    <w:rsid w:val="009E725F"/>
    <w:rsid w:val="009E79CF"/>
    <w:rsid w:val="009E7F2E"/>
    <w:rsid w:val="009F009C"/>
    <w:rsid w:val="009F0345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CDA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3842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BDF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13A3"/>
    <w:rsid w:val="00A42668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574"/>
    <w:rsid w:val="00A46C6C"/>
    <w:rsid w:val="00A46EB1"/>
    <w:rsid w:val="00A47A54"/>
    <w:rsid w:val="00A47C59"/>
    <w:rsid w:val="00A50FEC"/>
    <w:rsid w:val="00A51FC3"/>
    <w:rsid w:val="00A532FC"/>
    <w:rsid w:val="00A53624"/>
    <w:rsid w:val="00A539B2"/>
    <w:rsid w:val="00A53C1E"/>
    <w:rsid w:val="00A54F72"/>
    <w:rsid w:val="00A55D07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1C6E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937"/>
    <w:rsid w:val="00A95BC2"/>
    <w:rsid w:val="00A96852"/>
    <w:rsid w:val="00A96C21"/>
    <w:rsid w:val="00A9791D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65CF"/>
    <w:rsid w:val="00AA6A88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D3B"/>
    <w:rsid w:val="00AC226A"/>
    <w:rsid w:val="00AC246C"/>
    <w:rsid w:val="00AC2FB2"/>
    <w:rsid w:val="00AC32EA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C90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58E"/>
    <w:rsid w:val="00AE7A1F"/>
    <w:rsid w:val="00AF059D"/>
    <w:rsid w:val="00AF077D"/>
    <w:rsid w:val="00AF0992"/>
    <w:rsid w:val="00AF0C7C"/>
    <w:rsid w:val="00AF0D62"/>
    <w:rsid w:val="00AF0EB3"/>
    <w:rsid w:val="00AF1281"/>
    <w:rsid w:val="00AF14C8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8A1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35D"/>
    <w:rsid w:val="00B16F5A"/>
    <w:rsid w:val="00B1780E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2C6"/>
    <w:rsid w:val="00B3232C"/>
    <w:rsid w:val="00B32D8B"/>
    <w:rsid w:val="00B32F0B"/>
    <w:rsid w:val="00B331B8"/>
    <w:rsid w:val="00B336DA"/>
    <w:rsid w:val="00B33786"/>
    <w:rsid w:val="00B337A4"/>
    <w:rsid w:val="00B34725"/>
    <w:rsid w:val="00B353D4"/>
    <w:rsid w:val="00B355F0"/>
    <w:rsid w:val="00B3564B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4AC2"/>
    <w:rsid w:val="00B45847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218"/>
    <w:rsid w:val="00B926AC"/>
    <w:rsid w:val="00B92E6B"/>
    <w:rsid w:val="00B92F7F"/>
    <w:rsid w:val="00B92FB4"/>
    <w:rsid w:val="00B93043"/>
    <w:rsid w:val="00B93431"/>
    <w:rsid w:val="00B93500"/>
    <w:rsid w:val="00B93D97"/>
    <w:rsid w:val="00B94258"/>
    <w:rsid w:val="00B942F0"/>
    <w:rsid w:val="00B94392"/>
    <w:rsid w:val="00B94797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98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A30"/>
    <w:rsid w:val="00BB5B98"/>
    <w:rsid w:val="00BB607A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6EF4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3E6"/>
    <w:rsid w:val="00C14AD2"/>
    <w:rsid w:val="00C14CA5"/>
    <w:rsid w:val="00C15BE1"/>
    <w:rsid w:val="00C15F3C"/>
    <w:rsid w:val="00C160D9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11E"/>
    <w:rsid w:val="00C2455C"/>
    <w:rsid w:val="00C24638"/>
    <w:rsid w:val="00C24DEB"/>
    <w:rsid w:val="00C25384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FBC"/>
    <w:rsid w:val="00C35087"/>
    <w:rsid w:val="00C3523B"/>
    <w:rsid w:val="00C35947"/>
    <w:rsid w:val="00C35BD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150A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582D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5A86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B23"/>
    <w:rsid w:val="00CE6C5C"/>
    <w:rsid w:val="00CE72F6"/>
    <w:rsid w:val="00CE7FF2"/>
    <w:rsid w:val="00CF078F"/>
    <w:rsid w:val="00CF0E8B"/>
    <w:rsid w:val="00CF1090"/>
    <w:rsid w:val="00CF12DA"/>
    <w:rsid w:val="00CF15E9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73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4E2"/>
    <w:rsid w:val="00D07684"/>
    <w:rsid w:val="00D076A6"/>
    <w:rsid w:val="00D07F59"/>
    <w:rsid w:val="00D104B2"/>
    <w:rsid w:val="00D10986"/>
    <w:rsid w:val="00D109A6"/>
    <w:rsid w:val="00D10B14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F8F"/>
    <w:rsid w:val="00D3544C"/>
    <w:rsid w:val="00D35640"/>
    <w:rsid w:val="00D3719F"/>
    <w:rsid w:val="00D371C8"/>
    <w:rsid w:val="00D4046C"/>
    <w:rsid w:val="00D4061B"/>
    <w:rsid w:val="00D4083E"/>
    <w:rsid w:val="00D40F15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4767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7F4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8E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F2"/>
    <w:rsid w:val="00D93295"/>
    <w:rsid w:val="00D9335B"/>
    <w:rsid w:val="00D93B6F"/>
    <w:rsid w:val="00D93DAF"/>
    <w:rsid w:val="00D93DC5"/>
    <w:rsid w:val="00D941AE"/>
    <w:rsid w:val="00D94381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E15"/>
    <w:rsid w:val="00DA7FC8"/>
    <w:rsid w:val="00DB02FF"/>
    <w:rsid w:val="00DB10BD"/>
    <w:rsid w:val="00DB1112"/>
    <w:rsid w:val="00DB1433"/>
    <w:rsid w:val="00DB197C"/>
    <w:rsid w:val="00DB1AAF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C7B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8A8"/>
    <w:rsid w:val="00DF4D08"/>
    <w:rsid w:val="00DF572E"/>
    <w:rsid w:val="00DF596A"/>
    <w:rsid w:val="00DF650F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58B"/>
    <w:rsid w:val="00E36DD5"/>
    <w:rsid w:val="00E37347"/>
    <w:rsid w:val="00E3751A"/>
    <w:rsid w:val="00E377A6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5BC6"/>
    <w:rsid w:val="00E560CE"/>
    <w:rsid w:val="00E56344"/>
    <w:rsid w:val="00E5685B"/>
    <w:rsid w:val="00E57459"/>
    <w:rsid w:val="00E57743"/>
    <w:rsid w:val="00E57D49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4C84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341"/>
    <w:rsid w:val="00E9331A"/>
    <w:rsid w:val="00E93635"/>
    <w:rsid w:val="00E93832"/>
    <w:rsid w:val="00E94E89"/>
    <w:rsid w:val="00E94F06"/>
    <w:rsid w:val="00E94F96"/>
    <w:rsid w:val="00E95243"/>
    <w:rsid w:val="00E956CB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5C9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82F"/>
    <w:rsid w:val="00EB45B5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BE9"/>
    <w:rsid w:val="00EC51B6"/>
    <w:rsid w:val="00EC552D"/>
    <w:rsid w:val="00EC5B93"/>
    <w:rsid w:val="00EC6B07"/>
    <w:rsid w:val="00EC774B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F38"/>
    <w:rsid w:val="00ED4124"/>
    <w:rsid w:val="00ED5030"/>
    <w:rsid w:val="00ED547D"/>
    <w:rsid w:val="00ED596C"/>
    <w:rsid w:val="00ED5ACF"/>
    <w:rsid w:val="00ED6393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8E5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138D"/>
    <w:rsid w:val="00EF1821"/>
    <w:rsid w:val="00EF183E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5E1E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3FCF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0E80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339"/>
    <w:rsid w:val="00F57BDA"/>
    <w:rsid w:val="00F57F43"/>
    <w:rsid w:val="00F60058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1CAE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299"/>
    <w:rsid w:val="00F9034D"/>
    <w:rsid w:val="00F90624"/>
    <w:rsid w:val="00F907AF"/>
    <w:rsid w:val="00F90E09"/>
    <w:rsid w:val="00F913B7"/>
    <w:rsid w:val="00F91CBC"/>
    <w:rsid w:val="00F91E36"/>
    <w:rsid w:val="00F922ED"/>
    <w:rsid w:val="00F92A2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8EA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150"/>
    <w:rsid w:val="00FA1441"/>
    <w:rsid w:val="00FA176E"/>
    <w:rsid w:val="00FA203F"/>
    <w:rsid w:val="00FA3460"/>
    <w:rsid w:val="00FA38A1"/>
    <w:rsid w:val="00FA3A91"/>
    <w:rsid w:val="00FA3C01"/>
    <w:rsid w:val="00FA3F41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545"/>
    <w:rsid w:val="00FF68D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79D89"/>
  <w15:docId w15:val="{2CD460B6-4FE5-46D2-910F-D2D4363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430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2018'!$R$223:$AA$223</c:f>
              <c:numCache>
                <c:formatCode>0.00</c:formatCode>
                <c:ptCount val="10"/>
                <c:pt idx="0">
                  <c:v>0.47563295770525205</c:v>
                </c:pt>
                <c:pt idx="1">
                  <c:v>0.55292744363213409</c:v>
                </c:pt>
                <c:pt idx="2">
                  <c:v>0.5145151486614763</c:v>
                </c:pt>
                <c:pt idx="3">
                  <c:v>0.61</c:v>
                </c:pt>
                <c:pt idx="4">
                  <c:v>0.62933892050787144</c:v>
                </c:pt>
                <c:pt idx="5">
                  <c:v>0.51824766887640372</c:v>
                </c:pt>
                <c:pt idx="6">
                  <c:v>0.53972407688904767</c:v>
                </c:pt>
                <c:pt idx="7">
                  <c:v>0.61</c:v>
                </c:pt>
                <c:pt idx="8">
                  <c:v>0.83768902540117818</c:v>
                </c:pt>
                <c:pt idx="9">
                  <c:v>0.5659423140217168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C-4921-BDAD-4A9AA373D3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588496080"/>
        <c:axId val="588500000"/>
      </c:barChart>
      <c:catAx>
        <c:axId val="5884960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588500000"/>
        <c:crosses val="autoZero"/>
        <c:auto val="1"/>
        <c:lblAlgn val="ctr"/>
        <c:lblOffset val="100"/>
        <c:noMultiLvlLbl val="0"/>
      </c:catAx>
      <c:valAx>
        <c:axId val="588500000"/>
        <c:scaling>
          <c:orientation val="minMax"/>
          <c:max val="0.9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88496080"/>
        <c:crosses val="autoZero"/>
        <c:crossBetween val="between"/>
        <c:majorUnit val="0.1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2018'!$M$227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2018'!$R$238:$AA$238</c:f>
              <c:numCache>
                <c:formatCode>0.00</c:formatCode>
                <c:ptCount val="10"/>
                <c:pt idx="0">
                  <c:v>0.19210419612978313</c:v>
                </c:pt>
                <c:pt idx="1">
                  <c:v>0.16655123836903929</c:v>
                </c:pt>
                <c:pt idx="2">
                  <c:v>0.25</c:v>
                </c:pt>
                <c:pt idx="3">
                  <c:v>0.27959640112904527</c:v>
                </c:pt>
                <c:pt idx="4">
                  <c:v>0.25</c:v>
                </c:pt>
                <c:pt idx="5">
                  <c:v>0.31014305068481907</c:v>
                </c:pt>
                <c:pt idx="6">
                  <c:v>0.25</c:v>
                </c:pt>
                <c:pt idx="7">
                  <c:v>0.23876689344912716</c:v>
                </c:pt>
                <c:pt idx="8">
                  <c:v>0.49428405140878873</c:v>
                </c:pt>
                <c:pt idx="9">
                  <c:v>0.62804793936983572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3-43C9-B080-CED3C76D2EAD}"/>
            </c:ext>
          </c:extLst>
        </c:ser>
        <c:ser>
          <c:idx val="2"/>
          <c:order val="1"/>
          <c:tx>
            <c:strRef>
              <c:f>'Datos base 2q jul 2018'!$M$242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pct60">
              <a:fgClr>
                <a:srgbClr val="ABC674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2018'!$R$253:$AA$253</c:f>
              <c:numCache>
                <c:formatCode>0.00</c:formatCode>
                <c:ptCount val="10"/>
                <c:pt idx="0">
                  <c:v>1.4123475210162661</c:v>
                </c:pt>
                <c:pt idx="1">
                  <c:v>1.7854745847029729</c:v>
                </c:pt>
                <c:pt idx="2">
                  <c:v>1.351551441347687</c:v>
                </c:pt>
                <c:pt idx="3">
                  <c:v>1.6483754572177434</c:v>
                </c:pt>
                <c:pt idx="4">
                  <c:v>1.7601648908473377</c:v>
                </c:pt>
                <c:pt idx="5">
                  <c:v>1.1529342401807696</c:v>
                </c:pt>
                <c:pt idx="6">
                  <c:v>1.4612458531554795</c:v>
                </c:pt>
                <c:pt idx="7">
                  <c:v>1.7728309222085015</c:v>
                </c:pt>
                <c:pt idx="8">
                  <c:v>1.8682826628354965</c:v>
                </c:pt>
                <c:pt idx="9">
                  <c:v>0.38153999176309128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E3-43C9-B080-CED3C76D2E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588498040"/>
        <c:axId val="588501960"/>
      </c:barChart>
      <c:catAx>
        <c:axId val="58849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588501960"/>
        <c:crosses val="autoZero"/>
        <c:auto val="1"/>
        <c:lblAlgn val="ctr"/>
        <c:lblOffset val="100"/>
        <c:noMultiLvlLbl val="0"/>
      </c:catAx>
      <c:valAx>
        <c:axId val="588501960"/>
        <c:scaling>
          <c:orientation val="minMax"/>
          <c:max val="2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588498040"/>
        <c:crosses val="autoZero"/>
        <c:crossBetween val="between"/>
        <c:maj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6.2774202584058597E-5"/>
                  <c:y val="4.36095907995486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44-4713-9020-ACF8C1EA2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chemeClr val="accent3">
                        <a:lumMod val="50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2018'!$A$100:$B$208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2018'!$I$100:$I$208</c:f>
              <c:numCache>
                <c:formatCode>0.00</c:formatCode>
                <c:ptCount val="109"/>
                <c:pt idx="0">
                  <c:v>3.3591147744594587</c:v>
                </c:pt>
                <c:pt idx="1">
                  <c:v>3.6186915887850466</c:v>
                </c:pt>
                <c:pt idx="2">
                  <c:v>3.974040989873723</c:v>
                </c:pt>
                <c:pt idx="3">
                  <c:v>4.4828098590241172</c:v>
                </c:pt>
                <c:pt idx="4">
                  <c:v>4.2344373798610366</c:v>
                </c:pt>
                <c:pt idx="5">
                  <c:v>3.7586466303370716</c:v>
                </c:pt>
                <c:pt idx="6">
                  <c:v>3.4967086565084369</c:v>
                </c:pt>
                <c:pt idx="7">
                  <c:v>3.5102243563208941</c:v>
                </c:pt>
                <c:pt idx="8">
                  <c:v>3.7525887063371495</c:v>
                </c:pt>
                <c:pt idx="9">
                  <c:v>4.0724065224797199</c:v>
                </c:pt>
                <c:pt idx="10">
                  <c:v>4.1499109421766818</c:v>
                </c:pt>
                <c:pt idx="11">
                  <c:v>4.2175837845748534</c:v>
                </c:pt>
                <c:pt idx="12">
                  <c:v>4.2977569004442557</c:v>
                </c:pt>
                <c:pt idx="13">
                  <c:v>4.1678692546359812</c:v>
                </c:pt>
                <c:pt idx="14">
                  <c:v>4.0813215195322616</c:v>
                </c:pt>
                <c:pt idx="15">
                  <c:v>3.06564152704324</c:v>
                </c:pt>
                <c:pt idx="16">
                  <c:v>3.0002659810266707</c:v>
                </c:pt>
                <c:pt idx="17">
                  <c:v>3.1370745983607202</c:v>
                </c:pt>
                <c:pt idx="18">
                  <c:v>3.0623272624193829</c:v>
                </c:pt>
                <c:pt idx="19">
                  <c:v>2.8766429390279602</c:v>
                </c:pt>
                <c:pt idx="20">
                  <c:v>2.8707794396834565</c:v>
                </c:pt>
                <c:pt idx="21">
                  <c:v>2.7390473494231591</c:v>
                </c:pt>
                <c:pt idx="22">
                  <c:v>2.5873164195419496</c:v>
                </c:pt>
                <c:pt idx="23">
                  <c:v>2.5188916876574323</c:v>
                </c:pt>
                <c:pt idx="24">
                  <c:v>2.479728373294678</c:v>
                </c:pt>
                <c:pt idx="25">
                  <c:v>2.2148528482245649</c:v>
                </c:pt>
                <c:pt idx="26">
                  <c:v>2.1308127762603513</c:v>
                </c:pt>
                <c:pt idx="27">
                  <c:v>2.6131051968884234</c:v>
                </c:pt>
                <c:pt idx="28">
                  <c:v>2.8672508478661238</c:v>
                </c:pt>
                <c:pt idx="29">
                  <c:v>2.6010098845233833</c:v>
                </c:pt>
                <c:pt idx="30">
                  <c:v>2.5415789247496594</c:v>
                </c:pt>
                <c:pt idx="31">
                  <c:v>2.5966621747693539</c:v>
                </c:pt>
                <c:pt idx="32">
                  <c:v>2.5379878921678647</c:v>
                </c:pt>
                <c:pt idx="33">
                  <c:v>2.6548291540369364</c:v>
                </c:pt>
                <c:pt idx="34">
                  <c:v>2.7274367765718939</c:v>
                </c:pt>
                <c:pt idx="35">
                  <c:v>2.9689493104127496</c:v>
                </c:pt>
                <c:pt idx="36">
                  <c:v>3.0636232007495217</c:v>
                </c:pt>
                <c:pt idx="37">
                  <c:v>3.3053510770768644</c:v>
                </c:pt>
                <c:pt idx="38">
                  <c:v>3.3602740188303559</c:v>
                </c:pt>
                <c:pt idx="39">
                  <c:v>4.7182814496066863</c:v>
                </c:pt>
                <c:pt idx="40">
                  <c:v>4.864231622107857</c:v>
                </c:pt>
                <c:pt idx="41">
                  <c:v>5.3525622279225669</c:v>
                </c:pt>
                <c:pt idx="42">
                  <c:v>5.8171698714187592</c:v>
                </c:pt>
                <c:pt idx="43">
                  <c:v>6.1640144817714893</c:v>
                </c:pt>
                <c:pt idx="44">
                  <c:v>6.3136558986047531</c:v>
                </c:pt>
                <c:pt idx="45">
                  <c:v>6.4381642633649552</c:v>
                </c:pt>
                <c:pt idx="46">
                  <c:v>6.6634880005353336</c:v>
                </c:pt>
                <c:pt idx="47">
                  <c:v>6.3478470530525177</c:v>
                </c:pt>
                <c:pt idx="48">
                  <c:v>6.3715322254084645</c:v>
                </c:pt>
                <c:pt idx="49">
                  <c:v>6.6345231359622225</c:v>
                </c:pt>
                <c:pt idx="50">
                  <c:v>6.773048198179799</c:v>
                </c:pt>
                <c:pt idx="51">
                  <c:v>5.5458354066678268</c:v>
                </c:pt>
                <c:pt idx="52">
                  <c:v>5.3392170318709091</c:v>
                </c:pt>
                <c:pt idx="53">
                  <c:v>5.0354120567544696</c:v>
                </c:pt>
                <c:pt idx="54">
                  <c:v>4.5507834159788176</c:v>
                </c:pt>
                <c:pt idx="55">
                  <c:v>4.5062692817092405</c:v>
                </c:pt>
                <c:pt idx="56">
                  <c:v>4.6468577938105033</c:v>
                </c:pt>
                <c:pt idx="57">
                  <c:v>4.8114055136106577</c:v>
                </c:pt>
                <c:pt idx="58">
                  <c:v>4.9045281971250159</c:v>
                </c:pt>
                <c:pt idx="59">
                  <c:v>5.0195736443805039</c:v>
                </c:pt>
                <c:pt idx="60">
                  <c:v>4.9036357279923948</c:v>
                </c:pt>
                <c:pt idx="61">
                  <c:v>4.7165339115991411</c:v>
                </c:pt>
                <c:pt idx="62">
                  <c:v>4.830546199536756</c:v>
                </c:pt>
                <c:pt idx="63">
                  <c:v>4.3656058642820295</c:v>
                </c:pt>
                <c:pt idx="64">
                  <c:v>3.9402756478725154</c:v>
                </c:pt>
                <c:pt idx="65">
                  <c:v>4.0041779576550196</c:v>
                </c:pt>
                <c:pt idx="66">
                  <c:v>4.4134533855607172</c:v>
                </c:pt>
                <c:pt idx="67">
                  <c:v>4.28199324596088</c:v>
                </c:pt>
                <c:pt idx="68">
                  <c:v>3.9471469134122472</c:v>
                </c:pt>
                <c:pt idx="69">
                  <c:v>3.7813381657405332</c:v>
                </c:pt>
                <c:pt idx="70">
                  <c:v>3.1624407913067643</c:v>
                </c:pt>
                <c:pt idx="71">
                  <c:v>2.9975128075547142</c:v>
                </c:pt>
                <c:pt idx="72">
                  <c:v>3.0195189274447864</c:v>
                </c:pt>
                <c:pt idx="73">
                  <c:v>2.9744973265691144</c:v>
                </c:pt>
                <c:pt idx="74">
                  <c:v>2.8285769753445988</c:v>
                </c:pt>
                <c:pt idx="75">
                  <c:v>3.2383520192419635</c:v>
                </c:pt>
                <c:pt idx="76">
                  <c:v>3.6961941811620269</c:v>
                </c:pt>
                <c:pt idx="77">
                  <c:v>3.249062584560658</c:v>
                </c:pt>
                <c:pt idx="78">
                  <c:v>2.1481488636253765</c:v>
                </c:pt>
                <c:pt idx="79">
                  <c:v>2.8372710276752588</c:v>
                </c:pt>
                <c:pt idx="80">
                  <c:v>3.3340109778410065</c:v>
                </c:pt>
                <c:pt idx="81">
                  <c:v>3.6234050556000374</c:v>
                </c:pt>
                <c:pt idx="82">
                  <c:v>4.0484228802932343</c:v>
                </c:pt>
                <c:pt idx="83">
                  <c:v>4.0137769140482282</c:v>
                </c:pt>
                <c:pt idx="84">
                  <c:v>4.0869640106025562</c:v>
                </c:pt>
                <c:pt idx="85">
                  <c:v>3.3318778121618209</c:v>
                </c:pt>
                <c:pt idx="86">
                  <c:v>3.1500745747352177</c:v>
                </c:pt>
                <c:pt idx="87">
                  <c:v>3.5350925812845713</c:v>
                </c:pt>
                <c:pt idx="88">
                  <c:v>3.759039751517923</c:v>
                </c:pt>
                <c:pt idx="89">
                  <c:v>4.6668788258859228</c:v>
                </c:pt>
                <c:pt idx="90">
                  <c:v>6.0848186846957697</c:v>
                </c:pt>
                <c:pt idx="91">
                  <c:v>5.8938226484052558</c:v>
                </c:pt>
                <c:pt idx="92">
                  <c:v>5.8786056228511629</c:v>
                </c:pt>
                <c:pt idx="93">
                  <c:v>5.8058151222962762</c:v>
                </c:pt>
                <c:pt idx="94">
                  <c:v>5.5920717179489543</c:v>
                </c:pt>
                <c:pt idx="95">
                  <c:v>6.0001479919344236</c:v>
                </c:pt>
                <c:pt idx="96">
                  <c:v>6.2395425377387959</c:v>
                </c:pt>
                <c:pt idx="97">
                  <c:v>7.3748805761740366</c:v>
                </c:pt>
                <c:pt idx="98">
                  <c:v>7.3551079426380284</c:v>
                </c:pt>
                <c:pt idx="99">
                  <c:v>7.0701388258778808</c:v>
                </c:pt>
                <c:pt idx="100">
                  <c:v>7.2799733109722542</c:v>
                </c:pt>
                <c:pt idx="101">
                  <c:v>7.453677207039644</c:v>
                </c:pt>
                <c:pt idx="102">
                  <c:v>7.6825028968713793</c:v>
                </c:pt>
                <c:pt idx="103">
                  <c:v>7.6526209982298532</c:v>
                </c:pt>
                <c:pt idx="104">
                  <c:v>7.9863384593604536</c:v>
                </c:pt>
                <c:pt idx="105">
                  <c:v>8.1508066360549414</c:v>
                </c:pt>
                <c:pt idx="106">
                  <c:v>8.6954231380433455</c:v>
                </c:pt>
                <c:pt idx="107">
                  <c:v>8.6997495658851065</c:v>
                </c:pt>
                <c:pt idx="108">
                  <c:v>8.406815448118298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44-4713-9020-ACF8C1EA2561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6.2774202584058597E-5"/>
                  <c:y val="-2.2474628571871304E-2"/>
                </c:manualLayout>
              </c:layout>
              <c:tx>
                <c:rich>
                  <a:bodyPr/>
                  <a:lstStyle/>
                  <a:p>
                    <a:fld id="{B0BAA52A-CEF0-4474-AFC0-B1895AAA7571}" type="VALUE">
                      <a:rPr lang="en-US">
                        <a:solidFill>
                          <a:srgbClr val="33CC33"/>
                        </a:solidFill>
                      </a:rPr>
                      <a:pPr/>
                      <a:t>[VALOR]</a:t>
                    </a:fld>
                    <a:endParaRPr lang="es-MX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844-4713-9020-ACF8C1EA2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00B05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2018'!$A$100:$B$208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2018'!$J$100:$J$208</c:f>
              <c:numCache>
                <c:formatCode>0.00</c:formatCode>
                <c:ptCount val="109"/>
                <c:pt idx="0">
                  <c:v>2.4794464775631813</c:v>
                </c:pt>
                <c:pt idx="1">
                  <c:v>2.5649870805356052</c:v>
                </c:pt>
                <c:pt idx="2">
                  <c:v>2.7768966976377301</c:v>
                </c:pt>
                <c:pt idx="3">
                  <c:v>3.2149549463724112</c:v>
                </c:pt>
                <c:pt idx="4">
                  <c:v>2.9815992803587128</c:v>
                </c:pt>
                <c:pt idx="5">
                  <c:v>2.8932252163082919</c:v>
                </c:pt>
                <c:pt idx="6">
                  <c:v>3.1101473946244109</c:v>
                </c:pt>
                <c:pt idx="7">
                  <c:v>3.0035274507757586</c:v>
                </c:pt>
                <c:pt idx="8">
                  <c:v>3.0900897382228592</c:v>
                </c:pt>
                <c:pt idx="9">
                  <c:v>3.2487794255958073</c:v>
                </c:pt>
                <c:pt idx="10">
                  <c:v>3.3745783859321801</c:v>
                </c:pt>
                <c:pt idx="11">
                  <c:v>3.3426914882561221</c:v>
                </c:pt>
                <c:pt idx="12">
                  <c:v>3.3163350058599472</c:v>
                </c:pt>
                <c:pt idx="13">
                  <c:v>3.3433053168902909</c:v>
                </c:pt>
                <c:pt idx="14">
                  <c:v>3.2448177346399127</c:v>
                </c:pt>
                <c:pt idx="15">
                  <c:v>2.3383998327657349</c:v>
                </c:pt>
                <c:pt idx="16">
                  <c:v>2.3979106641053143</c:v>
                </c:pt>
                <c:pt idx="17">
                  <c:v>2.4463932612693524</c:v>
                </c:pt>
                <c:pt idx="18">
                  <c:v>2.3081554852986721</c:v>
                </c:pt>
                <c:pt idx="19">
                  <c:v>2.3305900684862193</c:v>
                </c:pt>
                <c:pt idx="20">
                  <c:v>2.3269537481242435</c:v>
                </c:pt>
                <c:pt idx="21">
                  <c:v>2.3112445832250934</c:v>
                </c:pt>
                <c:pt idx="22">
                  <c:v>2.2994746549221601</c:v>
                </c:pt>
                <c:pt idx="23">
                  <c:v>2.3789168680112285</c:v>
                </c:pt>
                <c:pt idx="24">
                  <c:v>2.4656820691800654</c:v>
                </c:pt>
                <c:pt idx="25">
                  <c:v>2.3365787531201514</c:v>
                </c:pt>
                <c:pt idx="26">
                  <c:v>2.4119558744003973</c:v>
                </c:pt>
                <c:pt idx="27">
                  <c:v>2.6434226555474014</c:v>
                </c:pt>
                <c:pt idx="28">
                  <c:v>2.6623814836084652</c:v>
                </c:pt>
                <c:pt idx="29">
                  <c:v>2.760648466857702</c:v>
                </c:pt>
                <c:pt idx="30">
                  <c:v>2.827165397588026</c:v>
                </c:pt>
                <c:pt idx="31">
                  <c:v>2.9277923611219818</c:v>
                </c:pt>
                <c:pt idx="32">
                  <c:v>2.9744353574629447</c:v>
                </c:pt>
                <c:pt idx="33">
                  <c:v>2.9725376004903468</c:v>
                </c:pt>
                <c:pt idx="34">
                  <c:v>2.9609191830223178</c:v>
                </c:pt>
                <c:pt idx="35">
                  <c:v>3.0690587086750285</c:v>
                </c:pt>
                <c:pt idx="36">
                  <c:v>3.0980049382589616</c:v>
                </c:pt>
                <c:pt idx="37">
                  <c:v>3.2930623557082486</c:v>
                </c:pt>
                <c:pt idx="38">
                  <c:v>3.4373659982048181</c:v>
                </c:pt>
                <c:pt idx="39">
                  <c:v>3.8357376467426549</c:v>
                </c:pt>
                <c:pt idx="40">
                  <c:v>4.2555046474677471</c:v>
                </c:pt>
                <c:pt idx="41">
                  <c:v>4.4783374612475164</c:v>
                </c:pt>
                <c:pt idx="42">
                  <c:v>4.7173262046135154</c:v>
                </c:pt>
                <c:pt idx="43">
                  <c:v>4.7815776448548775</c:v>
                </c:pt>
                <c:pt idx="44">
                  <c:v>4.8338438131124217</c:v>
                </c:pt>
                <c:pt idx="45">
                  <c:v>4.935516841380946</c:v>
                </c:pt>
                <c:pt idx="46">
                  <c:v>5.0029580594435865</c:v>
                </c:pt>
                <c:pt idx="47">
                  <c:v>4.8001484368885379</c:v>
                </c:pt>
                <c:pt idx="48">
                  <c:v>4.7718024040299234</c:v>
                </c:pt>
                <c:pt idx="49">
                  <c:v>4.8971034253443557</c:v>
                </c:pt>
                <c:pt idx="50">
                  <c:v>4.868778362354127</c:v>
                </c:pt>
                <c:pt idx="51">
                  <c:v>4.5610867697520128</c:v>
                </c:pt>
                <c:pt idx="52">
                  <c:v>4.2746628168778127</c:v>
                </c:pt>
                <c:pt idx="53">
                  <c:v>4.0228686863965315</c:v>
                </c:pt>
                <c:pt idx="54">
                  <c:v>3.7095644217896755</c:v>
                </c:pt>
                <c:pt idx="55">
                  <c:v>3.6906558377127872</c:v>
                </c:pt>
                <c:pt idx="56">
                  <c:v>3.6152923643841275</c:v>
                </c:pt>
                <c:pt idx="57">
                  <c:v>3.6349156535127221</c:v>
                </c:pt>
                <c:pt idx="58">
                  <c:v>3.6268947226102743</c:v>
                </c:pt>
                <c:pt idx="59">
                  <c:v>3.6697723796647042</c:v>
                </c:pt>
                <c:pt idx="60">
                  <c:v>3.7294081492161624</c:v>
                </c:pt>
                <c:pt idx="61">
                  <c:v>3.6336719347377811</c:v>
                </c:pt>
                <c:pt idx="62">
                  <c:v>3.6830818113137154</c:v>
                </c:pt>
                <c:pt idx="63">
                  <c:v>3.5956327388364739</c:v>
                </c:pt>
                <c:pt idx="64">
                  <c:v>3.5373492702235998</c:v>
                </c:pt>
                <c:pt idx="65">
                  <c:v>3.5522683456014059</c:v>
                </c:pt>
                <c:pt idx="66">
                  <c:v>3.8709212669734594</c:v>
                </c:pt>
                <c:pt idx="67">
                  <c:v>3.7745907093303721</c:v>
                </c:pt>
                <c:pt idx="68">
                  <c:v>3.8492317375587115</c:v>
                </c:pt>
                <c:pt idx="69">
                  <c:v>3.8210955621749809</c:v>
                </c:pt>
                <c:pt idx="70">
                  <c:v>3.7767203638696234</c:v>
                </c:pt>
                <c:pt idx="71">
                  <c:v>3.7497990358150046</c:v>
                </c:pt>
                <c:pt idx="72">
                  <c:v>3.6838383356078586</c:v>
                </c:pt>
                <c:pt idx="73">
                  <c:v>3.6529927423974762</c:v>
                </c:pt>
                <c:pt idx="74">
                  <c:v>3.5946407097393385</c:v>
                </c:pt>
                <c:pt idx="75">
                  <c:v>3.725708133157446</c:v>
                </c:pt>
                <c:pt idx="76">
                  <c:v>3.6555222096642526</c:v>
                </c:pt>
                <c:pt idx="77">
                  <c:v>3.6030403255272292</c:v>
                </c:pt>
                <c:pt idx="78">
                  <c:v>3.5040766537671963</c:v>
                </c:pt>
                <c:pt idx="79">
                  <c:v>3.6427379565861173</c:v>
                </c:pt>
                <c:pt idx="80">
                  <c:v>3.7096521911010427</c:v>
                </c:pt>
                <c:pt idx="81">
                  <c:v>3.8504915694710373</c:v>
                </c:pt>
                <c:pt idx="82">
                  <c:v>3.9676929388034798</c:v>
                </c:pt>
                <c:pt idx="83">
                  <c:v>3.9869625653070173</c:v>
                </c:pt>
                <c:pt idx="84">
                  <c:v>3.9790766170676672</c:v>
                </c:pt>
                <c:pt idx="85">
                  <c:v>3.6620739666424873</c:v>
                </c:pt>
                <c:pt idx="86">
                  <c:v>3.8039036813197313</c:v>
                </c:pt>
                <c:pt idx="87">
                  <c:v>3.8378593782736781</c:v>
                </c:pt>
                <c:pt idx="88">
                  <c:v>3.8692564227404525</c:v>
                </c:pt>
                <c:pt idx="89">
                  <c:v>4.1233610508882856</c:v>
                </c:pt>
                <c:pt idx="90">
                  <c:v>4.1319882747951286</c:v>
                </c:pt>
                <c:pt idx="91">
                  <c:v>4.3677064097146889</c:v>
                </c:pt>
                <c:pt idx="92">
                  <c:v>4.5779235125644968</c:v>
                </c:pt>
                <c:pt idx="93">
                  <c:v>4.6609427435500228</c:v>
                </c:pt>
                <c:pt idx="94">
                  <c:v>4.7762493185180999</c:v>
                </c:pt>
                <c:pt idx="95">
                  <c:v>4.9241229157217292</c:v>
                </c:pt>
                <c:pt idx="96">
                  <c:v>5.1915834454121512</c:v>
                </c:pt>
                <c:pt idx="97">
                  <c:v>5.6672959906850062</c:v>
                </c:pt>
                <c:pt idx="98">
                  <c:v>5.9354480215494831</c:v>
                </c:pt>
                <c:pt idx="99">
                  <c:v>6.2062327478977775</c:v>
                </c:pt>
                <c:pt idx="100">
                  <c:v>6.5924248756255466</c:v>
                </c:pt>
                <c:pt idx="101">
                  <c:v>6.779594659077004</c:v>
                </c:pt>
                <c:pt idx="102">
                  <c:v>7.2150207723926441</c:v>
                </c:pt>
                <c:pt idx="103">
                  <c:v>7.2818609760382902</c:v>
                </c:pt>
                <c:pt idx="104">
                  <c:v>7.4944617940686076</c:v>
                </c:pt>
                <c:pt idx="105">
                  <c:v>7.6513915096307006</c:v>
                </c:pt>
                <c:pt idx="106">
                  <c:v>8.049969502096177</c:v>
                </c:pt>
                <c:pt idx="107">
                  <c:v>8.2797297030075434</c:v>
                </c:pt>
                <c:pt idx="108">
                  <c:v>8.4238564836415222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844-4713-9020-ACF8C1EA2561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9523828892687394E-4"/>
                  <c:y val="3.11342228858657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00" b="1">
                      <a:solidFill>
                        <a:schemeClr val="tx2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44-4713-9020-ACF8C1EA25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2018'!$A$100:$B$208</c:f>
              <c:multiLvlStrCache>
                <c:ptCount val="109"/>
                <c:lvl>
                  <c:pt idx="0">
                    <c:v>Oct</c:v>
                  </c:pt>
                  <c:pt idx="1">
                    <c:v>Nov</c:v>
                  </c:pt>
                  <c:pt idx="2">
                    <c:v>Dic</c:v>
                  </c:pt>
                  <c:pt idx="3">
                    <c:v>Ene</c:v>
                  </c:pt>
                  <c:pt idx="4">
                    <c:v>Feb</c:v>
                  </c:pt>
                  <c:pt idx="5">
                    <c:v>Mar</c:v>
                  </c:pt>
                  <c:pt idx="6">
                    <c:v>Abr</c:v>
                  </c:pt>
                  <c:pt idx="7">
                    <c:v>May</c:v>
                  </c:pt>
                  <c:pt idx="8">
                    <c:v>Jun</c:v>
                  </c:pt>
                  <c:pt idx="9">
                    <c:v>Jul</c:v>
                  </c:pt>
                  <c:pt idx="10">
                    <c:v>Ago</c:v>
                  </c:pt>
                  <c:pt idx="11">
                    <c:v>Sep</c:v>
                  </c:pt>
                  <c:pt idx="12">
                    <c:v>Oct</c:v>
                  </c:pt>
                  <c:pt idx="13">
                    <c:v>Nov</c:v>
                  </c:pt>
                  <c:pt idx="14">
                    <c:v>Dic</c:v>
                  </c:pt>
                  <c:pt idx="15">
                    <c:v>Ene</c:v>
                  </c:pt>
                  <c:pt idx="16">
                    <c:v>Feb</c:v>
                  </c:pt>
                  <c:pt idx="17">
                    <c:v>Mar</c:v>
                  </c:pt>
                  <c:pt idx="18">
                    <c:v>Abr</c:v>
                  </c:pt>
                  <c:pt idx="19">
                    <c:v>May</c:v>
                  </c:pt>
                  <c:pt idx="20">
                    <c:v>Jun</c:v>
                  </c:pt>
                  <c:pt idx="21">
                    <c:v>Jul</c:v>
                  </c:pt>
                  <c:pt idx="22">
                    <c:v>Ago</c:v>
                  </c:pt>
                  <c:pt idx="23">
                    <c:v>Sep</c:v>
                  </c:pt>
                  <c:pt idx="24">
                    <c:v>Oct</c:v>
                  </c:pt>
                  <c:pt idx="25">
                    <c:v>Nov</c:v>
                  </c:pt>
                  <c:pt idx="26">
                    <c:v>Dic</c:v>
                  </c:pt>
                  <c:pt idx="27">
                    <c:v>Ene </c:v>
                  </c:pt>
                  <c:pt idx="28">
                    <c:v>Feb</c:v>
                  </c:pt>
                  <c:pt idx="29">
                    <c:v>Mar</c:v>
                  </c:pt>
                  <c:pt idx="30">
                    <c:v>Abr</c:v>
                  </c:pt>
                  <c:pt idx="31">
                    <c:v>May</c:v>
                  </c:pt>
                  <c:pt idx="32">
                    <c:v>Jun</c:v>
                  </c:pt>
                  <c:pt idx="33">
                    <c:v>Jul</c:v>
                  </c:pt>
                  <c:pt idx="34">
                    <c:v>Ago</c:v>
                  </c:pt>
                  <c:pt idx="35">
                    <c:v>Sep</c:v>
                  </c:pt>
                  <c:pt idx="36">
                    <c:v>Oct</c:v>
                  </c:pt>
                  <c:pt idx="37">
                    <c:v>Nov</c:v>
                  </c:pt>
                  <c:pt idx="38">
                    <c:v>Dic</c:v>
                  </c:pt>
                  <c:pt idx="39">
                    <c:v>Ene </c:v>
                  </c:pt>
                  <c:pt idx="40">
                    <c:v>Feb</c:v>
                  </c:pt>
                  <c:pt idx="41">
                    <c:v>Mar</c:v>
                  </c:pt>
                  <c:pt idx="42">
                    <c:v>Abr</c:v>
                  </c:pt>
                  <c:pt idx="43">
                    <c:v>May</c:v>
                  </c:pt>
                  <c:pt idx="44">
                    <c:v>Jun</c:v>
                  </c:pt>
                  <c:pt idx="45">
                    <c:v>Jul</c:v>
                  </c:pt>
                  <c:pt idx="46">
                    <c:v>Ago</c:v>
                  </c:pt>
                  <c:pt idx="47">
                    <c:v>Sep</c:v>
                  </c:pt>
                  <c:pt idx="48">
                    <c:v>Oct</c:v>
                  </c:pt>
                  <c:pt idx="49">
                    <c:v>Nov</c:v>
                  </c:pt>
                  <c:pt idx="50">
                    <c:v>Dic</c:v>
                  </c:pt>
                  <c:pt idx="51">
                    <c:v>Ene </c:v>
                  </c:pt>
                  <c:pt idx="52">
                    <c:v>Feb</c:v>
                  </c:pt>
                  <c:pt idx="53">
                    <c:v>Mar</c:v>
                  </c:pt>
                  <c:pt idx="54">
                    <c:v>Abr</c:v>
                  </c:pt>
                  <c:pt idx="55">
                    <c:v>May</c:v>
                  </c:pt>
                  <c:pt idx="56">
                    <c:v>Jun</c:v>
                  </c:pt>
                  <c:pt idx="57">
                    <c:v>Jul</c:v>
                  </c:pt>
                  <c:pt idx="58">
                    <c:v>Ago</c:v>
                  </c:pt>
                  <c:pt idx="59">
                    <c:v>Sep</c:v>
                  </c:pt>
                  <c:pt idx="60">
                    <c:v>Oct</c:v>
                  </c:pt>
                  <c:pt idx="61">
                    <c:v>Nov</c:v>
                  </c:pt>
                  <c:pt idx="62">
                    <c:v>Dic</c:v>
                  </c:pt>
                  <c:pt idx="63">
                    <c:v>Ene </c:v>
                  </c:pt>
                  <c:pt idx="64">
                    <c:v>Feb</c:v>
                  </c:pt>
                  <c:pt idx="65">
                    <c:v>Mar</c:v>
                  </c:pt>
                  <c:pt idx="66">
                    <c:v>Abr</c:v>
                  </c:pt>
                  <c:pt idx="67">
                    <c:v>May</c:v>
                  </c:pt>
                  <c:pt idx="68">
                    <c:v>Jun</c:v>
                  </c:pt>
                  <c:pt idx="69">
                    <c:v>Jul</c:v>
                  </c:pt>
                  <c:pt idx="70">
                    <c:v>Ago</c:v>
                  </c:pt>
                  <c:pt idx="71">
                    <c:v>Sep</c:v>
                  </c:pt>
                  <c:pt idx="72">
                    <c:v>Oct</c:v>
                  </c:pt>
                  <c:pt idx="73">
                    <c:v>Nov</c:v>
                  </c:pt>
                  <c:pt idx="74">
                    <c:v>Dic</c:v>
                  </c:pt>
                  <c:pt idx="75">
                    <c:v>Ene </c:v>
                  </c:pt>
                  <c:pt idx="76">
                    <c:v>Feb</c:v>
                  </c:pt>
                  <c:pt idx="77">
                    <c:v>Mar</c:v>
                  </c:pt>
                  <c:pt idx="78">
                    <c:v>Abr</c:v>
                  </c:pt>
                  <c:pt idx="79">
                    <c:v>May</c:v>
                  </c:pt>
                  <c:pt idx="80">
                    <c:v>Jun</c:v>
                  </c:pt>
                  <c:pt idx="81">
                    <c:v>Jul</c:v>
                  </c:pt>
                  <c:pt idx="82">
                    <c:v>Ago</c:v>
                  </c:pt>
                  <c:pt idx="83">
                    <c:v>Sep</c:v>
                  </c:pt>
                  <c:pt idx="84">
                    <c:v>Oct</c:v>
                  </c:pt>
                  <c:pt idx="85">
                    <c:v>Nov</c:v>
                  </c:pt>
                  <c:pt idx="86">
                    <c:v>Dic</c:v>
                  </c:pt>
                  <c:pt idx="87">
                    <c:v>Ene </c:v>
                  </c:pt>
                  <c:pt idx="88">
                    <c:v>Feb</c:v>
                  </c:pt>
                  <c:pt idx="89">
                    <c:v>Mar</c:v>
                  </c:pt>
                  <c:pt idx="90">
                    <c:v>Abr</c:v>
                  </c:pt>
                  <c:pt idx="91">
                    <c:v>May</c:v>
                  </c:pt>
                  <c:pt idx="92">
                    <c:v>Jun</c:v>
                  </c:pt>
                  <c:pt idx="93">
                    <c:v>Jul</c:v>
                  </c:pt>
                  <c:pt idx="94">
                    <c:v>Ago</c:v>
                  </c:pt>
                  <c:pt idx="95">
                    <c:v>Sep</c:v>
                  </c:pt>
                  <c:pt idx="96">
                    <c:v>Oct</c:v>
                  </c:pt>
                  <c:pt idx="97">
                    <c:v>Nov</c:v>
                  </c:pt>
                  <c:pt idx="98">
                    <c:v>Dic</c:v>
                  </c:pt>
                  <c:pt idx="99">
                    <c:v>Ene </c:v>
                  </c:pt>
                  <c:pt idx="100">
                    <c:v>Feb</c:v>
                  </c:pt>
                  <c:pt idx="101">
                    <c:v>Mar</c:v>
                  </c:pt>
                  <c:pt idx="102">
                    <c:v>Abr</c:v>
                  </c:pt>
                  <c:pt idx="103">
                    <c:v>May</c:v>
                  </c:pt>
                  <c:pt idx="104">
                    <c:v>Jun</c:v>
                  </c:pt>
                  <c:pt idx="105">
                    <c:v>Jul</c:v>
                  </c:pt>
                  <c:pt idx="106">
                    <c:v>Ago</c:v>
                  </c:pt>
                  <c:pt idx="107">
                    <c:v>Sep</c:v>
                  </c:pt>
                  <c:pt idx="108">
                    <c:v>Oct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2015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2016</c:v>
                  </c:pt>
                  <c:pt idx="28">
                    <c:v>2016</c:v>
                  </c:pt>
                  <c:pt idx="29">
                    <c:v>2016</c:v>
                  </c:pt>
                  <c:pt idx="30">
                    <c:v>2016</c:v>
                  </c:pt>
                  <c:pt idx="31">
                    <c:v>2016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2017</c:v>
                  </c:pt>
                  <c:pt idx="40">
                    <c:v>2017</c:v>
                  </c:pt>
                  <c:pt idx="41">
                    <c:v>2017</c:v>
                  </c:pt>
                  <c:pt idx="42">
                    <c:v>2017</c:v>
                  </c:pt>
                  <c:pt idx="43">
                    <c:v>2017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2018</c:v>
                  </c:pt>
                  <c:pt idx="52">
                    <c:v>2018</c:v>
                  </c:pt>
                  <c:pt idx="53">
                    <c:v>2018</c:v>
                  </c:pt>
                  <c:pt idx="54">
                    <c:v>2018</c:v>
                  </c:pt>
                  <c:pt idx="55">
                    <c:v>2018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2019</c:v>
                  </c:pt>
                  <c:pt idx="64">
                    <c:v>2019</c:v>
                  </c:pt>
                  <c:pt idx="65">
                    <c:v>2019</c:v>
                  </c:pt>
                  <c:pt idx="66">
                    <c:v>2019</c:v>
                  </c:pt>
                  <c:pt idx="67">
                    <c:v>2019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2020</c:v>
                  </c:pt>
                  <c:pt idx="76">
                    <c:v>2020</c:v>
                  </c:pt>
                  <c:pt idx="77">
                    <c:v>2020</c:v>
                  </c:pt>
                  <c:pt idx="78">
                    <c:v>2020</c:v>
                  </c:pt>
                  <c:pt idx="79">
                    <c:v>2020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2021</c:v>
                  </c:pt>
                  <c:pt idx="88">
                    <c:v>2021</c:v>
                  </c:pt>
                  <c:pt idx="89">
                    <c:v>2021</c:v>
                  </c:pt>
                  <c:pt idx="90">
                    <c:v>2021</c:v>
                  </c:pt>
                  <c:pt idx="91">
                    <c:v>2021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2022</c:v>
                  </c:pt>
                  <c:pt idx="100">
                    <c:v>2022</c:v>
                  </c:pt>
                  <c:pt idx="101">
                    <c:v>2022</c:v>
                  </c:pt>
                  <c:pt idx="102">
                    <c:v>2022</c:v>
                  </c:pt>
                  <c:pt idx="103">
                    <c:v>2022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2018'!$K$100:$K$208</c:f>
              <c:numCache>
                <c:formatCode>0.00</c:formatCode>
                <c:ptCount val="109"/>
                <c:pt idx="0">
                  <c:v>6.1824504951925601</c:v>
                </c:pt>
                <c:pt idx="1">
                  <c:v>7.017016415926693</c:v>
                </c:pt>
                <c:pt idx="2">
                  <c:v>7.8424026575887362</c:v>
                </c:pt>
                <c:pt idx="3">
                  <c:v>8.582372700473222</c:v>
                </c:pt>
                <c:pt idx="4">
                  <c:v>8.2824424434665769</c:v>
                </c:pt>
                <c:pt idx="5">
                  <c:v>6.5354997126406733</c:v>
                </c:pt>
                <c:pt idx="6">
                  <c:v>4.7475792496286298</c:v>
                </c:pt>
                <c:pt idx="7">
                  <c:v>5.1863578239874082</c:v>
                </c:pt>
                <c:pt idx="8">
                  <c:v>5.9617265692740871</c:v>
                </c:pt>
                <c:pt idx="9">
                  <c:v>6.8271579641693165</c:v>
                </c:pt>
                <c:pt idx="10">
                  <c:v>6.7182708744115081</c:v>
                </c:pt>
                <c:pt idx="11">
                  <c:v>7.1119588300636041</c:v>
                </c:pt>
                <c:pt idx="12">
                  <c:v>7.5060565081171537</c:v>
                </c:pt>
                <c:pt idx="13">
                  <c:v>6.7763144885481852</c:v>
                </c:pt>
                <c:pt idx="14">
                  <c:v>6.6991037192450129</c:v>
                </c:pt>
                <c:pt idx="15">
                  <c:v>5.338364978916446</c:v>
                </c:pt>
                <c:pt idx="16">
                  <c:v>4.8839859296475376</c:v>
                </c:pt>
                <c:pt idx="17">
                  <c:v>5.2924328408390062</c:v>
                </c:pt>
                <c:pt idx="18">
                  <c:v>5.4633403420644067</c:v>
                </c:pt>
                <c:pt idx="19">
                  <c:v>4.6431485542286817</c:v>
                </c:pt>
                <c:pt idx="20">
                  <c:v>4.6336651275337841</c:v>
                </c:pt>
                <c:pt idx="21">
                  <c:v>4.1241442964936512</c:v>
                </c:pt>
                <c:pt idx="22">
                  <c:v>3.5125321367639772</c:v>
                </c:pt>
                <c:pt idx="23">
                  <c:v>2.963926777529815</c:v>
                </c:pt>
                <c:pt idx="24">
                  <c:v>2.5249797574191013</c:v>
                </c:pt>
                <c:pt idx="25">
                  <c:v>1.843026887014072</c:v>
                </c:pt>
                <c:pt idx="26">
                  <c:v>1.2762511606747</c:v>
                </c:pt>
                <c:pt idx="27">
                  <c:v>2.522246807825427</c:v>
                </c:pt>
                <c:pt idx="28">
                  <c:v>3.4938208536903983</c:v>
                </c:pt>
                <c:pt idx="29">
                  <c:v>2.1164916182627671</c:v>
                </c:pt>
                <c:pt idx="30">
                  <c:v>1.6595743619222199</c:v>
                </c:pt>
                <c:pt idx="31">
                  <c:v>1.5477448099930948</c:v>
                </c:pt>
                <c:pt idx="32">
                  <c:v>1.1555817183581019</c:v>
                </c:pt>
                <c:pt idx="33">
                  <c:v>1.6461385320237307</c:v>
                </c:pt>
                <c:pt idx="34">
                  <c:v>1.9876330916648821</c:v>
                </c:pt>
                <c:pt idx="35">
                  <c:v>2.6526253855259565</c:v>
                </c:pt>
                <c:pt idx="36">
                  <c:v>2.9532598018049154</c:v>
                </c:pt>
                <c:pt idx="37">
                  <c:v>3.3414816660668851</c:v>
                </c:pt>
                <c:pt idx="38">
                  <c:v>3.1263239622002197</c:v>
                </c:pt>
                <c:pt idx="39">
                  <c:v>7.399186009491145</c:v>
                </c:pt>
                <c:pt idx="40">
                  <c:v>6.7088696245197807</c:v>
                </c:pt>
                <c:pt idx="41">
                  <c:v>8.0239017559605941</c:v>
                </c:pt>
                <c:pt idx="42">
                  <c:v>9.2498471387532266</c:v>
                </c:pt>
                <c:pt idx="43">
                  <c:v>10.603551237535402</c:v>
                </c:pt>
                <c:pt idx="44">
                  <c:v>11.0921132755296</c:v>
                </c:pt>
                <c:pt idx="45">
                  <c:v>11.271739327633481</c:v>
                </c:pt>
                <c:pt idx="46">
                  <c:v>11.984296254130735</c:v>
                </c:pt>
                <c:pt idx="47">
                  <c:v>11.27940701705263</c:v>
                </c:pt>
                <c:pt idx="48">
                  <c:v>11.401788332337997</c:v>
                </c:pt>
                <c:pt idx="49">
                  <c:v>11.9730078319096</c:v>
                </c:pt>
                <c:pt idx="50">
                  <c:v>12.621131109032941</c:v>
                </c:pt>
                <c:pt idx="51">
                  <c:v>8.4396254977826892</c:v>
                </c:pt>
                <c:pt idx="52">
                  <c:v>8.491229033565558</c:v>
                </c:pt>
                <c:pt idx="53">
                  <c:v>8.0270896801162657</c:v>
                </c:pt>
                <c:pt idx="54">
                  <c:v>7.0713450732142382</c:v>
                </c:pt>
                <c:pt idx="55">
                  <c:v>6.9879395591619682</c:v>
                </c:pt>
                <c:pt idx="56">
                  <c:v>7.7916771163987235</c:v>
                </c:pt>
                <c:pt idx="57">
                  <c:v>8.381461263852346</c:v>
                </c:pt>
                <c:pt idx="58">
                  <c:v>8.8021172100991283</c:v>
                </c:pt>
                <c:pt idx="59">
                  <c:v>9.1504116117487211</c:v>
                </c:pt>
                <c:pt idx="60">
                  <c:v>8.4990813438131205</c:v>
                </c:pt>
                <c:pt idx="61">
                  <c:v>8.0727173955203568</c:v>
                </c:pt>
                <c:pt idx="62">
                  <c:v>8.3985017457426814</c:v>
                </c:pt>
                <c:pt idx="63">
                  <c:v>6.8077764553492903</c:v>
                </c:pt>
                <c:pt idx="64">
                  <c:v>5.2529539129089642</c:v>
                </c:pt>
                <c:pt idx="65">
                  <c:v>5.4665367537646503</c:v>
                </c:pt>
                <c:pt idx="66">
                  <c:v>6.0820526568256206</c:v>
                </c:pt>
                <c:pt idx="67">
                  <c:v>5.7798859220474119</c:v>
                </c:pt>
                <c:pt idx="68">
                  <c:v>4.1879028979615152</c:v>
                </c:pt>
                <c:pt idx="69">
                  <c:v>3.6443895185500175</c:v>
                </c:pt>
                <c:pt idx="70">
                  <c:v>1.2826704768500674</c:v>
                </c:pt>
                <c:pt idx="71">
                  <c:v>0.70609573204361009</c:v>
                </c:pt>
                <c:pt idx="72">
                  <c:v>1.0130453924242833</c:v>
                </c:pt>
                <c:pt idx="73">
                  <c:v>0.97682795762952246</c:v>
                </c:pt>
                <c:pt idx="74">
                  <c:v>0.58876764232136392</c:v>
                </c:pt>
                <c:pt idx="75">
                  <c:v>1.8057923017696931</c:v>
                </c:pt>
                <c:pt idx="76">
                  <c:v>3.8136885018296152</c:v>
                </c:pt>
                <c:pt idx="77">
                  <c:v>2.1913362911220702</c:v>
                </c:pt>
                <c:pt idx="78">
                  <c:v>-1.9643560542747407</c:v>
                </c:pt>
                <c:pt idx="79">
                  <c:v>0.35014034635030278</c:v>
                </c:pt>
                <c:pt idx="80">
                  <c:v>2.1609288294935469</c:v>
                </c:pt>
                <c:pt idx="81">
                  <c:v>2.9170722337170885</c:v>
                </c:pt>
                <c:pt idx="82">
                  <c:v>4.3012488266652937</c:v>
                </c:pt>
                <c:pt idx="83">
                  <c:v>4.1006333362519465</c:v>
                </c:pt>
                <c:pt idx="84">
                  <c:v>4.4203239013913098</c:v>
                </c:pt>
                <c:pt idx="85">
                  <c:v>2.3294058286536634</c:v>
                </c:pt>
                <c:pt idx="86">
                  <c:v>1.1841216685014366</c:v>
                </c:pt>
                <c:pt idx="87">
                  <c:v>2.6308382492326032</c:v>
                </c:pt>
                <c:pt idx="88">
                  <c:v>3.4348492636259165</c:v>
                </c:pt>
                <c:pt idx="89">
                  <c:v>6.3139857357302098</c:v>
                </c:pt>
                <c:pt idx="90">
                  <c:v>12.336770332407543</c:v>
                </c:pt>
                <c:pt idx="91">
                  <c:v>10.761266076076348</c:v>
                </c:pt>
                <c:pt idx="92">
                  <c:v>9.9970748208288782</c:v>
                </c:pt>
                <c:pt idx="93">
                  <c:v>9.3939049051903432</c:v>
                </c:pt>
                <c:pt idx="94">
                  <c:v>8.1394514594660183</c:v>
                </c:pt>
                <c:pt idx="95">
                  <c:v>9.3701646831894081</c:v>
                </c:pt>
                <c:pt idx="96">
                  <c:v>9.4727418886878958</c:v>
                </c:pt>
                <c:pt idx="97">
                  <c:v>12.611285493352554</c:v>
                </c:pt>
                <c:pt idx="98">
                  <c:v>11.735036558874356</c:v>
                </c:pt>
                <c:pt idx="99">
                  <c:v>9.682487967422615</c:v>
                </c:pt>
                <c:pt idx="100">
                  <c:v>9.33742728893343</c:v>
                </c:pt>
                <c:pt idx="101">
                  <c:v>9.4493297631981665</c:v>
                </c:pt>
                <c:pt idx="102">
                  <c:v>9.0699302455323316</c:v>
                </c:pt>
                <c:pt idx="103">
                  <c:v>8.7663328293108744</c:v>
                </c:pt>
                <c:pt idx="104">
                  <c:v>9.4683292280649987</c:v>
                </c:pt>
                <c:pt idx="105">
                  <c:v>9.6453097118526454</c:v>
                </c:pt>
                <c:pt idx="106">
                  <c:v>10.647161211391619</c:v>
                </c:pt>
                <c:pt idx="107">
                  <c:v>9.961979024285462</c:v>
                </c:pt>
                <c:pt idx="108">
                  <c:v>8.3571108343300402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844-4713-9020-ACF8C1EA25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8499216"/>
        <c:axId val="588500392"/>
      </c:lineChart>
      <c:catAx>
        <c:axId val="588499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50039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58850039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849921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6B18A-DDA5-47B9-92DB-932D15E0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30</TotalTime>
  <Pages>10</Pages>
  <Words>1940</Words>
  <Characters>10671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 DE PRENSA. INDICE NACIONAL DE PRECIOS AL CONSUMIDOR</vt:lpstr>
      <vt:lpstr>COMUNICADO DE PRENSA. INDICE NACIONAL DE PRECIOS AL CONSUMIDOR</vt:lpstr>
    </vt:vector>
  </TitlesOfParts>
  <Company>INEGI</Company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INDICE DE PRECIOS AL CONSUMIDOR</cp:keywords>
  <cp:lastModifiedBy>GUILLEN MEDINA MOISES</cp:lastModifiedBy>
  <cp:revision>36</cp:revision>
  <cp:lastPrinted>2022-07-06T15:04:00Z</cp:lastPrinted>
  <dcterms:created xsi:type="dcterms:W3CDTF">2022-11-08T18:17:00Z</dcterms:created>
  <dcterms:modified xsi:type="dcterms:W3CDTF">2022-11-08T21:03:00Z</dcterms:modified>
  <cp:category>ÍNDICES DE PRECIOS</cp:category>
  <cp:version>1</cp:version>
</cp:coreProperties>
</file>