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AAEA" w14:textId="77777777" w:rsidR="00A039DC" w:rsidRPr="00FC3C74" w:rsidRDefault="00A039DC" w:rsidP="00A039DC">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0B361F3" wp14:editId="6CC17C65">
                <wp:simplePos x="0" y="0"/>
                <wp:positionH relativeFrom="column">
                  <wp:posOffset>3037205</wp:posOffset>
                </wp:positionH>
                <wp:positionV relativeFrom="paragraph">
                  <wp:posOffset>0</wp:posOffset>
                </wp:positionV>
                <wp:extent cx="3336290" cy="3048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04800"/>
                        </a:xfrm>
                        <a:prstGeom prst="rect">
                          <a:avLst/>
                        </a:prstGeom>
                        <a:solidFill>
                          <a:srgbClr val="FFFFFF"/>
                        </a:solidFill>
                        <a:ln w="9525">
                          <a:noFill/>
                          <a:miter lim="800000"/>
                          <a:headEnd/>
                          <a:tailEnd/>
                        </a:ln>
                      </wps:spPr>
                      <wps:txbx>
                        <w:txbxContent>
                          <w:p w14:paraId="76758BD3" w14:textId="77777777" w:rsidR="00A039DC" w:rsidRPr="003D4E37" w:rsidRDefault="00A039DC" w:rsidP="00A039D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w:t>
                            </w:r>
                          </w:p>
                          <w:p w14:paraId="1682274C" w14:textId="77777777" w:rsidR="00A039DC" w:rsidRPr="003D4E37" w:rsidRDefault="00A039DC" w:rsidP="00A039D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361F3"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" stroked="f">
                <v:textbox>
                  <w:txbxContent>
                    <w:p w14:paraId="76758BD3" w14:textId="77777777" w:rsidR="00A039DC" w:rsidRPr="003D4E37" w:rsidRDefault="00A039DC" w:rsidP="00A039D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w:t>
                      </w:r>
                    </w:p>
                    <w:p w14:paraId="1682274C" w14:textId="77777777" w:rsidR="00A039DC" w:rsidRPr="003D4E37" w:rsidRDefault="00A039DC" w:rsidP="00A039DC">
                      <w:pPr>
                        <w:jc w:val="right"/>
                      </w:pPr>
                    </w:p>
                  </w:txbxContent>
                </v:textbox>
                <w10:wrap type="square"/>
              </v:shape>
            </w:pict>
          </mc:Fallback>
        </mc:AlternateContent>
      </w:r>
      <w:bookmarkStart w:id="0" w:name="_Hlk61875621"/>
    </w:p>
    <w:p w14:paraId="5B61CC51" w14:textId="77777777" w:rsidR="00A039DC" w:rsidRPr="003C0C3F" w:rsidRDefault="00A039DC" w:rsidP="00A039DC">
      <w:pPr>
        <w:jc w:val="center"/>
        <w:rPr>
          <w:b/>
          <w:bCs/>
          <w:caps/>
          <w:lang w:val="es-MX"/>
        </w:rPr>
      </w:pPr>
    </w:p>
    <w:p w14:paraId="51E81C30" w14:textId="77777777" w:rsidR="00A039DC" w:rsidRDefault="00A039DC" w:rsidP="00A039DC">
      <w:pPr>
        <w:pStyle w:val="Ttulo"/>
        <w:spacing w:before="120"/>
        <w:ind w:left="709" w:hanging="425"/>
        <w:rPr>
          <w:sz w:val="8"/>
          <w:szCs w:val="8"/>
        </w:rPr>
      </w:pPr>
    </w:p>
    <w:p w14:paraId="508E3255" w14:textId="77777777" w:rsidR="00A039DC" w:rsidRPr="00775B9A" w:rsidRDefault="00A039DC" w:rsidP="00A039DC">
      <w:pPr>
        <w:pStyle w:val="Ttulo"/>
        <w:spacing w:before="120"/>
        <w:ind w:left="709" w:hanging="425"/>
        <w:rPr>
          <w:sz w:val="8"/>
          <w:szCs w:val="8"/>
        </w:rPr>
      </w:pPr>
    </w:p>
    <w:p w14:paraId="7A2DB8FF" w14:textId="4C15676A" w:rsidR="00A039DC" w:rsidRPr="00E11AEE" w:rsidRDefault="00A039DC" w:rsidP="00A039DC">
      <w:pPr>
        <w:pStyle w:val="Profesin"/>
        <w:rPr>
          <w:b w:val="0"/>
          <w:sz w:val="24"/>
          <w:szCs w:val="24"/>
        </w:rPr>
      </w:pPr>
      <w:bookmarkStart w:id="1" w:name="_GoBack"/>
      <w:bookmarkEnd w:id="1"/>
      <w:r w:rsidRPr="00E11AEE">
        <w:rPr>
          <w:sz w:val="24"/>
          <w:szCs w:val="24"/>
        </w:rPr>
        <w:t>ÍNDICE NACIONAL DE PRECIOS productor</w:t>
      </w:r>
    </w:p>
    <w:p w14:paraId="471F11D6" w14:textId="77777777" w:rsidR="00A039DC" w:rsidRPr="00E11AEE" w:rsidRDefault="00A039DC" w:rsidP="00A039DC">
      <w:pPr>
        <w:pStyle w:val="Profesin"/>
        <w:spacing w:before="60"/>
        <w:rPr>
          <w:sz w:val="24"/>
          <w:szCs w:val="24"/>
        </w:rPr>
      </w:pPr>
      <w:r w:rsidRPr="00E11AEE">
        <w:rPr>
          <w:sz w:val="24"/>
          <w:szCs w:val="24"/>
        </w:rPr>
        <w:t>OCTUBRE DE 2022</w:t>
      </w:r>
    </w:p>
    <w:p w14:paraId="0DFC1AAF" w14:textId="77777777" w:rsidR="00A039DC" w:rsidRPr="00E11AEE" w:rsidRDefault="00A039DC" w:rsidP="00A039DC">
      <w:pPr>
        <w:spacing w:before="240"/>
        <w:ind w:right="49"/>
        <w:rPr>
          <w:bCs/>
          <w:spacing w:val="6"/>
        </w:rPr>
      </w:pPr>
      <w:r w:rsidRPr="00E11AEE">
        <w:rPr>
          <w:bCs/>
          <w:spacing w:val="6"/>
        </w:rPr>
        <w:t>En octubre de 2022, el Índice Nacional de Precios Productor (INPP) total, incluyendo petróleo, disminuyó 0.18 % a tasa mensual y aumentó 7.20 % a tasa anual. En el mismo mes de 2021 creció 1.22 % a tasa mensual y 8.39 % a tasa anual.</w:t>
      </w:r>
    </w:p>
    <w:p w14:paraId="1B985A2F" w14:textId="77777777" w:rsidR="00A039DC" w:rsidRPr="00E11AEE" w:rsidRDefault="00A039DC" w:rsidP="00A039DC">
      <w:pPr>
        <w:spacing w:before="360"/>
        <w:ind w:right="49"/>
        <w:rPr>
          <w:bCs/>
          <w:spacing w:val="6"/>
        </w:rPr>
      </w:pPr>
      <w:r w:rsidRPr="00E11AEE">
        <w:rPr>
          <w:bCs/>
          <w:spacing w:val="6"/>
        </w:rPr>
        <w:t>A tasa mensual y por grupos de actividades económicas, los precios de las actividades primarias descendieron 0.29 %, los de secundarias, 0.36 % y los de las actividades terciarias subieron 0.20 por ciento.</w:t>
      </w:r>
    </w:p>
    <w:p w14:paraId="3EC86FCD" w14:textId="77777777" w:rsidR="00A039DC" w:rsidRPr="00E11AEE" w:rsidRDefault="00A039DC" w:rsidP="00A039DC">
      <w:pPr>
        <w:spacing w:before="360"/>
        <w:ind w:right="49"/>
        <w:rPr>
          <w:bCs/>
          <w:spacing w:val="6"/>
        </w:rPr>
      </w:pPr>
      <w:r w:rsidRPr="00E11AEE">
        <w:rPr>
          <w:bCs/>
          <w:spacing w:val="6"/>
        </w:rPr>
        <w:t>El Índice de Mercancías y Servicios de Uso Intermedio, incluyendo petróleo, retrocedió 0.91 % a tasa mensual y ascendió 6.91 % a tasa anual.</w:t>
      </w:r>
    </w:p>
    <w:p w14:paraId="2A75E430" w14:textId="77777777" w:rsidR="00A039DC" w:rsidRPr="00E11AEE" w:rsidRDefault="00A039DC" w:rsidP="00A039DC">
      <w:pPr>
        <w:spacing w:before="360"/>
        <w:ind w:right="49"/>
        <w:rPr>
          <w:bCs/>
          <w:spacing w:val="6"/>
        </w:rPr>
      </w:pPr>
      <w:r w:rsidRPr="00E11AEE">
        <w:rPr>
          <w:bCs/>
          <w:spacing w:val="6"/>
        </w:rPr>
        <w:t>En octubre de 2022, el Índice de Mercancías y Servicios Finales, incluyendo petróleo, creció 0.11 % a tasa mensual y 7.31 %, a tasa anual.</w:t>
      </w:r>
    </w:p>
    <w:p w14:paraId="07BFE1AE" w14:textId="77777777" w:rsidR="00A039DC" w:rsidRDefault="00A039DC" w:rsidP="00A039DC">
      <w:pPr>
        <w:jc w:val="center"/>
        <w:rPr>
          <w:snapToGrid w:val="0"/>
          <w:sz w:val="20"/>
          <w:szCs w:val="20"/>
        </w:rPr>
      </w:pPr>
    </w:p>
    <w:p w14:paraId="67417453" w14:textId="77777777" w:rsidR="00A039DC" w:rsidRPr="00171176" w:rsidRDefault="00A039DC" w:rsidP="00A039DC">
      <w:pPr>
        <w:spacing w:before="240"/>
        <w:jc w:val="center"/>
        <w:rPr>
          <w:snapToGrid w:val="0"/>
          <w:sz w:val="20"/>
          <w:szCs w:val="20"/>
        </w:rPr>
      </w:pPr>
      <w:r w:rsidRPr="00171176">
        <w:rPr>
          <w:snapToGrid w:val="0"/>
          <w:sz w:val="20"/>
          <w:szCs w:val="20"/>
        </w:rPr>
        <w:t>Cuadro 1</w:t>
      </w:r>
    </w:p>
    <w:p w14:paraId="5518831F" w14:textId="77777777" w:rsidR="00A039DC" w:rsidRPr="00E21E68" w:rsidRDefault="00A039DC" w:rsidP="00A039DC">
      <w:pPr>
        <w:keepNext/>
        <w:keepLines/>
        <w:widowControl w:val="0"/>
        <w:autoSpaceDE w:val="0"/>
        <w:autoSpaceDN w:val="0"/>
        <w:adjustRightInd w:val="0"/>
        <w:jc w:val="center"/>
        <w:rPr>
          <w:smallCaps/>
          <w:snapToGrid w:val="0"/>
          <w:sz w:val="20"/>
          <w:szCs w:val="20"/>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286B167A" w14:textId="77777777" w:rsidR="00A039DC" w:rsidRPr="00E21E68" w:rsidRDefault="00A039DC" w:rsidP="00A039DC">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intermedios, finales y producción total, </w:t>
      </w:r>
      <w:r w:rsidRPr="00E21E68">
        <w:rPr>
          <w:b/>
          <w:smallCaps/>
          <w:snapToGrid w:val="0"/>
          <w:sz w:val="22"/>
          <w:szCs w:val="22"/>
        </w:rPr>
        <w:br/>
        <w:t>incluyendo petróleo, clasificación por origen</w:t>
      </w:r>
    </w:p>
    <w:p w14:paraId="2F4A1479" w14:textId="77777777" w:rsidR="00A039DC" w:rsidRPr="00E21E68" w:rsidRDefault="00A039DC" w:rsidP="00A039DC">
      <w:pPr>
        <w:keepNext/>
        <w:keepLines/>
        <w:widowControl w:val="0"/>
        <w:autoSpaceDE w:val="0"/>
        <w:autoSpaceDN w:val="0"/>
        <w:adjustRightInd w:val="0"/>
        <w:jc w:val="center"/>
        <w:rPr>
          <w:b/>
          <w:smallCaps/>
          <w:snapToGrid w:val="0"/>
          <w:sz w:val="22"/>
          <w:szCs w:val="22"/>
        </w:rPr>
      </w:pPr>
      <w:r>
        <w:rPr>
          <w:b/>
          <w:smallCaps/>
          <w:snapToGrid w:val="0"/>
          <w:sz w:val="22"/>
          <w:szCs w:val="22"/>
        </w:rPr>
        <w:t>octubre</w:t>
      </w:r>
      <w:r w:rsidRPr="00E21E68">
        <w:rPr>
          <w:b/>
          <w:smallCaps/>
          <w:snapToGrid w:val="0"/>
          <w:sz w:val="22"/>
          <w:szCs w:val="22"/>
        </w:rPr>
        <w:t xml:space="preserve"> de 2022</w:t>
      </w:r>
    </w:p>
    <w:p w14:paraId="48002ABE" w14:textId="77777777" w:rsidR="00A039DC" w:rsidRPr="00A2365B" w:rsidRDefault="00A039DC" w:rsidP="00A039DC">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A039DC" w:rsidRPr="00A9663B" w14:paraId="3B27118F" w14:textId="77777777" w:rsidTr="00F93C65">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49748B1F" w14:textId="77777777" w:rsidR="00A039DC" w:rsidRPr="00A9663B" w:rsidRDefault="00A039DC" w:rsidP="00F93C65">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70A04C6" w14:textId="77777777" w:rsidR="00A039DC" w:rsidRPr="00A9663B" w:rsidRDefault="00A039DC" w:rsidP="00F93C65">
            <w:pPr>
              <w:ind w:left="-57" w:right="-57"/>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665D19B" w14:textId="77777777" w:rsidR="00A039DC" w:rsidRPr="00A9663B" w:rsidRDefault="00A039DC" w:rsidP="00F93C65">
            <w:pPr>
              <w:ind w:left="-57" w:right="-57"/>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A039DC" w:rsidRPr="00A9663B" w14:paraId="6CDCAB24" w14:textId="77777777" w:rsidTr="00F93C65">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64D9644D" w14:textId="77777777" w:rsidR="00A039DC" w:rsidRPr="00A9663B" w:rsidRDefault="00A039DC" w:rsidP="00F93C65">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02E9D783" w14:textId="77777777" w:rsidR="00A039DC" w:rsidRPr="00A9663B" w:rsidRDefault="00A039DC" w:rsidP="00F93C65">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FFD6187" w14:textId="77777777" w:rsidR="00A039DC" w:rsidRPr="00A9663B" w:rsidRDefault="00A039DC" w:rsidP="00F93C65">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69366F1" w14:textId="77777777" w:rsidR="00A039DC" w:rsidRPr="00A9663B" w:rsidRDefault="00A039DC" w:rsidP="00F93C65">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FE0EF70" w14:textId="77777777" w:rsidR="00A039DC" w:rsidRPr="00A9663B" w:rsidRDefault="00A039DC" w:rsidP="00F93C65">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34E64E4" w14:textId="77777777" w:rsidR="00A039DC" w:rsidRPr="00A9663B" w:rsidRDefault="00A039DC" w:rsidP="00F93C65">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1816A6D" w14:textId="77777777" w:rsidR="00A039DC" w:rsidRPr="00A9663B" w:rsidRDefault="00A039DC" w:rsidP="00F93C65">
            <w:pPr>
              <w:ind w:left="-57" w:right="-57"/>
              <w:jc w:val="center"/>
              <w:rPr>
                <w:bCs/>
                <w:color w:val="000000"/>
                <w:sz w:val="16"/>
                <w:szCs w:val="16"/>
                <w:lang w:eastAsia="es-MX"/>
              </w:rPr>
            </w:pPr>
            <w:r w:rsidRPr="00A9663B">
              <w:rPr>
                <w:bCs/>
                <w:color w:val="000000"/>
                <w:sz w:val="16"/>
                <w:szCs w:val="16"/>
                <w:lang w:eastAsia="es-MX"/>
              </w:rPr>
              <w:t>Total</w:t>
            </w:r>
          </w:p>
        </w:tc>
      </w:tr>
      <w:tr w:rsidR="00A039DC" w:rsidRPr="009F6415" w14:paraId="522AF527" w14:textId="77777777" w:rsidTr="00F93C65">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689E7238" w14:textId="77777777" w:rsidR="00A039DC" w:rsidRPr="00841586" w:rsidRDefault="00A039DC" w:rsidP="00F93C65">
            <w:pPr>
              <w:jc w:val="left"/>
              <w:rPr>
                <w:b/>
                <w:bCs/>
                <w:color w:val="000000"/>
                <w:sz w:val="14"/>
                <w:szCs w:val="14"/>
                <w:lang w:eastAsia="es-MX"/>
              </w:rPr>
            </w:pPr>
            <w:r w:rsidRPr="00841586">
              <w:rPr>
                <w:b/>
                <w:bCs/>
                <w:color w:val="000000"/>
                <w:sz w:val="14"/>
                <w:szCs w:val="14"/>
                <w:lang w:eastAsia="es-MX"/>
              </w:rPr>
              <w:t xml:space="preserve">Índice </w:t>
            </w:r>
            <w:r>
              <w:rPr>
                <w:b/>
                <w:bCs/>
                <w:color w:val="000000"/>
                <w:sz w:val="14"/>
                <w:szCs w:val="14"/>
                <w:lang w:eastAsia="es-MX"/>
              </w:rPr>
              <w:t>g</w:t>
            </w:r>
            <w:r w:rsidRPr="00841586">
              <w:rPr>
                <w:b/>
                <w:bCs/>
                <w:color w:val="000000"/>
                <w:sz w:val="14"/>
                <w:szCs w:val="14"/>
                <w:lang w:eastAsia="es-MX"/>
              </w:rPr>
              <w:t xml:space="preserve">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2190CF26"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91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B67A17F" w14:textId="77777777" w:rsidR="00A039DC" w:rsidRPr="00784EB8" w:rsidRDefault="00A039DC" w:rsidP="00F93C65">
            <w:pPr>
              <w:ind w:right="227"/>
              <w:jc w:val="right"/>
              <w:rPr>
                <w:b/>
                <w:bCs/>
                <w:sz w:val="14"/>
                <w:szCs w:val="14"/>
              </w:rPr>
            </w:pPr>
            <w:r w:rsidRPr="0068250C">
              <w:rPr>
                <w:b/>
                <w:bCs/>
                <w:sz w:val="14"/>
                <w:szCs w:val="14"/>
              </w:rPr>
              <w:t>0.1</w:t>
            </w:r>
            <w:r>
              <w:rPr>
                <w:b/>
                <w:bCs/>
                <w:sz w:val="14"/>
                <w:szCs w:val="14"/>
              </w:rPr>
              <w:t>1</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1AB63EB"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18</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72525F6" w14:textId="77777777" w:rsidR="00A039DC" w:rsidRPr="00784EB8" w:rsidRDefault="00A039DC" w:rsidP="00F93C65">
            <w:pPr>
              <w:ind w:right="227"/>
              <w:jc w:val="right"/>
              <w:rPr>
                <w:b/>
                <w:bCs/>
                <w:sz w:val="14"/>
                <w:szCs w:val="14"/>
              </w:rPr>
            </w:pPr>
            <w:r>
              <w:rPr>
                <w:b/>
                <w:bCs/>
                <w:sz w:val="14"/>
                <w:szCs w:val="14"/>
              </w:rPr>
              <w:t>6</w:t>
            </w:r>
            <w:r w:rsidRPr="0068250C">
              <w:rPr>
                <w:b/>
                <w:bCs/>
                <w:sz w:val="14"/>
                <w:szCs w:val="14"/>
              </w:rPr>
              <w:t>.</w:t>
            </w:r>
            <w:r>
              <w:rPr>
                <w:b/>
                <w:bCs/>
                <w:sz w:val="14"/>
                <w:szCs w:val="14"/>
              </w:rPr>
              <w:t>91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72DFDF3" w14:textId="77777777" w:rsidR="00A039DC" w:rsidRPr="00784EB8" w:rsidRDefault="00A039DC" w:rsidP="00F93C65">
            <w:pPr>
              <w:ind w:right="227"/>
              <w:jc w:val="right"/>
              <w:rPr>
                <w:b/>
                <w:bCs/>
                <w:sz w:val="14"/>
                <w:szCs w:val="14"/>
              </w:rPr>
            </w:pPr>
            <w:r>
              <w:rPr>
                <w:b/>
                <w:bCs/>
                <w:sz w:val="14"/>
                <w:szCs w:val="14"/>
              </w:rPr>
              <w:t>7</w:t>
            </w:r>
            <w:r w:rsidRPr="0068250C">
              <w:rPr>
                <w:b/>
                <w:bCs/>
                <w:sz w:val="14"/>
                <w:szCs w:val="14"/>
              </w:rPr>
              <w:t>.</w:t>
            </w:r>
            <w:r>
              <w:rPr>
                <w:b/>
                <w:bCs/>
                <w:sz w:val="14"/>
                <w:szCs w:val="14"/>
              </w:rPr>
              <w:t>31</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A7413DD" w14:textId="77777777" w:rsidR="00A039DC" w:rsidRPr="00784EB8" w:rsidRDefault="00A039DC" w:rsidP="00F93C65">
            <w:pPr>
              <w:ind w:right="227"/>
              <w:jc w:val="right"/>
              <w:rPr>
                <w:b/>
                <w:bCs/>
                <w:sz w:val="14"/>
                <w:szCs w:val="14"/>
              </w:rPr>
            </w:pPr>
            <w:r>
              <w:rPr>
                <w:b/>
                <w:bCs/>
                <w:sz w:val="14"/>
                <w:szCs w:val="14"/>
              </w:rPr>
              <w:t>7</w:t>
            </w:r>
            <w:r w:rsidRPr="0068250C">
              <w:rPr>
                <w:b/>
                <w:bCs/>
                <w:sz w:val="14"/>
                <w:szCs w:val="14"/>
              </w:rPr>
              <w:t>.</w:t>
            </w:r>
            <w:r>
              <w:rPr>
                <w:b/>
                <w:bCs/>
                <w:sz w:val="14"/>
                <w:szCs w:val="14"/>
              </w:rPr>
              <w:t>20</w:t>
            </w:r>
          </w:p>
        </w:tc>
      </w:tr>
      <w:tr w:rsidR="00A039DC" w:rsidRPr="00841586" w14:paraId="7F23AD08"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50BBA59"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DF8D8BA" w14:textId="77777777" w:rsidR="00A039DC" w:rsidRPr="00784EB8" w:rsidRDefault="00A039DC" w:rsidP="00F93C65">
            <w:pPr>
              <w:ind w:right="227"/>
              <w:jc w:val="right"/>
              <w:rPr>
                <w:b/>
                <w:bCs/>
                <w:sz w:val="14"/>
                <w:szCs w:val="14"/>
              </w:rPr>
            </w:pPr>
            <w:r>
              <w:rPr>
                <w:b/>
                <w:bCs/>
                <w:sz w:val="14"/>
                <w:szCs w:val="14"/>
              </w:rPr>
              <w:t>-</w:t>
            </w:r>
            <w:r w:rsidRPr="0068250C">
              <w:rPr>
                <w:b/>
                <w:bCs/>
                <w:sz w:val="14"/>
                <w:szCs w:val="14"/>
              </w:rPr>
              <w:t>0.</w:t>
            </w:r>
            <w:r>
              <w:rPr>
                <w:b/>
                <w:bCs/>
                <w:sz w:val="14"/>
                <w:szCs w:val="14"/>
              </w:rPr>
              <w:t>43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9F1CBC" w14:textId="77777777" w:rsidR="00A039DC" w:rsidRPr="00784EB8" w:rsidRDefault="00A039DC" w:rsidP="00F93C65">
            <w:pPr>
              <w:ind w:right="227"/>
              <w:jc w:val="right"/>
              <w:rPr>
                <w:b/>
                <w:bCs/>
                <w:sz w:val="14"/>
                <w:szCs w:val="14"/>
              </w:rPr>
            </w:pPr>
            <w:r>
              <w:rPr>
                <w:b/>
                <w:bCs/>
                <w:sz w:val="14"/>
                <w:szCs w:val="14"/>
              </w:rPr>
              <w:t>-</w:t>
            </w:r>
            <w:r w:rsidRPr="0068250C">
              <w:rPr>
                <w:b/>
                <w:bCs/>
                <w:sz w:val="14"/>
                <w:szCs w:val="14"/>
              </w:rPr>
              <w:t>0.</w:t>
            </w:r>
            <w:r>
              <w:rPr>
                <w:b/>
                <w:bCs/>
                <w:sz w:val="14"/>
                <w:szCs w:val="14"/>
              </w:rPr>
              <w:t>13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1DFE84" w14:textId="77777777" w:rsidR="00A039DC" w:rsidRPr="00784EB8" w:rsidRDefault="00A039DC" w:rsidP="00F93C65">
            <w:pPr>
              <w:ind w:right="227"/>
              <w:jc w:val="right"/>
              <w:rPr>
                <w:b/>
                <w:bCs/>
                <w:sz w:val="14"/>
                <w:szCs w:val="14"/>
              </w:rPr>
            </w:pPr>
            <w:r>
              <w:rPr>
                <w:b/>
                <w:bCs/>
                <w:sz w:val="14"/>
                <w:szCs w:val="14"/>
              </w:rPr>
              <w:t>-</w:t>
            </w:r>
            <w:r w:rsidRPr="0068250C">
              <w:rPr>
                <w:b/>
                <w:bCs/>
                <w:sz w:val="14"/>
                <w:szCs w:val="14"/>
              </w:rPr>
              <w:t>0.</w:t>
            </w:r>
            <w:r>
              <w:rPr>
                <w:b/>
                <w:bCs/>
                <w:sz w:val="14"/>
                <w:szCs w:val="14"/>
              </w:rPr>
              <w:t>29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EB9B37E" w14:textId="77777777" w:rsidR="00A039DC" w:rsidRPr="00784EB8" w:rsidRDefault="00A039DC" w:rsidP="00F93C65">
            <w:pPr>
              <w:ind w:right="227"/>
              <w:jc w:val="right"/>
              <w:rPr>
                <w:b/>
                <w:bCs/>
                <w:sz w:val="14"/>
                <w:szCs w:val="14"/>
              </w:rPr>
            </w:pPr>
            <w:r w:rsidRPr="0068250C">
              <w:rPr>
                <w:b/>
                <w:bCs/>
                <w:sz w:val="14"/>
                <w:szCs w:val="14"/>
              </w:rPr>
              <w:t>1</w:t>
            </w:r>
            <w:r>
              <w:rPr>
                <w:b/>
                <w:bCs/>
                <w:sz w:val="14"/>
                <w:szCs w:val="14"/>
              </w:rPr>
              <w:t>4</w:t>
            </w:r>
            <w:r w:rsidRPr="0068250C">
              <w:rPr>
                <w:b/>
                <w:bCs/>
                <w:sz w:val="14"/>
                <w:szCs w:val="14"/>
              </w:rPr>
              <w:t>.</w:t>
            </w:r>
            <w:r>
              <w:rPr>
                <w:b/>
                <w:bCs/>
                <w:sz w:val="14"/>
                <w:szCs w:val="14"/>
              </w:rPr>
              <w:t>03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27C2B1" w14:textId="77777777" w:rsidR="00A039DC" w:rsidRPr="00784EB8" w:rsidRDefault="00A039DC" w:rsidP="00F93C65">
            <w:pPr>
              <w:ind w:right="227"/>
              <w:jc w:val="right"/>
              <w:rPr>
                <w:b/>
                <w:bCs/>
                <w:sz w:val="14"/>
                <w:szCs w:val="14"/>
              </w:rPr>
            </w:pPr>
            <w:r w:rsidRPr="0068250C">
              <w:rPr>
                <w:b/>
                <w:bCs/>
                <w:sz w:val="14"/>
                <w:szCs w:val="14"/>
              </w:rPr>
              <w:t>1</w:t>
            </w:r>
            <w:r>
              <w:rPr>
                <w:b/>
                <w:bCs/>
                <w:sz w:val="14"/>
                <w:szCs w:val="14"/>
              </w:rPr>
              <w:t>4</w:t>
            </w:r>
            <w:r w:rsidRPr="0068250C">
              <w:rPr>
                <w:b/>
                <w:bCs/>
                <w:sz w:val="14"/>
                <w:szCs w:val="14"/>
              </w:rPr>
              <w:t>.</w:t>
            </w:r>
            <w:r>
              <w:rPr>
                <w:b/>
                <w:bCs/>
                <w:sz w:val="14"/>
                <w:szCs w:val="14"/>
              </w:rPr>
              <w:t>58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64B294" w14:textId="77777777" w:rsidR="00A039DC" w:rsidRPr="00784EB8" w:rsidRDefault="00A039DC" w:rsidP="00F93C65">
            <w:pPr>
              <w:ind w:right="227"/>
              <w:jc w:val="right"/>
              <w:rPr>
                <w:b/>
                <w:bCs/>
                <w:sz w:val="14"/>
                <w:szCs w:val="14"/>
              </w:rPr>
            </w:pPr>
            <w:r w:rsidRPr="0068250C">
              <w:rPr>
                <w:b/>
                <w:bCs/>
                <w:sz w:val="14"/>
                <w:szCs w:val="14"/>
              </w:rPr>
              <w:t>1</w:t>
            </w:r>
            <w:r>
              <w:rPr>
                <w:b/>
                <w:bCs/>
                <w:sz w:val="14"/>
                <w:szCs w:val="14"/>
              </w:rPr>
              <w:t>4</w:t>
            </w:r>
            <w:r w:rsidRPr="0068250C">
              <w:rPr>
                <w:b/>
                <w:bCs/>
                <w:sz w:val="14"/>
                <w:szCs w:val="14"/>
              </w:rPr>
              <w:t>.</w:t>
            </w:r>
            <w:r>
              <w:rPr>
                <w:b/>
                <w:bCs/>
                <w:sz w:val="14"/>
                <w:szCs w:val="14"/>
              </w:rPr>
              <w:t>29</w:t>
            </w:r>
          </w:p>
        </w:tc>
      </w:tr>
      <w:tr w:rsidR="00A039DC" w:rsidRPr="00841586" w14:paraId="322D3D65"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6B200DF"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5D83351" w14:textId="77777777" w:rsidR="00A039DC" w:rsidRPr="00784EB8" w:rsidRDefault="00A039DC" w:rsidP="00F93C65">
            <w:pPr>
              <w:ind w:right="227"/>
              <w:jc w:val="right"/>
              <w:rPr>
                <w:b/>
                <w:bCs/>
                <w:sz w:val="14"/>
                <w:szCs w:val="14"/>
              </w:rPr>
            </w:pPr>
            <w:r w:rsidRPr="0068250C">
              <w:rPr>
                <w:b/>
                <w:bCs/>
                <w:sz w:val="14"/>
                <w:szCs w:val="14"/>
              </w:rPr>
              <w:t>-1.</w:t>
            </w:r>
            <w:r>
              <w:rPr>
                <w:b/>
                <w:bCs/>
                <w:sz w:val="14"/>
                <w:szCs w:val="14"/>
              </w:rPr>
              <w:t>55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358F22"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08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C0C3A0"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36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D1D946A" w14:textId="77777777" w:rsidR="00A039DC" w:rsidRPr="00784EB8" w:rsidRDefault="00A039DC" w:rsidP="00F93C65">
            <w:pPr>
              <w:ind w:right="227"/>
              <w:jc w:val="right"/>
              <w:rPr>
                <w:b/>
                <w:bCs/>
                <w:sz w:val="14"/>
                <w:szCs w:val="14"/>
              </w:rPr>
            </w:pPr>
            <w:r>
              <w:rPr>
                <w:b/>
                <w:bCs/>
                <w:sz w:val="14"/>
                <w:szCs w:val="14"/>
              </w:rPr>
              <w:t>6</w:t>
            </w:r>
            <w:r w:rsidRPr="0068250C">
              <w:rPr>
                <w:b/>
                <w:bCs/>
                <w:sz w:val="14"/>
                <w:szCs w:val="14"/>
              </w:rPr>
              <w:t>.</w:t>
            </w:r>
            <w:r>
              <w:rPr>
                <w:b/>
                <w:bCs/>
                <w:sz w:val="14"/>
                <w:szCs w:val="14"/>
              </w:rPr>
              <w:t>68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D35E55" w14:textId="77777777" w:rsidR="00A039DC" w:rsidRPr="00784EB8" w:rsidRDefault="00A039DC" w:rsidP="00F93C65">
            <w:pPr>
              <w:ind w:right="227"/>
              <w:jc w:val="right"/>
              <w:rPr>
                <w:b/>
                <w:bCs/>
                <w:sz w:val="14"/>
                <w:szCs w:val="14"/>
              </w:rPr>
            </w:pPr>
            <w:r>
              <w:rPr>
                <w:b/>
                <w:bCs/>
                <w:sz w:val="14"/>
                <w:szCs w:val="14"/>
              </w:rPr>
              <w:t>7</w:t>
            </w:r>
            <w:r w:rsidRPr="0068250C">
              <w:rPr>
                <w:b/>
                <w:bCs/>
                <w:sz w:val="14"/>
                <w:szCs w:val="14"/>
              </w:rPr>
              <w:t>.</w:t>
            </w:r>
            <w:r>
              <w:rPr>
                <w:b/>
                <w:bCs/>
                <w:sz w:val="14"/>
                <w:szCs w:val="14"/>
              </w:rPr>
              <w:t>66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D6A2B8" w14:textId="77777777" w:rsidR="00A039DC" w:rsidRPr="00784EB8" w:rsidRDefault="00A039DC" w:rsidP="00F93C65">
            <w:pPr>
              <w:ind w:right="227"/>
              <w:jc w:val="right"/>
              <w:rPr>
                <w:b/>
                <w:bCs/>
                <w:sz w:val="14"/>
                <w:szCs w:val="14"/>
              </w:rPr>
            </w:pPr>
            <w:r>
              <w:rPr>
                <w:b/>
                <w:bCs/>
                <w:sz w:val="14"/>
                <w:szCs w:val="14"/>
              </w:rPr>
              <w:t>7</w:t>
            </w:r>
            <w:r w:rsidRPr="0068250C">
              <w:rPr>
                <w:b/>
                <w:bCs/>
                <w:sz w:val="14"/>
                <w:szCs w:val="14"/>
              </w:rPr>
              <w:t>.</w:t>
            </w:r>
            <w:r>
              <w:rPr>
                <w:b/>
                <w:bCs/>
                <w:sz w:val="14"/>
                <w:szCs w:val="14"/>
              </w:rPr>
              <w:t>40</w:t>
            </w:r>
          </w:p>
        </w:tc>
      </w:tr>
      <w:tr w:rsidR="00A039DC" w:rsidRPr="00841586" w14:paraId="2702716D"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C990949"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605F4D5" w14:textId="77777777" w:rsidR="00A039DC" w:rsidRPr="0068250C" w:rsidRDefault="00A039DC" w:rsidP="00F93C65">
            <w:pPr>
              <w:ind w:right="227"/>
              <w:jc w:val="right"/>
              <w:rPr>
                <w:bCs/>
                <w:sz w:val="14"/>
                <w:szCs w:val="14"/>
              </w:rPr>
            </w:pPr>
            <w:r w:rsidRPr="0068250C">
              <w:rPr>
                <w:bCs/>
                <w:sz w:val="14"/>
                <w:szCs w:val="14"/>
              </w:rPr>
              <w:t>-</w:t>
            </w:r>
            <w:r>
              <w:rPr>
                <w:bCs/>
                <w:sz w:val="14"/>
                <w:szCs w:val="14"/>
              </w:rPr>
              <w:t>4</w:t>
            </w:r>
            <w:r w:rsidRPr="0068250C">
              <w:rPr>
                <w:bCs/>
                <w:sz w:val="14"/>
                <w:szCs w:val="14"/>
              </w:rPr>
              <w:t>.5</w:t>
            </w:r>
            <w:r>
              <w:rPr>
                <w:bCs/>
                <w:sz w:val="14"/>
                <w:szCs w:val="14"/>
              </w:rPr>
              <w:t>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D8E7BE1" w14:textId="77777777" w:rsidR="00A039DC" w:rsidRPr="0068250C" w:rsidRDefault="00A039DC" w:rsidP="00F93C65">
            <w:pPr>
              <w:ind w:right="227"/>
              <w:jc w:val="right"/>
              <w:rPr>
                <w:bCs/>
                <w:sz w:val="14"/>
                <w:szCs w:val="14"/>
              </w:rPr>
            </w:pPr>
            <w:r w:rsidRPr="0068250C">
              <w:rPr>
                <w:bCs/>
                <w:sz w:val="14"/>
                <w:szCs w:val="14"/>
              </w:rPr>
              <w:t>-</w:t>
            </w:r>
            <w:r>
              <w:rPr>
                <w:bCs/>
                <w:sz w:val="14"/>
                <w:szCs w:val="14"/>
              </w:rPr>
              <w:t>1</w:t>
            </w:r>
            <w:r w:rsidRPr="0068250C">
              <w:rPr>
                <w:bCs/>
                <w:sz w:val="14"/>
                <w:szCs w:val="14"/>
              </w:rPr>
              <w:t>.1</w:t>
            </w:r>
            <w:r>
              <w:rPr>
                <w:bCs/>
                <w:sz w:val="14"/>
                <w:szCs w:val="14"/>
              </w:rPr>
              <w:t>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331AD1" w14:textId="77777777" w:rsidR="00A039DC" w:rsidRPr="0068250C" w:rsidRDefault="00A039DC" w:rsidP="00F93C65">
            <w:pPr>
              <w:ind w:right="227"/>
              <w:jc w:val="right"/>
              <w:rPr>
                <w:bCs/>
                <w:sz w:val="14"/>
                <w:szCs w:val="14"/>
              </w:rPr>
            </w:pPr>
            <w:r w:rsidRPr="0068250C">
              <w:rPr>
                <w:bCs/>
                <w:sz w:val="14"/>
                <w:szCs w:val="14"/>
              </w:rPr>
              <w:t>-</w:t>
            </w:r>
            <w:r>
              <w:rPr>
                <w:bCs/>
                <w:sz w:val="14"/>
                <w:szCs w:val="14"/>
              </w:rPr>
              <w:t>2</w:t>
            </w:r>
            <w:r w:rsidRPr="0068250C">
              <w:rPr>
                <w:bCs/>
                <w:sz w:val="14"/>
                <w:szCs w:val="14"/>
              </w:rPr>
              <w:t>.</w:t>
            </w:r>
            <w:r>
              <w:rPr>
                <w:bCs/>
                <w:sz w:val="14"/>
                <w:szCs w:val="14"/>
              </w:rPr>
              <w:t>97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998809D" w14:textId="77777777" w:rsidR="00A039DC" w:rsidRPr="0068250C" w:rsidRDefault="00A039DC" w:rsidP="00F93C65">
            <w:pPr>
              <w:ind w:right="227"/>
              <w:jc w:val="right"/>
              <w:rPr>
                <w:bCs/>
                <w:sz w:val="14"/>
                <w:szCs w:val="14"/>
              </w:rPr>
            </w:pPr>
            <w:r>
              <w:rPr>
                <w:bCs/>
                <w:sz w:val="14"/>
                <w:szCs w:val="14"/>
              </w:rPr>
              <w:t>0</w:t>
            </w:r>
            <w:r w:rsidRPr="0068250C">
              <w:rPr>
                <w:bCs/>
                <w:sz w:val="14"/>
                <w:szCs w:val="14"/>
              </w:rPr>
              <w:t>.2</w:t>
            </w:r>
            <w:r>
              <w:rPr>
                <w:bCs/>
                <w:sz w:val="14"/>
                <w:szCs w:val="14"/>
              </w:rPr>
              <w:t>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8B0C2E" w14:textId="77777777" w:rsidR="00A039DC" w:rsidRPr="0068250C" w:rsidRDefault="00A039DC" w:rsidP="00F93C65">
            <w:pPr>
              <w:ind w:right="227"/>
              <w:jc w:val="right"/>
              <w:rPr>
                <w:bCs/>
                <w:sz w:val="14"/>
                <w:szCs w:val="14"/>
              </w:rPr>
            </w:pPr>
            <w:r>
              <w:rPr>
                <w:bCs/>
                <w:sz w:val="14"/>
                <w:szCs w:val="14"/>
              </w:rPr>
              <w:t>4</w:t>
            </w:r>
            <w:r w:rsidRPr="0068250C">
              <w:rPr>
                <w:bCs/>
                <w:sz w:val="14"/>
                <w:szCs w:val="14"/>
              </w:rPr>
              <w:t>.</w:t>
            </w:r>
            <w:r>
              <w:rPr>
                <w:bCs/>
                <w:sz w:val="14"/>
                <w:szCs w:val="14"/>
              </w:rPr>
              <w:t>42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35F385E" w14:textId="77777777" w:rsidR="00A039DC" w:rsidRPr="0068250C" w:rsidRDefault="00A039DC" w:rsidP="00F93C65">
            <w:pPr>
              <w:ind w:right="227"/>
              <w:jc w:val="right"/>
              <w:rPr>
                <w:bCs/>
                <w:sz w:val="14"/>
                <w:szCs w:val="14"/>
              </w:rPr>
            </w:pPr>
            <w:r>
              <w:rPr>
                <w:bCs/>
                <w:sz w:val="14"/>
                <w:szCs w:val="14"/>
              </w:rPr>
              <w:t>2</w:t>
            </w:r>
            <w:r w:rsidRPr="0068250C">
              <w:rPr>
                <w:bCs/>
                <w:sz w:val="14"/>
                <w:szCs w:val="14"/>
              </w:rPr>
              <w:t>.1</w:t>
            </w:r>
            <w:r>
              <w:rPr>
                <w:bCs/>
                <w:sz w:val="14"/>
                <w:szCs w:val="14"/>
              </w:rPr>
              <w:t>7</w:t>
            </w:r>
          </w:p>
        </w:tc>
      </w:tr>
      <w:tr w:rsidR="00A039DC" w:rsidRPr="00841586" w14:paraId="7EE9EAC4"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3C61F11"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2A2990F" w14:textId="77777777" w:rsidR="00A039DC" w:rsidRPr="0068250C" w:rsidRDefault="00A039DC" w:rsidP="00F93C65">
            <w:pPr>
              <w:ind w:right="227"/>
              <w:jc w:val="right"/>
              <w:rPr>
                <w:bCs/>
                <w:sz w:val="14"/>
                <w:szCs w:val="14"/>
              </w:rPr>
            </w:pPr>
            <w:r w:rsidRPr="0068250C">
              <w:rPr>
                <w:bCs/>
                <w:sz w:val="14"/>
                <w:szCs w:val="14"/>
              </w:rPr>
              <w:t>0.1</w:t>
            </w:r>
            <w:r>
              <w:rPr>
                <w:bCs/>
                <w:sz w:val="14"/>
                <w:szCs w:val="14"/>
              </w:rPr>
              <w:t>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2D68BAC" w14:textId="77777777" w:rsidR="00A039DC" w:rsidRPr="0068250C" w:rsidRDefault="00A039DC" w:rsidP="00F93C65">
            <w:pPr>
              <w:ind w:right="227"/>
              <w:jc w:val="right"/>
              <w:rPr>
                <w:bCs/>
                <w:sz w:val="14"/>
                <w:szCs w:val="14"/>
              </w:rPr>
            </w:pPr>
            <w:r>
              <w:rPr>
                <w:bCs/>
                <w:sz w:val="14"/>
                <w:szCs w:val="14"/>
              </w:rPr>
              <w:t>13</w:t>
            </w:r>
            <w:r w:rsidRPr="0068250C">
              <w:rPr>
                <w:bCs/>
                <w:sz w:val="14"/>
                <w:szCs w:val="14"/>
              </w:rPr>
              <w:t>.</w:t>
            </w:r>
            <w:r>
              <w:rPr>
                <w:bCs/>
                <w:sz w:val="14"/>
                <w:szCs w:val="14"/>
              </w:rPr>
              <w:t>25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BB91A4E" w14:textId="77777777" w:rsidR="00A039DC" w:rsidRPr="0068250C" w:rsidRDefault="00A039DC" w:rsidP="00F93C65">
            <w:pPr>
              <w:ind w:right="227"/>
              <w:jc w:val="right"/>
              <w:rPr>
                <w:bCs/>
                <w:sz w:val="14"/>
                <w:szCs w:val="14"/>
              </w:rPr>
            </w:pPr>
            <w:r>
              <w:rPr>
                <w:bCs/>
                <w:sz w:val="14"/>
                <w:szCs w:val="14"/>
              </w:rPr>
              <w:t>2</w:t>
            </w:r>
            <w:r w:rsidRPr="0068250C">
              <w:rPr>
                <w:bCs/>
                <w:sz w:val="14"/>
                <w:szCs w:val="14"/>
              </w:rPr>
              <w:t>.</w:t>
            </w:r>
            <w:r>
              <w:rPr>
                <w:bCs/>
                <w:sz w:val="14"/>
                <w:szCs w:val="14"/>
              </w:rPr>
              <w:t>15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33047E" w14:textId="77777777" w:rsidR="00A039DC" w:rsidRPr="0068250C" w:rsidRDefault="00A039DC" w:rsidP="00F93C65">
            <w:pPr>
              <w:ind w:right="227"/>
              <w:jc w:val="right"/>
              <w:rPr>
                <w:bCs/>
                <w:sz w:val="14"/>
                <w:szCs w:val="14"/>
              </w:rPr>
            </w:pPr>
            <w:r w:rsidRPr="0068250C">
              <w:rPr>
                <w:bCs/>
                <w:sz w:val="14"/>
                <w:szCs w:val="14"/>
              </w:rPr>
              <w:t>5.</w:t>
            </w:r>
            <w:r>
              <w:rPr>
                <w:bCs/>
                <w:sz w:val="14"/>
                <w:szCs w:val="14"/>
              </w:rPr>
              <w:t>38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402DD1" w14:textId="77777777" w:rsidR="00A039DC" w:rsidRPr="0068250C" w:rsidRDefault="00A039DC" w:rsidP="00F93C65">
            <w:pPr>
              <w:ind w:right="227"/>
              <w:jc w:val="right"/>
              <w:rPr>
                <w:bCs/>
                <w:sz w:val="14"/>
                <w:szCs w:val="14"/>
              </w:rPr>
            </w:pPr>
            <w:r>
              <w:rPr>
                <w:bCs/>
                <w:sz w:val="14"/>
                <w:szCs w:val="14"/>
              </w:rPr>
              <w:t>9</w:t>
            </w:r>
            <w:r w:rsidRPr="0068250C">
              <w:rPr>
                <w:bCs/>
                <w:sz w:val="14"/>
                <w:szCs w:val="14"/>
              </w:rPr>
              <w:t>.</w:t>
            </w:r>
            <w:r>
              <w:rPr>
                <w:bCs/>
                <w:sz w:val="14"/>
                <w:szCs w:val="14"/>
              </w:rPr>
              <w:t>77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2A6ED0" w14:textId="77777777" w:rsidR="00A039DC" w:rsidRPr="0068250C" w:rsidRDefault="00A039DC" w:rsidP="00F93C65">
            <w:pPr>
              <w:ind w:right="227"/>
              <w:jc w:val="right"/>
              <w:rPr>
                <w:bCs/>
                <w:sz w:val="14"/>
                <w:szCs w:val="14"/>
              </w:rPr>
            </w:pPr>
            <w:r>
              <w:rPr>
                <w:bCs/>
                <w:sz w:val="14"/>
                <w:szCs w:val="14"/>
              </w:rPr>
              <w:t>6</w:t>
            </w:r>
            <w:r w:rsidRPr="0068250C">
              <w:rPr>
                <w:bCs/>
                <w:sz w:val="14"/>
                <w:szCs w:val="14"/>
              </w:rPr>
              <w:t>.</w:t>
            </w:r>
            <w:r>
              <w:rPr>
                <w:bCs/>
                <w:sz w:val="14"/>
                <w:szCs w:val="14"/>
              </w:rPr>
              <w:t>09</w:t>
            </w:r>
          </w:p>
        </w:tc>
      </w:tr>
      <w:tr w:rsidR="00A039DC" w:rsidRPr="00841586" w14:paraId="32F6C3FE"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EE04CCC"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DEF2805" w14:textId="77777777" w:rsidR="00A039DC" w:rsidRPr="0068250C" w:rsidRDefault="00A039DC" w:rsidP="00F93C65">
            <w:pPr>
              <w:ind w:right="227"/>
              <w:jc w:val="right"/>
              <w:rPr>
                <w:bCs/>
                <w:sz w:val="14"/>
                <w:szCs w:val="14"/>
              </w:rPr>
            </w:pPr>
            <w:r w:rsidRPr="0068250C">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ADF0FAC" w14:textId="77777777" w:rsidR="00A039DC" w:rsidRPr="0068250C" w:rsidRDefault="00A039DC" w:rsidP="00F93C65">
            <w:pPr>
              <w:ind w:right="227"/>
              <w:jc w:val="right"/>
              <w:rPr>
                <w:bCs/>
                <w:sz w:val="14"/>
                <w:szCs w:val="14"/>
              </w:rPr>
            </w:pPr>
            <w:r w:rsidRPr="0068250C">
              <w:rPr>
                <w:bCs/>
                <w:sz w:val="14"/>
                <w:szCs w:val="14"/>
              </w:rPr>
              <w:t>-0.</w:t>
            </w:r>
            <w:r>
              <w:rPr>
                <w:bCs/>
                <w:sz w:val="14"/>
                <w:szCs w:val="14"/>
              </w:rPr>
              <w:t>66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A691ABD" w14:textId="77777777" w:rsidR="00A039DC" w:rsidRPr="0068250C" w:rsidRDefault="00A039DC" w:rsidP="00F93C65">
            <w:pPr>
              <w:ind w:right="227"/>
              <w:jc w:val="right"/>
              <w:rPr>
                <w:bCs/>
                <w:sz w:val="14"/>
                <w:szCs w:val="14"/>
              </w:rPr>
            </w:pPr>
            <w:r w:rsidRPr="0068250C">
              <w:rPr>
                <w:bCs/>
                <w:sz w:val="14"/>
                <w:szCs w:val="14"/>
              </w:rPr>
              <w:t>-0.</w:t>
            </w:r>
            <w:r>
              <w:rPr>
                <w:bCs/>
                <w:sz w:val="14"/>
                <w:szCs w:val="14"/>
              </w:rPr>
              <w:t>66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D33BC05" w14:textId="77777777" w:rsidR="00A039DC" w:rsidRPr="0068250C" w:rsidRDefault="00A039DC" w:rsidP="00F93C65">
            <w:pPr>
              <w:ind w:right="227"/>
              <w:jc w:val="right"/>
              <w:rPr>
                <w:bCs/>
                <w:sz w:val="14"/>
                <w:szCs w:val="14"/>
              </w:rPr>
            </w:pPr>
            <w:r w:rsidRPr="0068250C">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C0F338" w14:textId="77777777" w:rsidR="00A039DC" w:rsidRPr="0068250C" w:rsidRDefault="00A039DC" w:rsidP="00F93C65">
            <w:pPr>
              <w:ind w:right="227"/>
              <w:jc w:val="right"/>
              <w:rPr>
                <w:bCs/>
                <w:sz w:val="14"/>
                <w:szCs w:val="14"/>
              </w:rPr>
            </w:pPr>
            <w:r w:rsidRPr="0068250C">
              <w:rPr>
                <w:bCs/>
                <w:sz w:val="14"/>
                <w:szCs w:val="14"/>
              </w:rPr>
              <w:t>1</w:t>
            </w:r>
            <w:r>
              <w:rPr>
                <w:bCs/>
                <w:sz w:val="14"/>
                <w:szCs w:val="14"/>
              </w:rPr>
              <w:t>1</w:t>
            </w:r>
            <w:r w:rsidRPr="0068250C">
              <w:rPr>
                <w:bCs/>
                <w:sz w:val="14"/>
                <w:szCs w:val="14"/>
              </w:rPr>
              <w:t>.</w:t>
            </w:r>
            <w:r>
              <w:rPr>
                <w:bCs/>
                <w:sz w:val="14"/>
                <w:szCs w:val="14"/>
              </w:rPr>
              <w:t>14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3F784C" w14:textId="77777777" w:rsidR="00A039DC" w:rsidRPr="0068250C" w:rsidRDefault="00A039DC" w:rsidP="00F93C65">
            <w:pPr>
              <w:ind w:right="227"/>
              <w:jc w:val="right"/>
              <w:rPr>
                <w:bCs/>
                <w:sz w:val="14"/>
                <w:szCs w:val="14"/>
              </w:rPr>
            </w:pPr>
            <w:r w:rsidRPr="0068250C">
              <w:rPr>
                <w:bCs/>
                <w:sz w:val="14"/>
                <w:szCs w:val="14"/>
              </w:rPr>
              <w:t>1</w:t>
            </w:r>
            <w:r>
              <w:rPr>
                <w:bCs/>
                <w:sz w:val="14"/>
                <w:szCs w:val="14"/>
              </w:rPr>
              <w:t>1</w:t>
            </w:r>
            <w:r w:rsidRPr="0068250C">
              <w:rPr>
                <w:bCs/>
                <w:sz w:val="14"/>
                <w:szCs w:val="14"/>
              </w:rPr>
              <w:t>.</w:t>
            </w:r>
            <w:r>
              <w:rPr>
                <w:bCs/>
                <w:sz w:val="14"/>
                <w:szCs w:val="14"/>
              </w:rPr>
              <w:t>14</w:t>
            </w:r>
          </w:p>
        </w:tc>
      </w:tr>
      <w:tr w:rsidR="00A039DC" w:rsidRPr="00841586" w14:paraId="3B668343" w14:textId="77777777" w:rsidTr="00F93C65">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FC9AC95"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6EEAAA5" w14:textId="77777777" w:rsidR="00A039DC" w:rsidRPr="0068250C" w:rsidRDefault="00A039DC" w:rsidP="00F93C65">
            <w:pPr>
              <w:ind w:right="227"/>
              <w:jc w:val="right"/>
              <w:rPr>
                <w:bCs/>
                <w:sz w:val="14"/>
                <w:szCs w:val="14"/>
              </w:rPr>
            </w:pPr>
            <w:r w:rsidRPr="0068250C">
              <w:rPr>
                <w:bCs/>
                <w:sz w:val="14"/>
                <w:szCs w:val="14"/>
              </w:rPr>
              <w:t>-</w:t>
            </w:r>
            <w:r>
              <w:rPr>
                <w:bCs/>
                <w:sz w:val="14"/>
                <w:szCs w:val="14"/>
              </w:rPr>
              <w:t>1</w:t>
            </w:r>
            <w:r w:rsidRPr="0068250C">
              <w:rPr>
                <w:bCs/>
                <w:sz w:val="14"/>
                <w:szCs w:val="14"/>
              </w:rPr>
              <w:t>.</w:t>
            </w:r>
            <w:r>
              <w:rPr>
                <w:bCs/>
                <w:sz w:val="14"/>
                <w:szCs w:val="14"/>
              </w:rPr>
              <w:t>10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153F99" w14:textId="77777777" w:rsidR="00A039DC" w:rsidRPr="0068250C" w:rsidRDefault="00A039DC" w:rsidP="00F93C65">
            <w:pPr>
              <w:ind w:right="227"/>
              <w:jc w:val="right"/>
              <w:rPr>
                <w:bCs/>
                <w:sz w:val="14"/>
                <w:szCs w:val="14"/>
              </w:rPr>
            </w:pPr>
            <w:r w:rsidRPr="0068250C">
              <w:rPr>
                <w:bCs/>
                <w:sz w:val="14"/>
                <w:szCs w:val="14"/>
              </w:rPr>
              <w:t>0.</w:t>
            </w:r>
            <w:r>
              <w:rPr>
                <w:bCs/>
                <w:sz w:val="14"/>
                <w:szCs w:val="14"/>
              </w:rPr>
              <w:t>25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35D19C" w14:textId="77777777" w:rsidR="00A039DC" w:rsidRPr="0068250C" w:rsidRDefault="00A039DC" w:rsidP="00F93C65">
            <w:pPr>
              <w:ind w:right="227"/>
              <w:jc w:val="right"/>
              <w:rPr>
                <w:bCs/>
                <w:sz w:val="14"/>
                <w:szCs w:val="14"/>
              </w:rPr>
            </w:pPr>
            <w:r>
              <w:rPr>
                <w:bCs/>
                <w:sz w:val="14"/>
                <w:szCs w:val="14"/>
              </w:rPr>
              <w:t>-</w:t>
            </w:r>
            <w:r w:rsidRPr="0068250C">
              <w:rPr>
                <w:bCs/>
                <w:sz w:val="14"/>
                <w:szCs w:val="14"/>
              </w:rPr>
              <w:t>0.</w:t>
            </w:r>
            <w:r>
              <w:rPr>
                <w:bCs/>
                <w:sz w:val="14"/>
                <w:szCs w:val="14"/>
              </w:rPr>
              <w:t>11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2B71F6B" w14:textId="77777777" w:rsidR="00A039DC" w:rsidRPr="0068250C" w:rsidRDefault="00A039DC" w:rsidP="00F93C65">
            <w:pPr>
              <w:ind w:right="227"/>
              <w:jc w:val="right"/>
              <w:rPr>
                <w:bCs/>
                <w:sz w:val="14"/>
                <w:szCs w:val="14"/>
              </w:rPr>
            </w:pPr>
            <w:r>
              <w:rPr>
                <w:bCs/>
                <w:sz w:val="14"/>
                <w:szCs w:val="14"/>
              </w:rPr>
              <w:t>8</w:t>
            </w:r>
            <w:r w:rsidRPr="0068250C">
              <w:rPr>
                <w:bCs/>
                <w:sz w:val="14"/>
                <w:szCs w:val="14"/>
              </w:rPr>
              <w:t>.</w:t>
            </w:r>
            <w:r>
              <w:rPr>
                <w:bCs/>
                <w:sz w:val="14"/>
                <w:szCs w:val="14"/>
              </w:rPr>
              <w:t>47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3D2C3B" w14:textId="77777777" w:rsidR="00A039DC" w:rsidRPr="0068250C" w:rsidRDefault="00A039DC" w:rsidP="00F93C65">
            <w:pPr>
              <w:ind w:right="227"/>
              <w:jc w:val="right"/>
              <w:rPr>
                <w:bCs/>
                <w:sz w:val="14"/>
                <w:szCs w:val="14"/>
              </w:rPr>
            </w:pPr>
            <w:r>
              <w:rPr>
                <w:bCs/>
                <w:sz w:val="14"/>
                <w:szCs w:val="14"/>
              </w:rPr>
              <w:t>6</w:t>
            </w:r>
            <w:r w:rsidRPr="0068250C">
              <w:rPr>
                <w:bCs/>
                <w:sz w:val="14"/>
                <w:szCs w:val="14"/>
              </w:rPr>
              <w:t>.</w:t>
            </w:r>
            <w:r>
              <w:rPr>
                <w:bCs/>
                <w:sz w:val="14"/>
                <w:szCs w:val="14"/>
              </w:rPr>
              <w:t>94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D69D89" w14:textId="77777777" w:rsidR="00A039DC" w:rsidRPr="0068250C" w:rsidRDefault="00A039DC" w:rsidP="00F93C65">
            <w:pPr>
              <w:ind w:right="227"/>
              <w:jc w:val="right"/>
              <w:rPr>
                <w:bCs/>
                <w:sz w:val="14"/>
                <w:szCs w:val="14"/>
              </w:rPr>
            </w:pPr>
            <w:r>
              <w:rPr>
                <w:bCs/>
                <w:sz w:val="14"/>
                <w:szCs w:val="14"/>
              </w:rPr>
              <w:t>7</w:t>
            </w:r>
            <w:r w:rsidRPr="0068250C">
              <w:rPr>
                <w:bCs/>
                <w:sz w:val="14"/>
                <w:szCs w:val="14"/>
              </w:rPr>
              <w:t>.</w:t>
            </w:r>
            <w:r>
              <w:rPr>
                <w:bCs/>
                <w:sz w:val="14"/>
                <w:szCs w:val="14"/>
              </w:rPr>
              <w:t>3</w:t>
            </w:r>
            <w:r w:rsidRPr="0068250C">
              <w:rPr>
                <w:bCs/>
                <w:sz w:val="14"/>
                <w:szCs w:val="14"/>
              </w:rPr>
              <w:t>4</w:t>
            </w:r>
          </w:p>
        </w:tc>
      </w:tr>
      <w:tr w:rsidR="00A039DC" w:rsidRPr="00841586" w14:paraId="7706C404" w14:textId="77777777" w:rsidTr="00F93C65">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6C669CB"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64D58362"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18</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E1E435B"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20</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A0AE476" w14:textId="77777777" w:rsidR="00A039DC" w:rsidRPr="00784EB8" w:rsidRDefault="00A039DC" w:rsidP="00F93C65">
            <w:pPr>
              <w:ind w:right="227"/>
              <w:jc w:val="right"/>
              <w:rPr>
                <w:b/>
                <w:bCs/>
                <w:sz w:val="14"/>
                <w:szCs w:val="14"/>
              </w:rPr>
            </w:pPr>
            <w:r w:rsidRPr="0068250C">
              <w:rPr>
                <w:b/>
                <w:bCs/>
                <w:sz w:val="14"/>
                <w:szCs w:val="14"/>
              </w:rPr>
              <w:t>0.</w:t>
            </w:r>
            <w:r>
              <w:rPr>
                <w:b/>
                <w:bCs/>
                <w:sz w:val="14"/>
                <w:szCs w:val="14"/>
              </w:rPr>
              <w:t>20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EEB33A6" w14:textId="77777777" w:rsidR="00A039DC" w:rsidRPr="00784EB8" w:rsidRDefault="00A039DC" w:rsidP="00F93C65">
            <w:pPr>
              <w:ind w:right="227"/>
              <w:jc w:val="right"/>
              <w:rPr>
                <w:b/>
                <w:bCs/>
                <w:sz w:val="14"/>
                <w:szCs w:val="14"/>
              </w:rPr>
            </w:pPr>
            <w:r w:rsidRPr="0068250C">
              <w:rPr>
                <w:b/>
                <w:bCs/>
                <w:sz w:val="14"/>
                <w:szCs w:val="14"/>
              </w:rPr>
              <w:t>5.</w:t>
            </w:r>
            <w:r>
              <w:rPr>
                <w:b/>
                <w:bCs/>
                <w:sz w:val="14"/>
                <w:szCs w:val="14"/>
              </w:rPr>
              <w:t>07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029244D" w14:textId="77777777" w:rsidR="00A039DC" w:rsidRPr="00784EB8" w:rsidRDefault="00A039DC" w:rsidP="00F93C65">
            <w:pPr>
              <w:ind w:right="227"/>
              <w:jc w:val="right"/>
              <w:rPr>
                <w:b/>
                <w:bCs/>
                <w:sz w:val="14"/>
                <w:szCs w:val="14"/>
              </w:rPr>
            </w:pPr>
            <w:r>
              <w:rPr>
                <w:b/>
                <w:bCs/>
                <w:sz w:val="14"/>
                <w:szCs w:val="14"/>
              </w:rPr>
              <w:t>5</w:t>
            </w:r>
            <w:r w:rsidRPr="0068250C">
              <w:rPr>
                <w:b/>
                <w:bCs/>
                <w:sz w:val="14"/>
                <w:szCs w:val="14"/>
              </w:rPr>
              <w:t>.</w:t>
            </w:r>
            <w:r>
              <w:rPr>
                <w:b/>
                <w:bCs/>
                <w:sz w:val="14"/>
                <w:szCs w:val="14"/>
              </w:rPr>
              <w:t>82</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5624BE8" w14:textId="77777777" w:rsidR="00A039DC" w:rsidRPr="00784EB8" w:rsidRDefault="00A039DC" w:rsidP="00F93C65">
            <w:pPr>
              <w:ind w:right="227"/>
              <w:jc w:val="right"/>
              <w:rPr>
                <w:b/>
                <w:bCs/>
                <w:sz w:val="14"/>
                <w:szCs w:val="14"/>
              </w:rPr>
            </w:pPr>
            <w:r w:rsidRPr="0068250C">
              <w:rPr>
                <w:b/>
                <w:bCs/>
                <w:sz w:val="14"/>
                <w:szCs w:val="14"/>
              </w:rPr>
              <w:t>5.</w:t>
            </w:r>
            <w:r>
              <w:rPr>
                <w:b/>
                <w:bCs/>
                <w:sz w:val="14"/>
                <w:szCs w:val="14"/>
              </w:rPr>
              <w:t>6</w:t>
            </w:r>
            <w:r w:rsidRPr="0068250C">
              <w:rPr>
                <w:b/>
                <w:bCs/>
                <w:sz w:val="14"/>
                <w:szCs w:val="14"/>
              </w:rPr>
              <w:t>1</w:t>
            </w:r>
          </w:p>
        </w:tc>
      </w:tr>
    </w:tbl>
    <w:p w14:paraId="599ACB42" w14:textId="77777777" w:rsidR="00A039DC" w:rsidRPr="004445E5" w:rsidRDefault="00A039DC" w:rsidP="00A039DC">
      <w:pPr>
        <w:widowControl w:val="0"/>
        <w:tabs>
          <w:tab w:val="left" w:pos="266"/>
        </w:tabs>
        <w:autoSpaceDE w:val="0"/>
        <w:autoSpaceDN w:val="0"/>
        <w:adjustRightInd w:val="0"/>
        <w:ind w:left="-11" w:firstLine="125"/>
        <w:jc w:val="left"/>
        <w:rPr>
          <w:color w:val="000000"/>
          <w:sz w:val="14"/>
          <w:szCs w:val="16"/>
        </w:rPr>
      </w:pPr>
      <w:r w:rsidRPr="004445E5">
        <w:rPr>
          <w:sz w:val="16"/>
          <w:szCs w:val="16"/>
          <w:vertAlign w:val="superscript"/>
        </w:rPr>
        <w:t>1/</w:t>
      </w:r>
      <w:r w:rsidRPr="004445E5">
        <w:rPr>
          <w:color w:val="000000"/>
          <w:sz w:val="16"/>
          <w:szCs w:val="16"/>
          <w:vertAlign w:val="superscript"/>
        </w:rPr>
        <w:tab/>
      </w:r>
      <w:r w:rsidRPr="004445E5">
        <w:rPr>
          <w:color w:val="000000"/>
          <w:sz w:val="14"/>
          <w:szCs w:val="16"/>
        </w:rPr>
        <w:t>Esta actividad no genera bienes de uso intermedio.</w:t>
      </w:r>
    </w:p>
    <w:p w14:paraId="22747BEB" w14:textId="77777777" w:rsidR="00A039DC" w:rsidRPr="004445E5" w:rsidRDefault="00A039DC" w:rsidP="00A039DC">
      <w:pPr>
        <w:widowControl w:val="0"/>
        <w:tabs>
          <w:tab w:val="left" w:pos="266"/>
        </w:tabs>
        <w:autoSpaceDE w:val="0"/>
        <w:autoSpaceDN w:val="0"/>
        <w:adjustRightInd w:val="0"/>
        <w:ind w:left="-11" w:firstLine="125"/>
        <w:jc w:val="left"/>
        <w:rPr>
          <w:color w:val="000000"/>
          <w:sz w:val="14"/>
          <w:szCs w:val="16"/>
        </w:rPr>
      </w:pPr>
      <w:r w:rsidRPr="004445E5">
        <w:rPr>
          <w:color w:val="000000"/>
          <w:sz w:val="14"/>
          <w:szCs w:val="16"/>
        </w:rPr>
        <w:t>Fuente: INEGI</w:t>
      </w:r>
    </w:p>
    <w:p w14:paraId="69C2B126" w14:textId="77777777" w:rsidR="00A039DC" w:rsidRDefault="00A039DC" w:rsidP="00A039DC">
      <w:pPr>
        <w:keepNext/>
        <w:keepLines/>
        <w:widowControl w:val="0"/>
        <w:autoSpaceDE w:val="0"/>
        <w:autoSpaceDN w:val="0"/>
        <w:adjustRightInd w:val="0"/>
        <w:jc w:val="center"/>
        <w:rPr>
          <w:b/>
          <w:smallCaps/>
          <w:snapToGrid w:val="0"/>
          <w:sz w:val="22"/>
          <w:szCs w:val="22"/>
        </w:rPr>
      </w:pPr>
    </w:p>
    <w:p w14:paraId="6D12E348" w14:textId="77777777" w:rsidR="00A039DC" w:rsidRDefault="00A039DC" w:rsidP="00A039DC">
      <w:pPr>
        <w:widowControl w:val="0"/>
        <w:autoSpaceDE w:val="0"/>
        <w:autoSpaceDN w:val="0"/>
        <w:adjustRightInd w:val="0"/>
        <w:spacing w:before="480"/>
        <w:jc w:val="center"/>
        <w:rPr>
          <w:snapToGrid w:val="0"/>
          <w:sz w:val="20"/>
          <w:szCs w:val="20"/>
        </w:rPr>
      </w:pPr>
    </w:p>
    <w:p w14:paraId="08A63141" w14:textId="77777777" w:rsidR="00A039DC" w:rsidRPr="00A51DE4" w:rsidRDefault="00A039DC" w:rsidP="00A039DC">
      <w:pPr>
        <w:widowControl w:val="0"/>
        <w:autoSpaceDE w:val="0"/>
        <w:autoSpaceDN w:val="0"/>
        <w:adjustRightInd w:val="0"/>
        <w:spacing w:before="480"/>
        <w:jc w:val="center"/>
        <w:rPr>
          <w:snapToGrid w:val="0"/>
          <w:sz w:val="20"/>
          <w:szCs w:val="20"/>
        </w:rPr>
      </w:pPr>
      <w:r w:rsidRPr="00A51DE4">
        <w:rPr>
          <w:snapToGrid w:val="0"/>
          <w:sz w:val="20"/>
          <w:szCs w:val="20"/>
        </w:rPr>
        <w:lastRenderedPageBreak/>
        <w:t xml:space="preserve">Cuadro </w:t>
      </w:r>
      <w:r>
        <w:rPr>
          <w:snapToGrid w:val="0"/>
          <w:sz w:val="20"/>
          <w:szCs w:val="20"/>
        </w:rPr>
        <w:t>2</w:t>
      </w:r>
    </w:p>
    <w:p w14:paraId="6ABC33E6" w14:textId="77777777" w:rsidR="00A039DC" w:rsidRPr="00E21E68" w:rsidRDefault="00A039DC" w:rsidP="00A039DC">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511FDB9D" w14:textId="77777777" w:rsidR="00A039DC" w:rsidRPr="00E21E68" w:rsidRDefault="00A039DC" w:rsidP="00A039DC">
      <w:pPr>
        <w:widowControl w:val="0"/>
        <w:autoSpaceDE w:val="0"/>
        <w:autoSpaceDN w:val="0"/>
        <w:adjustRightInd w:val="0"/>
        <w:jc w:val="center"/>
        <w:rPr>
          <w:b/>
          <w:smallCaps/>
          <w:snapToGrid w:val="0"/>
          <w:sz w:val="22"/>
          <w:szCs w:val="22"/>
        </w:rPr>
      </w:pPr>
      <w:r w:rsidRPr="00E21E68">
        <w:rPr>
          <w:b/>
          <w:smallCaps/>
          <w:snapToGrid w:val="0"/>
          <w:sz w:val="22"/>
          <w:szCs w:val="22"/>
        </w:rPr>
        <w:t>producción total, incluyendo petróleo</w:t>
      </w:r>
    </w:p>
    <w:p w14:paraId="4E3906CD" w14:textId="77777777" w:rsidR="00A039DC" w:rsidRDefault="00A039DC" w:rsidP="00A039DC">
      <w:pPr>
        <w:widowControl w:val="0"/>
        <w:autoSpaceDE w:val="0"/>
        <w:autoSpaceDN w:val="0"/>
        <w:adjustRightInd w:val="0"/>
        <w:jc w:val="center"/>
        <w:rPr>
          <w:snapToGrid w:val="0"/>
          <w:sz w:val="18"/>
          <w:szCs w:val="18"/>
        </w:rPr>
      </w:pPr>
      <w:r>
        <w:rPr>
          <w:snapToGrid w:val="0"/>
          <w:sz w:val="18"/>
          <w:szCs w:val="18"/>
        </w:rPr>
        <w:t xml:space="preserve">Variación porcentual durante octubre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A039DC" w:rsidRPr="00A9663B" w14:paraId="3D97936E" w14:textId="77777777" w:rsidTr="00F93C65">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CC6CE78" w14:textId="77777777" w:rsidR="00A039DC" w:rsidRPr="00A9663B" w:rsidRDefault="00A039DC" w:rsidP="00F93C65">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1EBD64A" w14:textId="77777777" w:rsidR="00A039DC" w:rsidRPr="00A9663B" w:rsidRDefault="00A039DC" w:rsidP="00F93C65">
            <w:pPr>
              <w:jc w:val="center"/>
              <w:rPr>
                <w:bCs/>
                <w:color w:val="000000"/>
                <w:sz w:val="16"/>
                <w:szCs w:val="18"/>
                <w:lang w:eastAsia="es-MX"/>
              </w:rPr>
            </w:pPr>
            <w:r>
              <w:rPr>
                <w:bCs/>
                <w:color w:val="000000"/>
                <w:sz w:val="16"/>
                <w:szCs w:val="18"/>
                <w:lang w:eastAsia="es-MX"/>
              </w:rPr>
              <w:t>M</w:t>
            </w:r>
            <w:r w:rsidRPr="00A9663B">
              <w:rPr>
                <w:bCs/>
                <w:color w:val="000000"/>
                <w:sz w:val="16"/>
                <w:szCs w:val="18"/>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F88C918" w14:textId="77777777" w:rsidR="00A039DC" w:rsidRPr="00A9663B" w:rsidRDefault="00A039DC" w:rsidP="00F93C65">
            <w:pPr>
              <w:jc w:val="center"/>
              <w:rPr>
                <w:bCs/>
                <w:color w:val="000000"/>
                <w:sz w:val="16"/>
                <w:szCs w:val="18"/>
                <w:lang w:eastAsia="es-MX"/>
              </w:rPr>
            </w:pPr>
            <w:r>
              <w:rPr>
                <w:bCs/>
                <w:color w:val="000000"/>
                <w:sz w:val="16"/>
                <w:szCs w:val="18"/>
                <w:lang w:eastAsia="es-MX"/>
              </w:rPr>
              <w:t>A</w:t>
            </w:r>
            <w:r w:rsidRPr="00A9663B">
              <w:rPr>
                <w:bCs/>
                <w:color w:val="000000"/>
                <w:sz w:val="16"/>
                <w:szCs w:val="18"/>
                <w:lang w:eastAsia="es-MX"/>
              </w:rPr>
              <w:t>nual</w:t>
            </w:r>
          </w:p>
        </w:tc>
      </w:tr>
      <w:tr w:rsidR="00A039DC" w:rsidRPr="00A9663B" w14:paraId="1BBEBCF7" w14:textId="77777777" w:rsidTr="00F93C65">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7AFFCA95" w14:textId="77777777" w:rsidR="00A039DC" w:rsidRPr="00A9663B" w:rsidRDefault="00A039DC" w:rsidP="00F93C65">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420BBE59" w14:textId="77777777" w:rsidR="00A039DC" w:rsidRPr="00FA5D21" w:rsidRDefault="00A039DC" w:rsidP="00F93C65">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7923EDD" w14:textId="77777777" w:rsidR="00A039DC" w:rsidRPr="00FA5D21" w:rsidRDefault="00A039DC" w:rsidP="00F93C65">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08278A8" w14:textId="77777777" w:rsidR="00A039DC" w:rsidRPr="00FA5D21" w:rsidRDefault="00A039DC" w:rsidP="00F93C65">
            <w:pPr>
              <w:jc w:val="center"/>
              <w:rPr>
                <w:bCs/>
                <w:color w:val="000000"/>
                <w:sz w:val="16"/>
                <w:szCs w:val="16"/>
              </w:rPr>
            </w:pPr>
            <w:r>
              <w:rPr>
                <w:bCs/>
                <w:color w:val="000000"/>
                <w:sz w:val="16"/>
                <w:szCs w:val="16"/>
              </w:rPr>
              <w:t>2022</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85B8CBD" w14:textId="77777777" w:rsidR="00A039DC" w:rsidRPr="00FA5D21" w:rsidRDefault="00A039DC" w:rsidP="00F93C65">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B3301FA" w14:textId="77777777" w:rsidR="00A039DC" w:rsidRPr="00FA5D21" w:rsidRDefault="00A039DC" w:rsidP="00F93C65">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EDFD36C" w14:textId="77777777" w:rsidR="00A039DC" w:rsidRPr="00FA5D21" w:rsidRDefault="00A039DC" w:rsidP="00F93C65">
            <w:pPr>
              <w:jc w:val="center"/>
              <w:rPr>
                <w:bCs/>
                <w:color w:val="000000"/>
                <w:sz w:val="16"/>
                <w:szCs w:val="16"/>
              </w:rPr>
            </w:pPr>
            <w:r>
              <w:rPr>
                <w:bCs/>
                <w:color w:val="000000"/>
                <w:sz w:val="16"/>
                <w:szCs w:val="16"/>
              </w:rPr>
              <w:t>2022</w:t>
            </w:r>
          </w:p>
        </w:tc>
      </w:tr>
      <w:tr w:rsidR="00A039DC" w:rsidRPr="00841586" w14:paraId="0369206A" w14:textId="77777777" w:rsidTr="00F93C65">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7F640467" w14:textId="77777777" w:rsidR="00A039DC" w:rsidRPr="00841586" w:rsidRDefault="00A039DC" w:rsidP="00F93C65">
            <w:pPr>
              <w:jc w:val="left"/>
              <w:rPr>
                <w:b/>
                <w:bCs/>
                <w:color w:val="000000"/>
                <w:sz w:val="14"/>
                <w:szCs w:val="14"/>
                <w:lang w:eastAsia="es-MX"/>
              </w:rPr>
            </w:pPr>
            <w:r w:rsidRPr="00841586">
              <w:rPr>
                <w:b/>
                <w:bCs/>
                <w:color w:val="000000"/>
                <w:sz w:val="14"/>
                <w:szCs w:val="14"/>
                <w:lang w:eastAsia="es-MX"/>
              </w:rPr>
              <w:t xml:space="preserve">Índice </w:t>
            </w:r>
            <w:r>
              <w:rPr>
                <w:b/>
                <w:bCs/>
                <w:color w:val="000000"/>
                <w:sz w:val="14"/>
                <w:szCs w:val="14"/>
                <w:lang w:eastAsia="es-MX"/>
              </w:rPr>
              <w:t>g</w:t>
            </w:r>
            <w:r w:rsidRPr="00841586">
              <w:rPr>
                <w:b/>
                <w:bCs/>
                <w:color w:val="000000"/>
                <w:sz w:val="14"/>
                <w:szCs w:val="14"/>
                <w:lang w:eastAsia="es-MX"/>
              </w:rPr>
              <w:t xml:space="preserve">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3B09D7DB"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07</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3AAD0E4" w14:textId="77777777" w:rsidR="00A039DC" w:rsidRPr="00784EB8" w:rsidRDefault="00A039DC" w:rsidP="00F93C65">
            <w:pPr>
              <w:ind w:right="227"/>
              <w:jc w:val="right"/>
              <w:rPr>
                <w:b/>
                <w:bCs/>
                <w:sz w:val="14"/>
                <w:szCs w:val="14"/>
              </w:rPr>
            </w:pPr>
            <w:r>
              <w:rPr>
                <w:b/>
                <w:bCs/>
                <w:sz w:val="14"/>
                <w:szCs w:val="14"/>
              </w:rPr>
              <w:t>1</w:t>
            </w:r>
            <w:r w:rsidRPr="00110520">
              <w:rPr>
                <w:b/>
                <w:bCs/>
                <w:sz w:val="14"/>
                <w:szCs w:val="14"/>
              </w:rPr>
              <w:t>.</w:t>
            </w:r>
            <w:r>
              <w:rPr>
                <w:b/>
                <w:bCs/>
                <w:sz w:val="14"/>
                <w:szCs w:val="14"/>
              </w:rPr>
              <w:t>22</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B1C769F"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18</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DFF89A8" w14:textId="77777777" w:rsidR="00A039DC" w:rsidRPr="00784EB8" w:rsidRDefault="00A039DC" w:rsidP="00F93C65">
            <w:pPr>
              <w:ind w:right="227"/>
              <w:jc w:val="right"/>
              <w:rPr>
                <w:b/>
                <w:bCs/>
                <w:sz w:val="14"/>
                <w:szCs w:val="14"/>
              </w:rPr>
            </w:pPr>
            <w:r>
              <w:rPr>
                <w:b/>
                <w:bCs/>
                <w:sz w:val="14"/>
                <w:szCs w:val="14"/>
              </w:rPr>
              <w:t>4</w:t>
            </w:r>
            <w:r w:rsidRPr="00110520">
              <w:rPr>
                <w:b/>
                <w:bCs/>
                <w:sz w:val="14"/>
                <w:szCs w:val="14"/>
              </w:rPr>
              <w:t>.</w:t>
            </w:r>
            <w:r>
              <w:rPr>
                <w:b/>
                <w:bCs/>
                <w:sz w:val="14"/>
                <w:szCs w:val="14"/>
              </w:rPr>
              <w:t>40</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F50A7FA" w14:textId="77777777" w:rsidR="00A039DC" w:rsidRPr="00784EB8" w:rsidRDefault="00A039DC" w:rsidP="00F93C65">
            <w:pPr>
              <w:ind w:right="227"/>
              <w:jc w:val="right"/>
              <w:rPr>
                <w:b/>
                <w:bCs/>
                <w:sz w:val="14"/>
                <w:szCs w:val="14"/>
              </w:rPr>
            </w:pPr>
            <w:r>
              <w:rPr>
                <w:b/>
                <w:bCs/>
                <w:sz w:val="14"/>
                <w:szCs w:val="14"/>
              </w:rPr>
              <w:t>8</w:t>
            </w:r>
            <w:r w:rsidRPr="00110520">
              <w:rPr>
                <w:b/>
                <w:bCs/>
                <w:sz w:val="14"/>
                <w:szCs w:val="14"/>
              </w:rPr>
              <w:t>.</w:t>
            </w:r>
            <w:r>
              <w:rPr>
                <w:b/>
                <w:bCs/>
                <w:sz w:val="14"/>
                <w:szCs w:val="14"/>
              </w:rPr>
              <w:t>39</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44919A2" w14:textId="77777777" w:rsidR="00A039DC" w:rsidRPr="00784EB8" w:rsidRDefault="00A039DC" w:rsidP="00F93C65">
            <w:pPr>
              <w:ind w:right="227"/>
              <w:jc w:val="right"/>
              <w:rPr>
                <w:b/>
                <w:bCs/>
                <w:sz w:val="14"/>
                <w:szCs w:val="14"/>
              </w:rPr>
            </w:pPr>
            <w:r>
              <w:rPr>
                <w:b/>
                <w:bCs/>
                <w:sz w:val="14"/>
                <w:szCs w:val="14"/>
              </w:rPr>
              <w:t>7</w:t>
            </w:r>
            <w:r w:rsidRPr="00110520">
              <w:rPr>
                <w:b/>
                <w:bCs/>
                <w:sz w:val="14"/>
                <w:szCs w:val="14"/>
              </w:rPr>
              <w:t>.</w:t>
            </w:r>
            <w:r>
              <w:rPr>
                <w:b/>
                <w:bCs/>
                <w:sz w:val="14"/>
                <w:szCs w:val="14"/>
              </w:rPr>
              <w:t>20</w:t>
            </w:r>
          </w:p>
        </w:tc>
      </w:tr>
      <w:tr w:rsidR="00A039DC" w:rsidRPr="00031ACF" w14:paraId="33633511"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0D3DB3"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E04E8E6"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41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67968B" w14:textId="77777777" w:rsidR="00A039DC" w:rsidRPr="00784EB8" w:rsidRDefault="00A039DC" w:rsidP="00F93C65">
            <w:pPr>
              <w:ind w:right="227"/>
              <w:jc w:val="right"/>
              <w:rPr>
                <w:b/>
                <w:bCs/>
                <w:sz w:val="14"/>
                <w:szCs w:val="14"/>
              </w:rPr>
            </w:pPr>
            <w:r>
              <w:rPr>
                <w:b/>
                <w:bCs/>
                <w:sz w:val="14"/>
                <w:szCs w:val="14"/>
              </w:rPr>
              <w:t>-</w:t>
            </w:r>
            <w:r w:rsidRPr="00110520">
              <w:rPr>
                <w:b/>
                <w:bCs/>
                <w:sz w:val="14"/>
                <w:szCs w:val="14"/>
              </w:rPr>
              <w:t>0.</w:t>
            </w:r>
            <w:r>
              <w:rPr>
                <w:b/>
                <w:bCs/>
                <w:sz w:val="14"/>
                <w:szCs w:val="14"/>
              </w:rPr>
              <w:t>82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074E48" w14:textId="77777777" w:rsidR="00A039DC" w:rsidRPr="00784EB8" w:rsidRDefault="00A039DC" w:rsidP="00F93C65">
            <w:pPr>
              <w:ind w:right="227"/>
              <w:jc w:val="right"/>
              <w:rPr>
                <w:b/>
                <w:bCs/>
                <w:sz w:val="14"/>
                <w:szCs w:val="14"/>
              </w:rPr>
            </w:pPr>
            <w:r>
              <w:rPr>
                <w:b/>
                <w:bCs/>
                <w:sz w:val="14"/>
                <w:szCs w:val="14"/>
              </w:rPr>
              <w:t>-</w:t>
            </w:r>
            <w:r w:rsidRPr="00110520">
              <w:rPr>
                <w:b/>
                <w:bCs/>
                <w:sz w:val="14"/>
                <w:szCs w:val="14"/>
              </w:rPr>
              <w:t>0.</w:t>
            </w:r>
            <w:r>
              <w:rPr>
                <w:b/>
                <w:bCs/>
                <w:sz w:val="14"/>
                <w:szCs w:val="14"/>
              </w:rPr>
              <w:t>29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52D654" w14:textId="77777777" w:rsidR="00A039DC" w:rsidRPr="00784EB8" w:rsidRDefault="00A039DC" w:rsidP="00F93C65">
            <w:pPr>
              <w:ind w:right="227"/>
              <w:jc w:val="right"/>
              <w:rPr>
                <w:b/>
                <w:bCs/>
                <w:sz w:val="14"/>
                <w:szCs w:val="14"/>
              </w:rPr>
            </w:pPr>
            <w:r>
              <w:rPr>
                <w:b/>
                <w:bCs/>
                <w:sz w:val="14"/>
                <w:szCs w:val="14"/>
              </w:rPr>
              <w:t>8</w:t>
            </w:r>
            <w:r w:rsidRPr="00110520">
              <w:rPr>
                <w:b/>
                <w:bCs/>
                <w:sz w:val="14"/>
                <w:szCs w:val="14"/>
              </w:rPr>
              <w:t>.</w:t>
            </w:r>
            <w:r>
              <w:rPr>
                <w:b/>
                <w:bCs/>
                <w:sz w:val="14"/>
                <w:szCs w:val="14"/>
              </w:rPr>
              <w:t>37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5F53ADE" w14:textId="77777777" w:rsidR="00A039DC" w:rsidRPr="00784EB8" w:rsidRDefault="00A039DC" w:rsidP="00F93C65">
            <w:pPr>
              <w:ind w:right="227"/>
              <w:jc w:val="right"/>
              <w:rPr>
                <w:b/>
                <w:bCs/>
                <w:sz w:val="14"/>
                <w:szCs w:val="14"/>
              </w:rPr>
            </w:pPr>
            <w:r w:rsidRPr="00110520">
              <w:rPr>
                <w:b/>
                <w:bCs/>
                <w:sz w:val="14"/>
                <w:szCs w:val="14"/>
              </w:rPr>
              <w:t>1</w:t>
            </w:r>
            <w:r>
              <w:rPr>
                <w:b/>
                <w:bCs/>
                <w:sz w:val="14"/>
                <w:szCs w:val="14"/>
              </w:rPr>
              <w:t>0</w:t>
            </w:r>
            <w:r w:rsidRPr="00110520">
              <w:rPr>
                <w:b/>
                <w:bCs/>
                <w:sz w:val="14"/>
                <w:szCs w:val="14"/>
              </w:rPr>
              <w:t>.</w:t>
            </w:r>
            <w:r>
              <w:rPr>
                <w:b/>
                <w:bCs/>
                <w:sz w:val="14"/>
                <w:szCs w:val="14"/>
              </w:rPr>
              <w:t>58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BE03523" w14:textId="77777777" w:rsidR="00A039DC" w:rsidRPr="00784EB8" w:rsidRDefault="00A039DC" w:rsidP="00F93C65">
            <w:pPr>
              <w:ind w:right="227"/>
              <w:jc w:val="right"/>
              <w:rPr>
                <w:b/>
                <w:bCs/>
                <w:sz w:val="14"/>
                <w:szCs w:val="14"/>
              </w:rPr>
            </w:pPr>
            <w:r w:rsidRPr="00110520">
              <w:rPr>
                <w:b/>
                <w:bCs/>
                <w:sz w:val="14"/>
                <w:szCs w:val="14"/>
              </w:rPr>
              <w:t>1</w:t>
            </w:r>
            <w:r>
              <w:rPr>
                <w:b/>
                <w:bCs/>
                <w:sz w:val="14"/>
                <w:szCs w:val="14"/>
              </w:rPr>
              <w:t>4</w:t>
            </w:r>
            <w:r w:rsidRPr="00110520">
              <w:rPr>
                <w:b/>
                <w:bCs/>
                <w:sz w:val="14"/>
                <w:szCs w:val="14"/>
              </w:rPr>
              <w:t>.</w:t>
            </w:r>
            <w:r>
              <w:rPr>
                <w:b/>
                <w:bCs/>
                <w:sz w:val="14"/>
                <w:szCs w:val="14"/>
              </w:rPr>
              <w:t>29</w:t>
            </w:r>
          </w:p>
        </w:tc>
      </w:tr>
      <w:tr w:rsidR="00A039DC" w:rsidRPr="00031ACF" w14:paraId="1F874514"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FF78D3C"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6F2429D"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01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F258C7" w14:textId="77777777" w:rsidR="00A039DC" w:rsidRPr="00784EB8" w:rsidRDefault="00A039DC" w:rsidP="00F93C65">
            <w:pPr>
              <w:ind w:right="227"/>
              <w:jc w:val="right"/>
              <w:rPr>
                <w:b/>
                <w:bCs/>
                <w:sz w:val="14"/>
                <w:szCs w:val="14"/>
              </w:rPr>
            </w:pPr>
            <w:r>
              <w:rPr>
                <w:b/>
                <w:bCs/>
                <w:sz w:val="14"/>
                <w:szCs w:val="14"/>
              </w:rPr>
              <w:t>1</w:t>
            </w:r>
            <w:r w:rsidRPr="00110520">
              <w:rPr>
                <w:b/>
                <w:bCs/>
                <w:sz w:val="14"/>
                <w:szCs w:val="14"/>
              </w:rPr>
              <w:t>.</w:t>
            </w:r>
            <w:r>
              <w:rPr>
                <w:b/>
                <w:bCs/>
                <w:sz w:val="14"/>
                <w:szCs w:val="14"/>
              </w:rPr>
              <w:t>77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A4498AB"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36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4A1B1CF" w14:textId="77777777" w:rsidR="00A039DC" w:rsidRPr="00784EB8" w:rsidRDefault="00A039DC" w:rsidP="00F93C65">
            <w:pPr>
              <w:ind w:right="227"/>
              <w:jc w:val="right"/>
              <w:rPr>
                <w:b/>
                <w:bCs/>
                <w:sz w:val="14"/>
                <w:szCs w:val="14"/>
              </w:rPr>
            </w:pPr>
            <w:r w:rsidRPr="00110520">
              <w:rPr>
                <w:b/>
                <w:bCs/>
                <w:sz w:val="14"/>
                <w:szCs w:val="14"/>
              </w:rPr>
              <w:t>4.</w:t>
            </w:r>
            <w:r>
              <w:rPr>
                <w:b/>
                <w:bCs/>
                <w:sz w:val="14"/>
                <w:szCs w:val="14"/>
              </w:rPr>
              <w:t>91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2F3C4B" w14:textId="77777777" w:rsidR="00A039DC" w:rsidRPr="00784EB8" w:rsidRDefault="00A039DC" w:rsidP="00F93C65">
            <w:pPr>
              <w:ind w:right="227"/>
              <w:jc w:val="right"/>
              <w:rPr>
                <w:b/>
                <w:bCs/>
                <w:sz w:val="14"/>
                <w:szCs w:val="14"/>
              </w:rPr>
            </w:pPr>
            <w:r>
              <w:rPr>
                <w:b/>
                <w:bCs/>
                <w:sz w:val="14"/>
                <w:szCs w:val="14"/>
              </w:rPr>
              <w:t>11</w:t>
            </w:r>
            <w:r w:rsidRPr="00110520">
              <w:rPr>
                <w:b/>
                <w:bCs/>
                <w:sz w:val="14"/>
                <w:szCs w:val="14"/>
              </w:rPr>
              <w:t>.</w:t>
            </w:r>
            <w:r>
              <w:rPr>
                <w:b/>
                <w:bCs/>
                <w:sz w:val="14"/>
                <w:szCs w:val="14"/>
              </w:rPr>
              <w:t>20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129113F" w14:textId="77777777" w:rsidR="00A039DC" w:rsidRPr="00784EB8" w:rsidRDefault="00A039DC" w:rsidP="00F93C65">
            <w:pPr>
              <w:ind w:right="227"/>
              <w:jc w:val="right"/>
              <w:rPr>
                <w:b/>
                <w:bCs/>
                <w:sz w:val="14"/>
                <w:szCs w:val="14"/>
              </w:rPr>
            </w:pPr>
            <w:r>
              <w:rPr>
                <w:b/>
                <w:bCs/>
                <w:sz w:val="14"/>
                <w:szCs w:val="14"/>
              </w:rPr>
              <w:t>7</w:t>
            </w:r>
            <w:r w:rsidRPr="00110520">
              <w:rPr>
                <w:b/>
                <w:bCs/>
                <w:sz w:val="14"/>
                <w:szCs w:val="14"/>
              </w:rPr>
              <w:t>.</w:t>
            </w:r>
            <w:r>
              <w:rPr>
                <w:b/>
                <w:bCs/>
                <w:sz w:val="14"/>
                <w:szCs w:val="14"/>
              </w:rPr>
              <w:t>40</w:t>
            </w:r>
          </w:p>
        </w:tc>
      </w:tr>
      <w:tr w:rsidR="00A039DC" w:rsidRPr="00031ACF" w14:paraId="293DFD2C"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71C3AB"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E6C4D53" w14:textId="77777777" w:rsidR="00A039DC" w:rsidRPr="00110520" w:rsidRDefault="00A039DC" w:rsidP="00F93C65">
            <w:pPr>
              <w:ind w:right="227"/>
              <w:jc w:val="right"/>
              <w:rPr>
                <w:bCs/>
                <w:sz w:val="14"/>
                <w:szCs w:val="14"/>
              </w:rPr>
            </w:pPr>
            <w:r w:rsidRPr="00110520">
              <w:rPr>
                <w:bCs/>
                <w:sz w:val="14"/>
                <w:szCs w:val="14"/>
              </w:rPr>
              <w:t>-</w:t>
            </w:r>
            <w:r>
              <w:rPr>
                <w:bCs/>
                <w:sz w:val="14"/>
                <w:szCs w:val="14"/>
              </w:rPr>
              <w:t>0</w:t>
            </w:r>
            <w:r w:rsidRPr="00110520">
              <w:rPr>
                <w:bCs/>
                <w:sz w:val="14"/>
                <w:szCs w:val="14"/>
              </w:rPr>
              <w:t>.</w:t>
            </w:r>
            <w:r>
              <w:rPr>
                <w:bCs/>
                <w:sz w:val="14"/>
                <w:szCs w:val="14"/>
              </w:rPr>
              <w:t>61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BDF554F" w14:textId="77777777" w:rsidR="00A039DC" w:rsidRPr="00110520" w:rsidRDefault="00A039DC" w:rsidP="00F93C65">
            <w:pPr>
              <w:ind w:right="227"/>
              <w:jc w:val="right"/>
              <w:rPr>
                <w:bCs/>
                <w:sz w:val="14"/>
                <w:szCs w:val="14"/>
              </w:rPr>
            </w:pPr>
            <w:r>
              <w:rPr>
                <w:bCs/>
                <w:sz w:val="14"/>
                <w:szCs w:val="14"/>
              </w:rPr>
              <w:t>6</w:t>
            </w:r>
            <w:r w:rsidRPr="00110520">
              <w:rPr>
                <w:bCs/>
                <w:sz w:val="14"/>
                <w:szCs w:val="14"/>
              </w:rPr>
              <w:t>.</w:t>
            </w:r>
            <w:r>
              <w:rPr>
                <w:bCs/>
                <w:sz w:val="14"/>
                <w:szCs w:val="14"/>
              </w:rPr>
              <w:t>85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D8AC4A" w14:textId="77777777" w:rsidR="00A039DC" w:rsidRPr="00110520" w:rsidRDefault="00A039DC" w:rsidP="00F93C65">
            <w:pPr>
              <w:ind w:right="227"/>
              <w:jc w:val="right"/>
              <w:rPr>
                <w:bCs/>
                <w:sz w:val="14"/>
                <w:szCs w:val="14"/>
              </w:rPr>
            </w:pPr>
            <w:r w:rsidRPr="00110520">
              <w:rPr>
                <w:bCs/>
                <w:sz w:val="14"/>
                <w:szCs w:val="14"/>
              </w:rPr>
              <w:t>-</w:t>
            </w:r>
            <w:r>
              <w:rPr>
                <w:bCs/>
                <w:sz w:val="14"/>
                <w:szCs w:val="14"/>
              </w:rPr>
              <w:t>2</w:t>
            </w:r>
            <w:r w:rsidRPr="00110520">
              <w:rPr>
                <w:bCs/>
                <w:sz w:val="14"/>
                <w:szCs w:val="14"/>
              </w:rPr>
              <w:t>.</w:t>
            </w:r>
            <w:r>
              <w:rPr>
                <w:bCs/>
                <w:sz w:val="14"/>
                <w:szCs w:val="14"/>
              </w:rPr>
              <w:t>97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0565EA3" w14:textId="77777777" w:rsidR="00A039DC" w:rsidRPr="00110520" w:rsidRDefault="00A039DC" w:rsidP="00F93C65">
            <w:pPr>
              <w:ind w:right="227"/>
              <w:jc w:val="right"/>
              <w:rPr>
                <w:bCs/>
                <w:sz w:val="14"/>
                <w:szCs w:val="14"/>
              </w:rPr>
            </w:pPr>
            <w:r w:rsidRPr="00110520">
              <w:rPr>
                <w:bCs/>
                <w:sz w:val="14"/>
                <w:szCs w:val="14"/>
              </w:rPr>
              <w:t>2.</w:t>
            </w:r>
            <w:r>
              <w:rPr>
                <w:bCs/>
                <w:sz w:val="14"/>
                <w:szCs w:val="14"/>
              </w:rPr>
              <w:t>80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795F30" w14:textId="77777777" w:rsidR="00A039DC" w:rsidRPr="00110520" w:rsidRDefault="00A039DC" w:rsidP="00F93C65">
            <w:pPr>
              <w:ind w:right="227"/>
              <w:jc w:val="right"/>
              <w:rPr>
                <w:bCs/>
                <w:sz w:val="14"/>
                <w:szCs w:val="14"/>
              </w:rPr>
            </w:pPr>
            <w:r>
              <w:rPr>
                <w:bCs/>
                <w:sz w:val="14"/>
                <w:szCs w:val="14"/>
              </w:rPr>
              <w:t>4</w:t>
            </w:r>
            <w:r w:rsidRPr="00110520">
              <w:rPr>
                <w:bCs/>
                <w:sz w:val="14"/>
                <w:szCs w:val="14"/>
              </w:rPr>
              <w:t>1.</w:t>
            </w:r>
            <w:r>
              <w:rPr>
                <w:bCs/>
                <w:sz w:val="14"/>
                <w:szCs w:val="14"/>
              </w:rPr>
              <w:t>38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745BBAF" w14:textId="77777777" w:rsidR="00A039DC" w:rsidRPr="00110520" w:rsidRDefault="00A039DC" w:rsidP="00F93C65">
            <w:pPr>
              <w:ind w:right="227"/>
              <w:jc w:val="right"/>
              <w:rPr>
                <w:bCs/>
                <w:sz w:val="14"/>
                <w:szCs w:val="14"/>
              </w:rPr>
            </w:pPr>
            <w:r>
              <w:rPr>
                <w:bCs/>
                <w:sz w:val="14"/>
                <w:szCs w:val="14"/>
              </w:rPr>
              <w:t>2</w:t>
            </w:r>
            <w:r w:rsidRPr="00110520">
              <w:rPr>
                <w:bCs/>
                <w:sz w:val="14"/>
                <w:szCs w:val="14"/>
              </w:rPr>
              <w:t>.1</w:t>
            </w:r>
            <w:r>
              <w:rPr>
                <w:bCs/>
                <w:sz w:val="14"/>
                <w:szCs w:val="14"/>
              </w:rPr>
              <w:t>7</w:t>
            </w:r>
          </w:p>
        </w:tc>
      </w:tr>
      <w:tr w:rsidR="00A039DC" w:rsidRPr="00031ACF" w14:paraId="3386E33E"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A26373B"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721BFC1" w14:textId="77777777" w:rsidR="00A039DC" w:rsidRPr="00110520" w:rsidRDefault="00A039DC" w:rsidP="00F93C65">
            <w:pPr>
              <w:ind w:right="227"/>
              <w:jc w:val="right"/>
              <w:rPr>
                <w:bCs/>
                <w:sz w:val="14"/>
                <w:szCs w:val="14"/>
              </w:rPr>
            </w:pPr>
            <w:r>
              <w:rPr>
                <w:bCs/>
                <w:sz w:val="14"/>
                <w:szCs w:val="14"/>
              </w:rPr>
              <w:t>2</w:t>
            </w:r>
            <w:r w:rsidRPr="00110520">
              <w:rPr>
                <w:bCs/>
                <w:sz w:val="14"/>
                <w:szCs w:val="14"/>
              </w:rPr>
              <w:t>.</w:t>
            </w:r>
            <w:r>
              <w:rPr>
                <w:bCs/>
                <w:sz w:val="14"/>
                <w:szCs w:val="14"/>
              </w:rPr>
              <w:t>01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C6297B" w14:textId="77777777" w:rsidR="00A039DC" w:rsidRPr="00110520" w:rsidRDefault="00A039DC" w:rsidP="00F93C65">
            <w:pPr>
              <w:ind w:right="227"/>
              <w:jc w:val="right"/>
              <w:rPr>
                <w:bCs/>
                <w:sz w:val="14"/>
                <w:szCs w:val="14"/>
              </w:rPr>
            </w:pPr>
            <w:r>
              <w:rPr>
                <w:bCs/>
                <w:sz w:val="14"/>
                <w:szCs w:val="14"/>
              </w:rPr>
              <w:t>1</w:t>
            </w:r>
            <w:r w:rsidRPr="00110520">
              <w:rPr>
                <w:bCs/>
                <w:sz w:val="14"/>
                <w:szCs w:val="14"/>
              </w:rPr>
              <w:t>.</w:t>
            </w:r>
            <w:r>
              <w:rPr>
                <w:bCs/>
                <w:sz w:val="14"/>
                <w:szCs w:val="14"/>
              </w:rPr>
              <w:t>98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320968" w14:textId="77777777" w:rsidR="00A039DC" w:rsidRPr="00110520" w:rsidRDefault="00A039DC" w:rsidP="00F93C65">
            <w:pPr>
              <w:ind w:right="227"/>
              <w:jc w:val="right"/>
              <w:rPr>
                <w:bCs/>
                <w:sz w:val="14"/>
                <w:szCs w:val="14"/>
              </w:rPr>
            </w:pPr>
            <w:r>
              <w:rPr>
                <w:bCs/>
                <w:sz w:val="14"/>
                <w:szCs w:val="14"/>
              </w:rPr>
              <w:t>2</w:t>
            </w:r>
            <w:r w:rsidRPr="00110520">
              <w:rPr>
                <w:bCs/>
                <w:sz w:val="14"/>
                <w:szCs w:val="14"/>
              </w:rPr>
              <w:t>.</w:t>
            </w:r>
            <w:r>
              <w:rPr>
                <w:bCs/>
                <w:sz w:val="14"/>
                <w:szCs w:val="14"/>
              </w:rPr>
              <w:t>15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9FBDAF" w14:textId="77777777" w:rsidR="00A039DC" w:rsidRPr="00110520" w:rsidRDefault="00A039DC" w:rsidP="00F93C65">
            <w:pPr>
              <w:ind w:right="227"/>
              <w:jc w:val="right"/>
              <w:rPr>
                <w:bCs/>
                <w:sz w:val="14"/>
                <w:szCs w:val="14"/>
              </w:rPr>
            </w:pPr>
            <w:r w:rsidRPr="00110520">
              <w:rPr>
                <w:bCs/>
                <w:sz w:val="14"/>
                <w:szCs w:val="14"/>
              </w:rPr>
              <w:t>1.</w:t>
            </w:r>
            <w:r>
              <w:rPr>
                <w:bCs/>
                <w:sz w:val="14"/>
                <w:szCs w:val="14"/>
              </w:rPr>
              <w:t>6</w:t>
            </w:r>
            <w:r w:rsidRPr="00110520">
              <w:rPr>
                <w:bCs/>
                <w:sz w:val="14"/>
                <w:szCs w:val="14"/>
              </w:rPr>
              <w:t>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3CD9C9" w14:textId="77777777" w:rsidR="00A039DC" w:rsidRPr="00110520" w:rsidRDefault="00A039DC" w:rsidP="00F93C65">
            <w:pPr>
              <w:ind w:right="227"/>
              <w:jc w:val="right"/>
              <w:rPr>
                <w:bCs/>
                <w:sz w:val="14"/>
                <w:szCs w:val="14"/>
              </w:rPr>
            </w:pPr>
            <w:r w:rsidRPr="00110520">
              <w:rPr>
                <w:bCs/>
                <w:sz w:val="14"/>
                <w:szCs w:val="14"/>
              </w:rPr>
              <w:t>3.</w:t>
            </w:r>
            <w:r>
              <w:rPr>
                <w:bCs/>
                <w:sz w:val="14"/>
                <w:szCs w:val="14"/>
              </w:rPr>
              <w:t>79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77BCD7D" w14:textId="77777777" w:rsidR="00A039DC" w:rsidRPr="00110520" w:rsidRDefault="00A039DC" w:rsidP="00F93C65">
            <w:pPr>
              <w:ind w:right="227"/>
              <w:jc w:val="right"/>
              <w:rPr>
                <w:bCs/>
                <w:sz w:val="14"/>
                <w:szCs w:val="14"/>
              </w:rPr>
            </w:pPr>
            <w:r>
              <w:rPr>
                <w:bCs/>
                <w:sz w:val="14"/>
                <w:szCs w:val="14"/>
              </w:rPr>
              <w:t>6</w:t>
            </w:r>
            <w:r w:rsidRPr="00110520">
              <w:rPr>
                <w:bCs/>
                <w:sz w:val="14"/>
                <w:szCs w:val="14"/>
              </w:rPr>
              <w:t>.</w:t>
            </w:r>
            <w:r>
              <w:rPr>
                <w:bCs/>
                <w:sz w:val="14"/>
                <w:szCs w:val="14"/>
              </w:rPr>
              <w:t>09</w:t>
            </w:r>
          </w:p>
        </w:tc>
      </w:tr>
      <w:tr w:rsidR="00A039DC" w:rsidRPr="00031ACF" w14:paraId="5DF57AB8"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C88927"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0428FE3" w14:textId="77777777" w:rsidR="00A039DC" w:rsidRPr="00110520" w:rsidRDefault="00A039DC" w:rsidP="00F93C65">
            <w:pPr>
              <w:ind w:right="227"/>
              <w:jc w:val="right"/>
              <w:rPr>
                <w:bCs/>
                <w:sz w:val="14"/>
                <w:szCs w:val="14"/>
              </w:rPr>
            </w:pPr>
            <w:r w:rsidRPr="00110520">
              <w:rPr>
                <w:bCs/>
                <w:sz w:val="14"/>
                <w:szCs w:val="14"/>
              </w:rPr>
              <w:t>0.</w:t>
            </w:r>
            <w:r>
              <w:rPr>
                <w:bCs/>
                <w:sz w:val="14"/>
                <w:szCs w:val="14"/>
              </w:rPr>
              <w:t>7</w:t>
            </w:r>
            <w:r w:rsidRPr="00110520">
              <w:rPr>
                <w:bCs/>
                <w:sz w:val="14"/>
                <w:szCs w:val="14"/>
              </w:rPr>
              <w:t>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96AE77" w14:textId="77777777" w:rsidR="00A039DC" w:rsidRPr="00110520" w:rsidRDefault="00A039DC" w:rsidP="00F93C65">
            <w:pPr>
              <w:ind w:right="227"/>
              <w:jc w:val="right"/>
              <w:rPr>
                <w:bCs/>
                <w:sz w:val="14"/>
                <w:szCs w:val="14"/>
              </w:rPr>
            </w:pPr>
            <w:r w:rsidRPr="00110520">
              <w:rPr>
                <w:bCs/>
                <w:sz w:val="14"/>
                <w:szCs w:val="14"/>
              </w:rPr>
              <w:t>0.3</w:t>
            </w:r>
            <w:r>
              <w:rPr>
                <w:bCs/>
                <w:sz w:val="14"/>
                <w:szCs w:val="14"/>
              </w:rPr>
              <w:t>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3AFCB26" w14:textId="77777777" w:rsidR="00A039DC" w:rsidRPr="00110520" w:rsidRDefault="00A039DC" w:rsidP="00F93C65">
            <w:pPr>
              <w:ind w:right="227"/>
              <w:jc w:val="right"/>
              <w:rPr>
                <w:bCs/>
                <w:sz w:val="14"/>
                <w:szCs w:val="14"/>
              </w:rPr>
            </w:pPr>
            <w:r w:rsidRPr="00110520">
              <w:rPr>
                <w:bCs/>
                <w:sz w:val="14"/>
                <w:szCs w:val="14"/>
              </w:rPr>
              <w:t>-0.</w:t>
            </w:r>
            <w:r>
              <w:rPr>
                <w:bCs/>
                <w:sz w:val="14"/>
                <w:szCs w:val="14"/>
              </w:rPr>
              <w:t>66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A1121F5" w14:textId="77777777" w:rsidR="00A039DC" w:rsidRPr="00110520" w:rsidRDefault="00A039DC" w:rsidP="00F93C65">
            <w:pPr>
              <w:ind w:right="227"/>
              <w:jc w:val="right"/>
              <w:rPr>
                <w:bCs/>
                <w:sz w:val="14"/>
                <w:szCs w:val="14"/>
              </w:rPr>
            </w:pPr>
            <w:r>
              <w:rPr>
                <w:bCs/>
                <w:sz w:val="14"/>
                <w:szCs w:val="14"/>
              </w:rPr>
              <w:t>3</w:t>
            </w:r>
            <w:r w:rsidRPr="00110520">
              <w:rPr>
                <w:bCs/>
                <w:sz w:val="14"/>
                <w:szCs w:val="14"/>
              </w:rPr>
              <w:t>.</w:t>
            </w:r>
            <w:r>
              <w:rPr>
                <w:bCs/>
                <w:sz w:val="14"/>
                <w:szCs w:val="14"/>
              </w:rPr>
              <w:t>50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E5093D6" w14:textId="77777777" w:rsidR="00A039DC" w:rsidRPr="00110520" w:rsidRDefault="00A039DC" w:rsidP="00F93C65">
            <w:pPr>
              <w:ind w:right="227"/>
              <w:jc w:val="right"/>
              <w:rPr>
                <w:bCs/>
                <w:sz w:val="14"/>
                <w:szCs w:val="14"/>
              </w:rPr>
            </w:pPr>
            <w:r w:rsidRPr="00110520">
              <w:rPr>
                <w:bCs/>
                <w:sz w:val="14"/>
                <w:szCs w:val="14"/>
              </w:rPr>
              <w:t>15.</w:t>
            </w:r>
            <w:r>
              <w:rPr>
                <w:bCs/>
                <w:sz w:val="14"/>
                <w:szCs w:val="14"/>
              </w:rPr>
              <w:t>24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445ECB" w14:textId="77777777" w:rsidR="00A039DC" w:rsidRPr="00110520" w:rsidRDefault="00A039DC" w:rsidP="00F93C65">
            <w:pPr>
              <w:ind w:right="227"/>
              <w:jc w:val="right"/>
              <w:rPr>
                <w:bCs/>
                <w:sz w:val="14"/>
                <w:szCs w:val="14"/>
              </w:rPr>
            </w:pPr>
            <w:r w:rsidRPr="00110520">
              <w:rPr>
                <w:bCs/>
                <w:sz w:val="14"/>
                <w:szCs w:val="14"/>
              </w:rPr>
              <w:t>1</w:t>
            </w:r>
            <w:r>
              <w:rPr>
                <w:bCs/>
                <w:sz w:val="14"/>
                <w:szCs w:val="14"/>
              </w:rPr>
              <w:t>1</w:t>
            </w:r>
            <w:r w:rsidRPr="00110520">
              <w:rPr>
                <w:bCs/>
                <w:sz w:val="14"/>
                <w:szCs w:val="14"/>
              </w:rPr>
              <w:t>.</w:t>
            </w:r>
            <w:r>
              <w:rPr>
                <w:bCs/>
                <w:sz w:val="14"/>
                <w:szCs w:val="14"/>
              </w:rPr>
              <w:t>14</w:t>
            </w:r>
          </w:p>
        </w:tc>
      </w:tr>
      <w:tr w:rsidR="00A039DC" w:rsidRPr="00031ACF" w14:paraId="57273EE9" w14:textId="77777777" w:rsidTr="00F93C65">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D71D10B" w14:textId="77777777" w:rsidR="00A039DC" w:rsidRPr="00841586" w:rsidRDefault="00A039DC" w:rsidP="00F93C65">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26D5191" w14:textId="77777777" w:rsidR="00A039DC" w:rsidRPr="00110520" w:rsidRDefault="00A039DC" w:rsidP="00F93C65">
            <w:pPr>
              <w:ind w:right="227"/>
              <w:jc w:val="right"/>
              <w:rPr>
                <w:bCs/>
                <w:sz w:val="14"/>
                <w:szCs w:val="14"/>
              </w:rPr>
            </w:pPr>
            <w:r w:rsidRPr="00110520">
              <w:rPr>
                <w:bCs/>
                <w:sz w:val="14"/>
                <w:szCs w:val="14"/>
              </w:rPr>
              <w:t>-0.</w:t>
            </w:r>
            <w:r>
              <w:rPr>
                <w:bCs/>
                <w:sz w:val="14"/>
                <w:szCs w:val="14"/>
              </w:rPr>
              <w:t>1</w:t>
            </w:r>
            <w:r w:rsidRPr="00110520">
              <w:rPr>
                <w:bCs/>
                <w:sz w:val="14"/>
                <w:szCs w:val="14"/>
              </w:rPr>
              <w:t>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DECE7D" w14:textId="77777777" w:rsidR="00A039DC" w:rsidRPr="00110520" w:rsidRDefault="00A039DC" w:rsidP="00F93C65">
            <w:pPr>
              <w:ind w:right="227"/>
              <w:jc w:val="right"/>
              <w:rPr>
                <w:bCs/>
                <w:sz w:val="14"/>
                <w:szCs w:val="14"/>
              </w:rPr>
            </w:pPr>
            <w:r>
              <w:rPr>
                <w:bCs/>
                <w:sz w:val="14"/>
                <w:szCs w:val="14"/>
              </w:rPr>
              <w:t>1</w:t>
            </w:r>
            <w:r w:rsidRPr="00110520">
              <w:rPr>
                <w:bCs/>
                <w:sz w:val="14"/>
                <w:szCs w:val="14"/>
              </w:rPr>
              <w:t>.4</w:t>
            </w:r>
            <w:r>
              <w:rPr>
                <w:bCs/>
                <w:sz w:val="14"/>
                <w:szCs w:val="14"/>
              </w:rPr>
              <w:t>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CA46EB3" w14:textId="77777777" w:rsidR="00A039DC" w:rsidRPr="00110520" w:rsidRDefault="00A039DC" w:rsidP="00F93C65">
            <w:pPr>
              <w:ind w:right="227"/>
              <w:jc w:val="right"/>
              <w:rPr>
                <w:bCs/>
                <w:sz w:val="14"/>
                <w:szCs w:val="14"/>
              </w:rPr>
            </w:pPr>
            <w:r w:rsidRPr="00110520">
              <w:rPr>
                <w:bCs/>
                <w:sz w:val="14"/>
                <w:szCs w:val="14"/>
              </w:rPr>
              <w:t>-0.</w:t>
            </w:r>
            <w:r>
              <w:rPr>
                <w:bCs/>
                <w:sz w:val="14"/>
                <w:szCs w:val="14"/>
              </w:rPr>
              <w:t>11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3798F9" w14:textId="77777777" w:rsidR="00A039DC" w:rsidRPr="00110520" w:rsidRDefault="00A039DC" w:rsidP="00F93C65">
            <w:pPr>
              <w:ind w:right="227"/>
              <w:jc w:val="right"/>
              <w:rPr>
                <w:bCs/>
                <w:sz w:val="14"/>
                <w:szCs w:val="14"/>
              </w:rPr>
            </w:pPr>
            <w:r w:rsidRPr="00110520">
              <w:rPr>
                <w:bCs/>
                <w:sz w:val="14"/>
                <w:szCs w:val="14"/>
              </w:rPr>
              <w:t>5.</w:t>
            </w:r>
            <w:r>
              <w:rPr>
                <w:bCs/>
                <w:sz w:val="14"/>
                <w:szCs w:val="14"/>
              </w:rPr>
              <w:t>55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F48164" w14:textId="77777777" w:rsidR="00A039DC" w:rsidRPr="00110520" w:rsidRDefault="00A039DC" w:rsidP="00F93C65">
            <w:pPr>
              <w:ind w:right="227"/>
              <w:jc w:val="right"/>
              <w:rPr>
                <w:bCs/>
                <w:sz w:val="14"/>
                <w:szCs w:val="14"/>
              </w:rPr>
            </w:pPr>
            <w:r>
              <w:rPr>
                <w:bCs/>
                <w:sz w:val="14"/>
                <w:szCs w:val="14"/>
              </w:rPr>
              <w:t>8</w:t>
            </w:r>
            <w:r w:rsidRPr="00110520">
              <w:rPr>
                <w:bCs/>
                <w:sz w:val="14"/>
                <w:szCs w:val="14"/>
              </w:rPr>
              <w:t>.</w:t>
            </w:r>
            <w:r>
              <w:rPr>
                <w:bCs/>
                <w:sz w:val="14"/>
                <w:szCs w:val="14"/>
              </w:rPr>
              <w:t>04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14B9C4" w14:textId="77777777" w:rsidR="00A039DC" w:rsidRPr="00110520" w:rsidRDefault="00A039DC" w:rsidP="00F93C65">
            <w:pPr>
              <w:ind w:right="227"/>
              <w:jc w:val="right"/>
              <w:rPr>
                <w:bCs/>
                <w:sz w:val="14"/>
                <w:szCs w:val="14"/>
              </w:rPr>
            </w:pPr>
            <w:r>
              <w:rPr>
                <w:bCs/>
                <w:sz w:val="14"/>
                <w:szCs w:val="14"/>
              </w:rPr>
              <w:t>7</w:t>
            </w:r>
            <w:r w:rsidRPr="00110520">
              <w:rPr>
                <w:bCs/>
                <w:sz w:val="14"/>
                <w:szCs w:val="14"/>
              </w:rPr>
              <w:t>.</w:t>
            </w:r>
            <w:r>
              <w:rPr>
                <w:bCs/>
                <w:sz w:val="14"/>
                <w:szCs w:val="14"/>
              </w:rPr>
              <w:t>34</w:t>
            </w:r>
          </w:p>
        </w:tc>
      </w:tr>
      <w:tr w:rsidR="00A039DC" w:rsidRPr="00031ACF" w14:paraId="43DB42EA" w14:textId="77777777" w:rsidTr="00F93C65">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7A55F04" w14:textId="77777777" w:rsidR="00A039DC" w:rsidRPr="00841586" w:rsidRDefault="00A039DC" w:rsidP="00F93C65">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3E3AE549" w14:textId="77777777" w:rsidR="00A039DC" w:rsidRPr="00784EB8" w:rsidRDefault="00A039DC" w:rsidP="00F93C65">
            <w:pPr>
              <w:ind w:right="227"/>
              <w:jc w:val="right"/>
              <w:rPr>
                <w:b/>
                <w:bCs/>
                <w:sz w:val="14"/>
                <w:szCs w:val="14"/>
              </w:rPr>
            </w:pPr>
            <w:r w:rsidRPr="00110520">
              <w:rPr>
                <w:b/>
                <w:bCs/>
                <w:sz w:val="14"/>
                <w:szCs w:val="14"/>
              </w:rPr>
              <w:t>0.1</w:t>
            </w:r>
            <w:r>
              <w:rPr>
                <w:b/>
                <w:bCs/>
                <w:sz w:val="14"/>
                <w:szCs w:val="14"/>
              </w:rPr>
              <w:t>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47AEA46"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48</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A7A6795" w14:textId="77777777" w:rsidR="00A039DC" w:rsidRPr="00784EB8" w:rsidRDefault="00A039DC" w:rsidP="00F93C65">
            <w:pPr>
              <w:ind w:right="227"/>
              <w:jc w:val="right"/>
              <w:rPr>
                <w:b/>
                <w:bCs/>
                <w:sz w:val="14"/>
                <w:szCs w:val="14"/>
              </w:rPr>
            </w:pPr>
            <w:r w:rsidRPr="00110520">
              <w:rPr>
                <w:b/>
                <w:bCs/>
                <w:sz w:val="14"/>
                <w:szCs w:val="14"/>
              </w:rPr>
              <w:t>0.</w:t>
            </w:r>
            <w:r>
              <w:rPr>
                <w:b/>
                <w:bCs/>
                <w:sz w:val="14"/>
                <w:szCs w:val="14"/>
              </w:rPr>
              <w:t>20</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4E48530" w14:textId="77777777" w:rsidR="00A039DC" w:rsidRPr="00784EB8" w:rsidRDefault="00A039DC" w:rsidP="00F93C65">
            <w:pPr>
              <w:ind w:right="227"/>
              <w:jc w:val="right"/>
              <w:rPr>
                <w:b/>
                <w:bCs/>
                <w:sz w:val="14"/>
                <w:szCs w:val="14"/>
              </w:rPr>
            </w:pPr>
            <w:r w:rsidRPr="00110520">
              <w:rPr>
                <w:b/>
                <w:bCs/>
                <w:sz w:val="14"/>
                <w:szCs w:val="14"/>
              </w:rPr>
              <w:t>2.</w:t>
            </w:r>
            <w:r>
              <w:rPr>
                <w:b/>
                <w:bCs/>
                <w:sz w:val="14"/>
                <w:szCs w:val="14"/>
              </w:rPr>
              <w:t>87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DD655E8" w14:textId="77777777" w:rsidR="00A039DC" w:rsidRPr="00784EB8" w:rsidRDefault="00A039DC" w:rsidP="00F93C65">
            <w:pPr>
              <w:ind w:right="227"/>
              <w:jc w:val="right"/>
              <w:rPr>
                <w:b/>
                <w:bCs/>
                <w:sz w:val="14"/>
                <w:szCs w:val="14"/>
              </w:rPr>
            </w:pPr>
            <w:r w:rsidRPr="00110520">
              <w:rPr>
                <w:b/>
                <w:bCs/>
                <w:sz w:val="14"/>
                <w:szCs w:val="14"/>
              </w:rPr>
              <w:t>2.</w:t>
            </w:r>
            <w:r>
              <w:rPr>
                <w:b/>
                <w:bCs/>
                <w:sz w:val="14"/>
                <w:szCs w:val="14"/>
              </w:rPr>
              <w:t>87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2AA8C75" w14:textId="77777777" w:rsidR="00A039DC" w:rsidRPr="00784EB8" w:rsidRDefault="00A039DC" w:rsidP="00F93C65">
            <w:pPr>
              <w:ind w:right="227"/>
              <w:jc w:val="right"/>
              <w:rPr>
                <w:b/>
                <w:bCs/>
                <w:sz w:val="14"/>
                <w:szCs w:val="14"/>
              </w:rPr>
            </w:pPr>
            <w:r w:rsidRPr="00110520">
              <w:rPr>
                <w:b/>
                <w:bCs/>
                <w:sz w:val="14"/>
                <w:szCs w:val="14"/>
              </w:rPr>
              <w:t>5.</w:t>
            </w:r>
            <w:r>
              <w:rPr>
                <w:b/>
                <w:bCs/>
                <w:sz w:val="14"/>
                <w:szCs w:val="14"/>
              </w:rPr>
              <w:t>6</w:t>
            </w:r>
            <w:r w:rsidRPr="00110520">
              <w:rPr>
                <w:b/>
                <w:bCs/>
                <w:sz w:val="14"/>
                <w:szCs w:val="14"/>
              </w:rPr>
              <w:t>1</w:t>
            </w:r>
          </w:p>
        </w:tc>
      </w:tr>
    </w:tbl>
    <w:p w14:paraId="4DA2DFC0" w14:textId="77777777" w:rsidR="00A039DC" w:rsidRDefault="00A039DC" w:rsidP="00A039DC">
      <w:pPr>
        <w:widowControl w:val="0"/>
        <w:tabs>
          <w:tab w:val="left" w:pos="266"/>
        </w:tabs>
        <w:autoSpaceDE w:val="0"/>
        <w:autoSpaceDN w:val="0"/>
        <w:adjustRightInd w:val="0"/>
        <w:ind w:left="-11" w:firstLine="125"/>
        <w:jc w:val="left"/>
        <w:rPr>
          <w:snapToGrid w:val="0"/>
          <w:sz w:val="14"/>
          <w:szCs w:val="14"/>
          <w:u w:val="single"/>
        </w:rPr>
      </w:pPr>
      <w:r w:rsidRPr="004445E5">
        <w:rPr>
          <w:color w:val="000000"/>
          <w:sz w:val="14"/>
          <w:szCs w:val="14"/>
        </w:rPr>
        <w:t xml:space="preserve">Fuente: </w:t>
      </w:r>
      <w:r w:rsidRPr="00FD7309">
        <w:rPr>
          <w:color w:val="000000"/>
          <w:sz w:val="14"/>
          <w:szCs w:val="14"/>
        </w:rPr>
        <w:t>INEGI</w:t>
      </w:r>
      <w:r w:rsidRPr="00FD7309">
        <w:rPr>
          <w:snapToGrid w:val="0"/>
          <w:sz w:val="14"/>
          <w:szCs w:val="14"/>
          <w:u w:val="single"/>
        </w:rPr>
        <w:t xml:space="preserve"> </w:t>
      </w:r>
      <w:bookmarkStart w:id="2" w:name="_Hlk97203714"/>
      <w:bookmarkEnd w:id="0"/>
    </w:p>
    <w:p w14:paraId="7C6EB34B" w14:textId="77777777" w:rsidR="00A039DC" w:rsidRDefault="00A039DC" w:rsidP="00A039DC">
      <w:pPr>
        <w:widowControl w:val="0"/>
        <w:tabs>
          <w:tab w:val="left" w:pos="266"/>
        </w:tabs>
        <w:autoSpaceDE w:val="0"/>
        <w:autoSpaceDN w:val="0"/>
        <w:adjustRightInd w:val="0"/>
        <w:ind w:left="-11" w:firstLine="125"/>
        <w:jc w:val="left"/>
        <w:rPr>
          <w:b/>
          <w:sz w:val="22"/>
        </w:rPr>
      </w:pPr>
    </w:p>
    <w:p w14:paraId="3DE14FB0" w14:textId="77777777" w:rsidR="00A039DC" w:rsidRDefault="00A039DC" w:rsidP="00A039DC">
      <w:pPr>
        <w:widowControl w:val="0"/>
        <w:tabs>
          <w:tab w:val="left" w:pos="266"/>
        </w:tabs>
        <w:autoSpaceDE w:val="0"/>
        <w:autoSpaceDN w:val="0"/>
        <w:adjustRightInd w:val="0"/>
        <w:ind w:left="-11" w:firstLine="125"/>
        <w:jc w:val="left"/>
        <w:rPr>
          <w:b/>
          <w:sz w:val="22"/>
        </w:rPr>
      </w:pPr>
    </w:p>
    <w:p w14:paraId="07BAEE21" w14:textId="77777777" w:rsidR="00A039DC" w:rsidRDefault="00A039DC" w:rsidP="00A039DC">
      <w:pPr>
        <w:widowControl w:val="0"/>
        <w:tabs>
          <w:tab w:val="left" w:pos="266"/>
        </w:tabs>
        <w:autoSpaceDE w:val="0"/>
        <w:autoSpaceDN w:val="0"/>
        <w:adjustRightInd w:val="0"/>
        <w:ind w:left="-11" w:firstLine="125"/>
        <w:jc w:val="left"/>
        <w:rPr>
          <w:b/>
          <w:sz w:val="22"/>
        </w:rPr>
      </w:pPr>
    </w:p>
    <w:p w14:paraId="294E1DA3" w14:textId="77777777" w:rsidR="00A039DC" w:rsidRDefault="00A039DC" w:rsidP="00A039DC">
      <w:pPr>
        <w:widowControl w:val="0"/>
        <w:tabs>
          <w:tab w:val="left" w:pos="266"/>
        </w:tabs>
        <w:autoSpaceDE w:val="0"/>
        <w:autoSpaceDN w:val="0"/>
        <w:adjustRightInd w:val="0"/>
        <w:ind w:left="-11" w:firstLine="125"/>
        <w:jc w:val="center"/>
        <w:rPr>
          <w:b/>
          <w:sz w:val="22"/>
        </w:rPr>
      </w:pPr>
    </w:p>
    <w:p w14:paraId="34D3D227" w14:textId="77777777" w:rsidR="00A039DC" w:rsidRDefault="00A039DC" w:rsidP="00A039DC">
      <w:pPr>
        <w:widowControl w:val="0"/>
        <w:tabs>
          <w:tab w:val="left" w:pos="266"/>
        </w:tabs>
        <w:autoSpaceDE w:val="0"/>
        <w:autoSpaceDN w:val="0"/>
        <w:adjustRightInd w:val="0"/>
        <w:ind w:left="-11" w:firstLine="125"/>
        <w:jc w:val="center"/>
        <w:rPr>
          <w:b/>
          <w:sz w:val="22"/>
        </w:rPr>
      </w:pPr>
    </w:p>
    <w:p w14:paraId="3D31F723" w14:textId="77777777" w:rsidR="00A039DC" w:rsidRPr="00472632" w:rsidRDefault="00A039DC" w:rsidP="00A039DC">
      <w:pPr>
        <w:widowControl w:val="0"/>
        <w:tabs>
          <w:tab w:val="left" w:pos="266"/>
        </w:tabs>
        <w:autoSpaceDE w:val="0"/>
        <w:autoSpaceDN w:val="0"/>
        <w:adjustRightInd w:val="0"/>
        <w:ind w:left="-11" w:firstLine="125"/>
        <w:jc w:val="center"/>
        <w:rPr>
          <w:b/>
          <w:sz w:val="22"/>
        </w:rPr>
      </w:pPr>
      <w:r w:rsidRPr="00472632">
        <w:rPr>
          <w:b/>
          <w:sz w:val="22"/>
        </w:rPr>
        <w:t>CERTIFICA</w:t>
      </w:r>
      <w:r>
        <w:rPr>
          <w:b/>
          <w:sz w:val="22"/>
        </w:rPr>
        <w:t>CIÓN ISO 9001:2015</w:t>
      </w:r>
    </w:p>
    <w:p w14:paraId="40E2D2CE" w14:textId="77777777" w:rsidR="00A039DC" w:rsidRPr="00B074FC" w:rsidRDefault="00A039DC" w:rsidP="00A039DC">
      <w:pPr>
        <w:keepNext/>
        <w:keepLines/>
        <w:jc w:val="center"/>
        <w:rPr>
          <w:b/>
          <w:snapToGrid w:val="0"/>
        </w:rPr>
      </w:pPr>
      <w:r>
        <w:rPr>
          <w:rFonts w:ascii="Times New Roman" w:hAnsi="Times New Roman" w:cs="Times New Roman"/>
          <w:noProof/>
          <w:lang w:val="es-MX" w:eastAsia="es-MX"/>
        </w:rPr>
        <w:drawing>
          <wp:inline distT="0" distB="0" distL="0" distR="0" wp14:anchorId="55CE2CB8" wp14:editId="61967CC3">
            <wp:extent cx="3600000" cy="1677600"/>
            <wp:effectExtent l="0" t="0" r="635" b="0"/>
            <wp:docPr id="11" name="Imagen 1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p w14:paraId="58BE018D" w14:textId="77777777" w:rsidR="00A039DC" w:rsidRDefault="00A039DC" w:rsidP="00A039DC">
      <w:pPr>
        <w:pStyle w:val="bullet"/>
        <w:keepLines w:val="0"/>
        <w:widowControl w:val="0"/>
        <w:spacing w:before="120" w:after="0"/>
        <w:ind w:left="3540" w:right="-547" w:firstLine="708"/>
        <w:jc w:val="left"/>
        <w:rPr>
          <w:rFonts w:cs="Arial"/>
          <w:b w:val="0"/>
          <w:color w:val="auto"/>
          <w:spacing w:val="0"/>
          <w:sz w:val="20"/>
          <w:lang w:val="es-ES_tradnl"/>
        </w:rPr>
      </w:pPr>
    </w:p>
    <w:p w14:paraId="0C4E5A76" w14:textId="77777777" w:rsidR="00A039DC" w:rsidRDefault="00A039DC" w:rsidP="00A039DC">
      <w:pPr>
        <w:spacing w:before="240"/>
      </w:pPr>
    </w:p>
    <w:p w14:paraId="34F12B59" w14:textId="77777777" w:rsidR="00A039DC" w:rsidRDefault="00A039DC" w:rsidP="00A039DC"/>
    <w:bookmarkEnd w:id="2"/>
    <w:p w14:paraId="2318BDF1" w14:textId="77777777" w:rsidR="00A039DC" w:rsidRPr="00A32609" w:rsidRDefault="00A039DC" w:rsidP="00A039DC">
      <w:pPr>
        <w:pStyle w:val="NormalWeb"/>
        <w:spacing w:before="0" w:beforeAutospacing="0" w:after="0" w:afterAutospacing="0"/>
        <w:ind w:left="-426" w:right="-518"/>
        <w:contextualSpacing/>
        <w:jc w:val="center"/>
        <w:rPr>
          <w:rFonts w:ascii="Arial" w:hAnsi="Arial" w:cs="Arial"/>
          <w:sz w:val="22"/>
          <w:szCs w:val="22"/>
        </w:rPr>
      </w:pPr>
    </w:p>
    <w:p w14:paraId="073B7A68" w14:textId="77777777" w:rsidR="00A039DC" w:rsidRPr="00A32609" w:rsidRDefault="00A039DC" w:rsidP="00A039DC">
      <w:pPr>
        <w:pStyle w:val="NormalWeb"/>
        <w:spacing w:before="0" w:beforeAutospacing="0" w:after="0" w:afterAutospacing="0"/>
        <w:ind w:left="-426" w:right="-518"/>
        <w:contextualSpacing/>
        <w:jc w:val="center"/>
        <w:rPr>
          <w:rFonts w:ascii="Arial" w:hAnsi="Arial" w:cs="Arial"/>
          <w:sz w:val="22"/>
          <w:szCs w:val="22"/>
        </w:rPr>
      </w:pPr>
      <w:r w:rsidRPr="00A32609">
        <w:rPr>
          <w:rFonts w:ascii="Arial" w:hAnsi="Arial" w:cs="Arial"/>
          <w:sz w:val="22"/>
          <w:szCs w:val="22"/>
        </w:rPr>
        <w:t xml:space="preserve">Para consultas de medios y periodistas, </w:t>
      </w:r>
      <w:r>
        <w:rPr>
          <w:rFonts w:ascii="Arial" w:hAnsi="Arial" w:cs="Arial"/>
          <w:sz w:val="22"/>
          <w:szCs w:val="22"/>
        </w:rPr>
        <w:t>escribir</w:t>
      </w:r>
      <w:r w:rsidRPr="00A32609">
        <w:rPr>
          <w:rFonts w:ascii="Arial" w:hAnsi="Arial" w:cs="Arial"/>
          <w:sz w:val="22"/>
          <w:szCs w:val="22"/>
        </w:rPr>
        <w:t xml:space="preserve"> a: </w:t>
      </w:r>
      <w:hyperlink r:id="rId9" w:history="1">
        <w:r w:rsidRPr="00A32609">
          <w:rPr>
            <w:rStyle w:val="Hipervnculo"/>
            <w:rFonts w:ascii="Arial" w:hAnsi="Arial" w:cs="Arial"/>
            <w:sz w:val="22"/>
            <w:szCs w:val="22"/>
          </w:rPr>
          <w:t>comunicacionsocial@inegi.org.mx</w:t>
        </w:r>
      </w:hyperlink>
      <w:r w:rsidRPr="00A32609">
        <w:rPr>
          <w:rFonts w:ascii="Arial" w:hAnsi="Arial" w:cs="Arial"/>
          <w:sz w:val="22"/>
          <w:szCs w:val="22"/>
        </w:rPr>
        <w:t xml:space="preserve"> </w:t>
      </w:r>
    </w:p>
    <w:p w14:paraId="0FD38F92" w14:textId="77777777" w:rsidR="00A039DC" w:rsidRPr="00A32609" w:rsidRDefault="00A039DC" w:rsidP="00A039DC">
      <w:pPr>
        <w:pStyle w:val="NormalWeb"/>
        <w:spacing w:before="0" w:beforeAutospacing="0" w:after="0" w:afterAutospacing="0"/>
        <w:ind w:left="-426" w:right="-518"/>
        <w:contextualSpacing/>
        <w:jc w:val="center"/>
        <w:rPr>
          <w:rFonts w:ascii="Arial" w:hAnsi="Arial" w:cs="Arial"/>
          <w:sz w:val="22"/>
          <w:szCs w:val="22"/>
        </w:rPr>
      </w:pPr>
      <w:r w:rsidRPr="00A32609">
        <w:rPr>
          <w:rFonts w:ascii="Arial" w:hAnsi="Arial" w:cs="Arial"/>
          <w:sz w:val="22"/>
          <w:szCs w:val="22"/>
        </w:rPr>
        <w:t xml:space="preserve">o llamar al teléfono (55) 52-78-10-00, </w:t>
      </w:r>
      <w:proofErr w:type="spellStart"/>
      <w:r w:rsidRPr="00A32609">
        <w:rPr>
          <w:rFonts w:ascii="Arial" w:hAnsi="Arial" w:cs="Arial"/>
          <w:sz w:val="22"/>
          <w:szCs w:val="22"/>
        </w:rPr>
        <w:t>exts</w:t>
      </w:r>
      <w:proofErr w:type="spellEnd"/>
      <w:r w:rsidRPr="00A32609">
        <w:rPr>
          <w:rFonts w:ascii="Arial" w:hAnsi="Arial" w:cs="Arial"/>
          <w:sz w:val="22"/>
          <w:szCs w:val="22"/>
        </w:rPr>
        <w:t>. 1134, 1260 y 1241.</w:t>
      </w:r>
    </w:p>
    <w:p w14:paraId="423798D3" w14:textId="77777777" w:rsidR="00A039DC" w:rsidRPr="00A32609" w:rsidRDefault="00A039DC" w:rsidP="00A039DC">
      <w:pPr>
        <w:pStyle w:val="NormalWeb"/>
        <w:spacing w:before="0" w:beforeAutospacing="0" w:after="0" w:afterAutospacing="0"/>
        <w:ind w:left="-426" w:right="-518"/>
        <w:contextualSpacing/>
        <w:jc w:val="center"/>
        <w:rPr>
          <w:rFonts w:ascii="Arial" w:hAnsi="Arial" w:cs="Arial"/>
          <w:sz w:val="22"/>
          <w:szCs w:val="22"/>
        </w:rPr>
      </w:pPr>
    </w:p>
    <w:p w14:paraId="69EEA6C0" w14:textId="77777777" w:rsidR="00A039DC" w:rsidRPr="00A32609" w:rsidRDefault="00A039DC" w:rsidP="00A039DC">
      <w:pPr>
        <w:ind w:left="-426" w:right="-518"/>
        <w:contextualSpacing/>
        <w:jc w:val="center"/>
        <w:rPr>
          <w:sz w:val="22"/>
          <w:szCs w:val="22"/>
        </w:rPr>
      </w:pPr>
      <w:r w:rsidRPr="00A32609">
        <w:rPr>
          <w:sz w:val="22"/>
          <w:szCs w:val="22"/>
        </w:rPr>
        <w:t>Dirección de Atención a Medios / Dirección General Adjunta de Comunicación</w:t>
      </w:r>
    </w:p>
    <w:p w14:paraId="037FF443" w14:textId="77777777" w:rsidR="00A039DC" w:rsidRPr="003E56F4" w:rsidRDefault="00A039DC" w:rsidP="00A039DC">
      <w:pPr>
        <w:ind w:left="-426" w:right="-518"/>
        <w:contextualSpacing/>
        <w:jc w:val="center"/>
        <w:rPr>
          <w:sz w:val="22"/>
          <w:szCs w:val="22"/>
        </w:rPr>
      </w:pPr>
    </w:p>
    <w:p w14:paraId="5ECA6004" w14:textId="77777777" w:rsidR="00A039DC" w:rsidRDefault="00A039DC" w:rsidP="00A039DC">
      <w:pPr>
        <w:ind w:left="-425" w:right="-516"/>
        <w:contextualSpacing/>
        <w:jc w:val="center"/>
      </w:pPr>
      <w:r w:rsidRPr="00FF1218">
        <w:rPr>
          <w:noProof/>
          <w:lang w:val="es-MX" w:eastAsia="es-MX"/>
        </w:rPr>
        <w:drawing>
          <wp:inline distT="0" distB="0" distL="0" distR="0" wp14:anchorId="653D3096" wp14:editId="777DCBF9">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06F55C" wp14:editId="15FFA576">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7B6DF2" wp14:editId="19359ABC">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7DCC27" wp14:editId="4D0DD44D">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6966989" wp14:editId="735B8542">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D263B4" w14:textId="77777777" w:rsidR="00A039DC" w:rsidRDefault="00A039DC" w:rsidP="00A039DC">
      <w:pPr>
        <w:spacing w:line="220" w:lineRule="exact"/>
        <w:rPr>
          <w:b/>
        </w:rPr>
      </w:pPr>
    </w:p>
    <w:p w14:paraId="6647B998" w14:textId="77777777" w:rsidR="00A039DC" w:rsidRPr="0083010F" w:rsidRDefault="00A039DC" w:rsidP="00A039DC">
      <w:pPr>
        <w:ind w:left="-567" w:right="-518"/>
        <w:contextualSpacing/>
        <w:jc w:val="center"/>
        <w:rPr>
          <w:sz w:val="20"/>
          <w:szCs w:val="20"/>
        </w:rPr>
      </w:pPr>
    </w:p>
    <w:p w14:paraId="68A7E7D0" w14:textId="77777777" w:rsidR="00A039DC" w:rsidRDefault="00A039DC" w:rsidP="00A039DC">
      <w:pPr>
        <w:ind w:left="-567"/>
        <w:jc w:val="center"/>
        <w:rPr>
          <w:noProof/>
          <w:lang w:eastAsia="es-MX"/>
        </w:rPr>
        <w:sectPr w:rsidR="00A039DC" w:rsidSect="00DA04F3">
          <w:headerReference w:type="default" r:id="rId20"/>
          <w:footerReference w:type="default" r:id="rId21"/>
          <w:pgSz w:w="12240" w:h="15840"/>
          <w:pgMar w:top="1418" w:right="1134" w:bottom="1276" w:left="1134" w:header="709" w:footer="709" w:gutter="0"/>
          <w:cols w:space="708"/>
          <w:docGrid w:linePitch="360"/>
        </w:sectPr>
      </w:pPr>
    </w:p>
    <w:p w14:paraId="0C751079" w14:textId="77777777" w:rsidR="00A039DC" w:rsidRPr="00BF55F1" w:rsidRDefault="00A039DC" w:rsidP="00A039DC">
      <w:pPr>
        <w:pStyle w:val="Profesin"/>
        <w:outlineLvl w:val="0"/>
        <w:rPr>
          <w:sz w:val="24"/>
          <w:szCs w:val="24"/>
          <w:lang w:val="es-MX"/>
        </w:rPr>
      </w:pPr>
      <w:r w:rsidRPr="00BF55F1">
        <w:rPr>
          <w:sz w:val="24"/>
          <w:szCs w:val="24"/>
          <w:lang w:val="es-MX"/>
        </w:rPr>
        <w:lastRenderedPageBreak/>
        <w:t>ANEXO</w:t>
      </w:r>
    </w:p>
    <w:p w14:paraId="0205B9BE" w14:textId="77777777" w:rsidR="00A039DC" w:rsidRPr="00BF55F1" w:rsidRDefault="00A039DC" w:rsidP="000B2189">
      <w:pPr>
        <w:pStyle w:val="Profesin"/>
        <w:spacing w:before="240"/>
        <w:outlineLvl w:val="0"/>
        <w:rPr>
          <w:sz w:val="24"/>
          <w:szCs w:val="24"/>
          <w:lang w:val="es-MX"/>
        </w:rPr>
      </w:pPr>
      <w:r w:rsidRPr="00BF55F1">
        <w:rPr>
          <w:sz w:val="24"/>
          <w:szCs w:val="24"/>
          <w:lang w:val="es-MX"/>
        </w:rPr>
        <w:t>Nota técnica</w:t>
      </w:r>
    </w:p>
    <w:p w14:paraId="7F544761" w14:textId="77777777" w:rsidR="0098436A" w:rsidRPr="007D6777" w:rsidRDefault="002E1F9D" w:rsidP="00C963A9">
      <w:pPr>
        <w:autoSpaceDE w:val="0"/>
        <w:autoSpaceDN w:val="0"/>
        <w:adjustRightInd w:val="0"/>
        <w:spacing w:before="480"/>
        <w:rPr>
          <w:b/>
          <w:iCs/>
          <w:smallCaps/>
          <w:snapToGrid w:val="0"/>
        </w:rPr>
      </w:pPr>
      <w:bookmarkStart w:id="3" w:name="_Hlk21329855"/>
      <w:r w:rsidRPr="007D6777">
        <w:rPr>
          <w:b/>
          <w:iCs/>
          <w:smallCaps/>
          <w:snapToGrid w:val="0"/>
        </w:rPr>
        <w:t>Índice Nacional de Precios Productor</w:t>
      </w:r>
      <w:r w:rsidR="00B16ACC" w:rsidRPr="007D6777">
        <w:rPr>
          <w:b/>
          <w:iCs/>
          <w:smallCaps/>
          <w:snapToGrid w:val="0"/>
        </w:rPr>
        <w:t xml:space="preserve"> </w:t>
      </w:r>
      <w:r w:rsidR="00B542E2" w:rsidRPr="007D6777">
        <w:rPr>
          <w:b/>
          <w:iCs/>
          <w:smallCaps/>
          <w:snapToGrid w:val="0"/>
        </w:rPr>
        <w:t>total</w:t>
      </w:r>
    </w:p>
    <w:bookmarkEnd w:id="3"/>
    <w:p w14:paraId="5F43466D" w14:textId="00BB769E" w:rsidR="004D5C5B" w:rsidRDefault="00116AF0" w:rsidP="004D5C5B">
      <w:pPr>
        <w:pStyle w:val="n01"/>
        <w:keepLines w:val="0"/>
        <w:spacing w:before="360"/>
        <w:ind w:left="0" w:firstLine="0"/>
        <w:rPr>
          <w:rFonts w:ascii="Arial" w:hAnsi="Arial"/>
          <w:color w:val="auto"/>
        </w:rPr>
      </w:pPr>
      <w:r w:rsidRPr="00116AF0">
        <w:rPr>
          <w:rFonts w:ascii="Arial" w:hAnsi="Arial"/>
          <w:color w:val="auto"/>
        </w:rPr>
        <w:t>En octubre de 2022, el Índice Nacional de Precios Productor (INPP) total, incluyendo petróleo, disminuyó 0.18 % a tasa mensual y aumentó 7.20 % de un año a otro. En octubre de 2021 creció 1.22 % a tasa mensual y 8.39 %, a tasa anual</w:t>
      </w:r>
      <w:r w:rsidR="002E0F76" w:rsidRPr="00CC582D">
        <w:rPr>
          <w:rFonts w:ascii="Arial" w:hAnsi="Arial"/>
          <w:color w:val="auto"/>
        </w:rPr>
        <w:t>.</w:t>
      </w:r>
    </w:p>
    <w:p w14:paraId="32F1BCE8" w14:textId="77777777"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7EE8ED0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8DA93E4"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producción total, actividades primarias, secundarias y terciarias,</w:t>
      </w:r>
    </w:p>
    <w:p w14:paraId="04686407"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33D21DFC" w14:textId="780FB5E2" w:rsidR="004D5C5B" w:rsidRDefault="004D5C5B" w:rsidP="004D5C5B">
      <w:pPr>
        <w:widowControl w:val="0"/>
        <w:autoSpaceDE w:val="0"/>
        <w:autoSpaceDN w:val="0"/>
        <w:adjustRightInd w:val="0"/>
        <w:jc w:val="center"/>
        <w:rPr>
          <w:snapToGrid w:val="0"/>
          <w:color w:val="000000"/>
          <w:sz w:val="18"/>
          <w:szCs w:val="18"/>
        </w:rPr>
      </w:pPr>
      <w:r w:rsidRPr="0092783E">
        <w:rPr>
          <w:snapToGrid w:val="0"/>
          <w:color w:val="000000"/>
          <w:sz w:val="18"/>
          <w:szCs w:val="18"/>
        </w:rPr>
        <w:t>Variación porcentual anual</w:t>
      </w:r>
      <w:r>
        <w:rPr>
          <w:snapToGrid w:val="0"/>
          <w:color w:val="000000"/>
          <w:sz w:val="18"/>
          <w:szCs w:val="18"/>
        </w:rPr>
        <w:t xml:space="preserve"> durante </w:t>
      </w:r>
      <w:r w:rsidR="00116AF0">
        <w:rPr>
          <w:snapToGrid w:val="0"/>
          <w:color w:val="000000"/>
          <w:sz w:val="18"/>
          <w:szCs w:val="18"/>
        </w:rPr>
        <w:t>octub</w:t>
      </w:r>
      <w:r w:rsidR="00330793">
        <w:rPr>
          <w:snapToGrid w:val="0"/>
          <w:color w:val="000000"/>
          <w:sz w:val="18"/>
          <w:szCs w:val="18"/>
        </w:rPr>
        <w:t>re</w:t>
      </w:r>
      <w:r w:rsidR="002E0F76">
        <w:rPr>
          <w:snapToGrid w:val="0"/>
          <w:color w:val="000000"/>
          <w:sz w:val="18"/>
          <w:szCs w:val="18"/>
        </w:rPr>
        <w:t xml:space="preserve"> </w:t>
      </w:r>
      <w:r w:rsidRPr="0092783E">
        <w:rPr>
          <w:snapToGrid w:val="0"/>
          <w:color w:val="000000"/>
          <w:sz w:val="18"/>
          <w:szCs w:val="18"/>
        </w:rPr>
        <w:t>de los años que se indican</w:t>
      </w:r>
    </w:p>
    <w:p w14:paraId="1ED5244A" w14:textId="4CC851F6" w:rsidR="005D387F" w:rsidRPr="00B55CC5" w:rsidRDefault="00116AF0" w:rsidP="004D5C5B">
      <w:pPr>
        <w:widowControl w:val="0"/>
        <w:autoSpaceDE w:val="0"/>
        <w:autoSpaceDN w:val="0"/>
        <w:adjustRightInd w:val="0"/>
        <w:jc w:val="center"/>
        <w:rPr>
          <w:sz w:val="18"/>
        </w:rPr>
      </w:pPr>
      <w:r>
        <w:rPr>
          <w:noProof/>
        </w:rPr>
        <w:drawing>
          <wp:inline distT="0" distB="0" distL="0" distR="0" wp14:anchorId="3BFD18AB" wp14:editId="77A82AD7">
            <wp:extent cx="5050783" cy="2895276"/>
            <wp:effectExtent l="0" t="0" r="17145" b="1968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DDF941" w14:textId="77777777" w:rsidR="004445E5" w:rsidRPr="00EA1643" w:rsidRDefault="004445E5" w:rsidP="004445E5">
      <w:pPr>
        <w:ind w:left="851"/>
        <w:rPr>
          <w:snapToGrid w:val="0"/>
          <w:sz w:val="16"/>
          <w:szCs w:val="16"/>
          <w:u w:val="single"/>
        </w:rPr>
      </w:pPr>
      <w:r w:rsidRPr="004445E5">
        <w:rPr>
          <w:color w:val="000000"/>
          <w:sz w:val="16"/>
          <w:szCs w:val="14"/>
        </w:rPr>
        <w:t xml:space="preserve">Fuente: </w:t>
      </w:r>
      <w:r w:rsidRPr="00EA1643">
        <w:rPr>
          <w:color w:val="000000"/>
          <w:sz w:val="16"/>
          <w:szCs w:val="16"/>
        </w:rPr>
        <w:t>INEGI</w:t>
      </w:r>
    </w:p>
    <w:p w14:paraId="6BB032AA" w14:textId="0F43F10B" w:rsidR="00873E66" w:rsidRDefault="00747B66" w:rsidP="0068287A">
      <w:pPr>
        <w:spacing w:before="480"/>
        <w:rPr>
          <w:bCs/>
        </w:rPr>
      </w:pPr>
      <w:r w:rsidRPr="00CE357D">
        <w:rPr>
          <w:bCs/>
        </w:rPr>
        <w:t>Por grupos de actividad</w:t>
      </w:r>
      <w:r>
        <w:rPr>
          <w:bCs/>
        </w:rPr>
        <w:t xml:space="preserve">es económicas y a tasa mensual, </w:t>
      </w:r>
      <w:r w:rsidRPr="003E56F4">
        <w:rPr>
          <w:bCs/>
          <w:spacing w:val="6"/>
        </w:rPr>
        <w:t>los precios de las act</w:t>
      </w:r>
      <w:r>
        <w:rPr>
          <w:bCs/>
          <w:spacing w:val="6"/>
        </w:rPr>
        <w:t xml:space="preserve">ividades primarias </w:t>
      </w:r>
      <w:r w:rsidR="00116AF0">
        <w:rPr>
          <w:bCs/>
          <w:spacing w:val="6"/>
        </w:rPr>
        <w:t>descendieron 0.29 </w:t>
      </w:r>
      <w:r w:rsidR="00E23DB8">
        <w:rPr>
          <w:bCs/>
          <w:spacing w:val="6"/>
        </w:rPr>
        <w:t xml:space="preserve">%; </w:t>
      </w:r>
      <w:r w:rsidR="00116AF0">
        <w:rPr>
          <w:bCs/>
          <w:spacing w:val="6"/>
        </w:rPr>
        <w:t>los de secundarias, 0.36</w:t>
      </w:r>
      <w:r w:rsidR="00116AF0" w:rsidRPr="00EA5511">
        <w:rPr>
          <w:bCs/>
          <w:spacing w:val="6"/>
        </w:rPr>
        <w:t xml:space="preserve"> % y lo</w:t>
      </w:r>
      <w:r w:rsidR="00116AF0">
        <w:rPr>
          <w:bCs/>
          <w:spacing w:val="6"/>
        </w:rPr>
        <w:t>s de las actividades terciarias aumentaron 0.20</w:t>
      </w:r>
      <w:r w:rsidR="00116AF0" w:rsidRPr="00EA5511">
        <w:rPr>
          <w:bCs/>
          <w:spacing w:val="6"/>
        </w:rPr>
        <w:t xml:space="preserve"> por ciento</w:t>
      </w:r>
      <w:r w:rsidR="00C60619">
        <w:rPr>
          <w:bCs/>
          <w:spacing w:val="6"/>
        </w:rPr>
        <w:t>.</w:t>
      </w:r>
    </w:p>
    <w:p w14:paraId="61948DEE" w14:textId="77777777" w:rsidR="00873E66" w:rsidRDefault="00873E66">
      <w:pPr>
        <w:jc w:val="left"/>
        <w:rPr>
          <w:snapToGrid w:val="0"/>
          <w:sz w:val="20"/>
          <w:szCs w:val="20"/>
        </w:rPr>
      </w:pPr>
      <w:r>
        <w:rPr>
          <w:snapToGrid w:val="0"/>
          <w:sz w:val="20"/>
          <w:szCs w:val="20"/>
        </w:rPr>
        <w:br w:type="page"/>
      </w:r>
    </w:p>
    <w:p w14:paraId="1B15CC23" w14:textId="77777777"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2E452B0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2E90EDAF"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08FB1E41" w14:textId="77777777" w:rsidR="00E44C01" w:rsidRDefault="00E21E68" w:rsidP="00E44C01">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r w:rsidR="00D22C5A">
        <w:rPr>
          <w:b/>
          <w:smallCaps/>
          <w:snapToGrid w:val="0"/>
          <w:sz w:val="22"/>
          <w:szCs w:val="22"/>
        </w:rPr>
        <w:t xml:space="preserve"> </w:t>
      </w:r>
      <w:r w:rsidR="005C377E" w:rsidRPr="00E21E68">
        <w:rPr>
          <w:b/>
          <w:smallCaps/>
          <w:snapToGrid w:val="0"/>
          <w:sz w:val="22"/>
          <w:szCs w:val="22"/>
        </w:rPr>
        <w:t>clasificación por origen</w:t>
      </w:r>
    </w:p>
    <w:p w14:paraId="24C468A0" w14:textId="1A7F8C14" w:rsidR="004D5C5B" w:rsidRPr="00E21E68" w:rsidRDefault="00116AF0" w:rsidP="00E44C01">
      <w:pPr>
        <w:widowControl w:val="0"/>
        <w:autoSpaceDE w:val="0"/>
        <w:autoSpaceDN w:val="0"/>
        <w:adjustRightInd w:val="0"/>
        <w:jc w:val="center"/>
        <w:rPr>
          <w:b/>
          <w:smallCaps/>
          <w:snapToGrid w:val="0"/>
          <w:sz w:val="22"/>
          <w:szCs w:val="22"/>
        </w:rPr>
      </w:pPr>
      <w:r>
        <w:rPr>
          <w:b/>
          <w:smallCaps/>
          <w:snapToGrid w:val="0"/>
          <w:sz w:val="22"/>
          <w:szCs w:val="22"/>
        </w:rPr>
        <w:t>octu</w:t>
      </w:r>
      <w:r w:rsidR="005649A9">
        <w:rPr>
          <w:b/>
          <w:smallCaps/>
          <w:snapToGrid w:val="0"/>
          <w:sz w:val="22"/>
          <w:szCs w:val="22"/>
        </w:rPr>
        <w:t>bre</w:t>
      </w:r>
      <w:r w:rsidR="00E21E68" w:rsidRPr="00E21E68">
        <w:rPr>
          <w:b/>
          <w:smallCaps/>
          <w:snapToGrid w:val="0"/>
          <w:sz w:val="22"/>
          <w:szCs w:val="22"/>
        </w:rPr>
        <w:t xml:space="preserve"> de 2022</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45210A" w:rsidRPr="00841586" w14:paraId="10BA053B" w14:textId="77777777" w:rsidTr="00E23DB8">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48F206A" w14:textId="77777777" w:rsidR="0045210A" w:rsidRPr="00841586" w:rsidRDefault="0045210A" w:rsidP="00E23DB8">
            <w:pPr>
              <w:autoSpaceDE w:val="0"/>
              <w:autoSpaceDN w:val="0"/>
              <w:adjustRightInd w:val="0"/>
              <w:ind w:left="227"/>
              <w:rPr>
                <w:bCs/>
                <w:color w:val="000000"/>
                <w:sz w:val="16"/>
                <w:szCs w:val="14"/>
                <w:lang w:eastAsia="es-MX"/>
              </w:rPr>
            </w:pPr>
            <w:bookmarkStart w:id="4"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1DB699C" w14:textId="77777777" w:rsidR="0045210A" w:rsidRPr="00841586" w:rsidRDefault="0045210A" w:rsidP="00E23DB8">
            <w:pPr>
              <w:jc w:val="center"/>
              <w:rPr>
                <w:bCs/>
                <w:color w:val="000000"/>
                <w:sz w:val="16"/>
                <w:szCs w:val="14"/>
                <w:lang w:eastAsia="es-MX"/>
              </w:rPr>
            </w:pPr>
            <w:r w:rsidRPr="00841586">
              <w:rPr>
                <w:bCs/>
                <w:color w:val="000000"/>
                <w:sz w:val="16"/>
                <w:szCs w:val="14"/>
                <w:lang w:eastAsia="es-MX"/>
              </w:rPr>
              <w:t xml:space="preserve">Variación </w:t>
            </w:r>
            <w:r>
              <w:rPr>
                <w:bCs/>
                <w:color w:val="000000"/>
                <w:sz w:val="16"/>
                <w:szCs w:val="14"/>
                <w:lang w:eastAsia="es-MX"/>
              </w:rPr>
              <w:t xml:space="preserve">porcentual </w:t>
            </w:r>
            <w:r w:rsidRPr="00841586">
              <w:rPr>
                <w:bCs/>
                <w:color w:val="000000"/>
                <w:sz w:val="16"/>
                <w:szCs w:val="14"/>
                <w:lang w:eastAsia="es-MX"/>
              </w:rPr>
              <w:t>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96F5D1E" w14:textId="77777777" w:rsidR="0045210A" w:rsidRPr="00841586" w:rsidRDefault="0045210A" w:rsidP="00E23DB8">
            <w:pPr>
              <w:jc w:val="center"/>
              <w:rPr>
                <w:bCs/>
                <w:color w:val="000000"/>
                <w:sz w:val="16"/>
                <w:szCs w:val="14"/>
                <w:lang w:eastAsia="es-MX"/>
              </w:rPr>
            </w:pPr>
            <w:r w:rsidRPr="00841586">
              <w:rPr>
                <w:bCs/>
                <w:color w:val="000000"/>
                <w:sz w:val="16"/>
                <w:szCs w:val="14"/>
                <w:lang w:eastAsia="es-MX"/>
              </w:rPr>
              <w:t>Variación</w:t>
            </w:r>
            <w:r>
              <w:rPr>
                <w:bCs/>
                <w:color w:val="000000"/>
                <w:sz w:val="16"/>
                <w:szCs w:val="14"/>
                <w:lang w:eastAsia="es-MX"/>
              </w:rPr>
              <w:t xml:space="preserve"> porcentual</w:t>
            </w:r>
            <w:r w:rsidRPr="00841586">
              <w:rPr>
                <w:bCs/>
                <w:color w:val="000000"/>
                <w:sz w:val="16"/>
                <w:szCs w:val="14"/>
                <w:lang w:eastAsia="es-MX"/>
              </w:rPr>
              <w:t xml:space="preserve">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053FA66" w14:textId="77777777" w:rsidR="0045210A" w:rsidRPr="00841586" w:rsidRDefault="0045210A" w:rsidP="00E23DB8">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45210A" w:rsidRPr="00841586" w14:paraId="38C006D6" w14:textId="77777777" w:rsidTr="00E23DB8">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4B676AAB" w14:textId="77777777" w:rsidR="0045210A" w:rsidRPr="00841586" w:rsidRDefault="0045210A" w:rsidP="00E23DB8">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97411D7"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DD3846"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5C4C719"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916D29D"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B9AA447"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69D306E"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757B084"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A1BBFDF"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59CBB09" w14:textId="77777777" w:rsidR="0045210A" w:rsidRPr="00841586" w:rsidRDefault="0045210A" w:rsidP="00E23DB8">
            <w:pPr>
              <w:ind w:left="-57" w:right="-57"/>
              <w:jc w:val="center"/>
              <w:rPr>
                <w:bCs/>
                <w:color w:val="000000"/>
                <w:sz w:val="16"/>
                <w:szCs w:val="14"/>
                <w:lang w:eastAsia="es-MX"/>
              </w:rPr>
            </w:pPr>
            <w:r w:rsidRPr="00841586">
              <w:rPr>
                <w:bCs/>
                <w:color w:val="000000"/>
                <w:sz w:val="16"/>
                <w:szCs w:val="14"/>
                <w:lang w:eastAsia="es-MX"/>
              </w:rPr>
              <w:t>Total</w:t>
            </w:r>
          </w:p>
        </w:tc>
      </w:tr>
      <w:tr w:rsidR="0045210A" w:rsidRPr="00F53B02" w14:paraId="481375E9" w14:textId="77777777" w:rsidTr="00E23DB8">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39D30CEB" w14:textId="3C82E264" w:rsidR="0045210A" w:rsidRPr="00841586" w:rsidRDefault="0045210A" w:rsidP="0045210A">
            <w:pPr>
              <w:jc w:val="left"/>
              <w:rPr>
                <w:b/>
                <w:bCs/>
                <w:color w:val="000000"/>
                <w:sz w:val="14"/>
                <w:szCs w:val="14"/>
                <w:lang w:eastAsia="es-MX"/>
              </w:rPr>
            </w:pPr>
            <w:r w:rsidRPr="00841586">
              <w:rPr>
                <w:b/>
                <w:bCs/>
                <w:color w:val="000000"/>
                <w:sz w:val="14"/>
                <w:szCs w:val="14"/>
                <w:lang w:eastAsia="es-MX"/>
              </w:rPr>
              <w:t xml:space="preserve">Índice </w:t>
            </w:r>
            <w:r w:rsidR="00700D24">
              <w:rPr>
                <w:b/>
                <w:bCs/>
                <w:color w:val="000000"/>
                <w:sz w:val="14"/>
                <w:szCs w:val="14"/>
                <w:lang w:eastAsia="es-MX"/>
              </w:rPr>
              <w:t>g</w:t>
            </w:r>
            <w:r w:rsidR="00700D24" w:rsidRPr="00841586">
              <w:rPr>
                <w:b/>
                <w:bCs/>
                <w:color w:val="000000"/>
                <w:sz w:val="14"/>
                <w:szCs w:val="14"/>
                <w:lang w:eastAsia="es-MX"/>
              </w:rPr>
              <w:t>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0A370A7"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91</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925BC57"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0.1</w:t>
            </w:r>
            <w:r>
              <w:rPr>
                <w:b/>
                <w:bCs/>
                <w:color w:val="000000"/>
                <w:sz w:val="14"/>
                <w:szCs w:val="14"/>
              </w:rPr>
              <w:t>1</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7B7313E"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18</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9E8F6FB"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6</w:t>
            </w:r>
            <w:r w:rsidRPr="009A18E4">
              <w:rPr>
                <w:b/>
                <w:bCs/>
                <w:color w:val="000000"/>
                <w:sz w:val="14"/>
                <w:szCs w:val="14"/>
              </w:rPr>
              <w:t>.</w:t>
            </w:r>
            <w:r>
              <w:rPr>
                <w:b/>
                <w:bCs/>
                <w:color w:val="000000"/>
                <w:sz w:val="14"/>
                <w:szCs w:val="14"/>
              </w:rPr>
              <w:t>91</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957E4C2"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7</w:t>
            </w:r>
            <w:r w:rsidRPr="009A18E4">
              <w:rPr>
                <w:b/>
                <w:bCs/>
                <w:color w:val="000000"/>
                <w:sz w:val="14"/>
                <w:szCs w:val="14"/>
              </w:rPr>
              <w:t>.</w:t>
            </w:r>
            <w:r>
              <w:rPr>
                <w:b/>
                <w:bCs/>
                <w:color w:val="000000"/>
                <w:sz w:val="14"/>
                <w:szCs w:val="14"/>
              </w:rPr>
              <w:t>31</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BEFBDB2"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7</w:t>
            </w:r>
            <w:r w:rsidRPr="009A18E4">
              <w:rPr>
                <w:b/>
                <w:bCs/>
                <w:color w:val="000000"/>
                <w:sz w:val="14"/>
                <w:szCs w:val="14"/>
              </w:rPr>
              <w:t>.</w:t>
            </w:r>
            <w:r>
              <w:rPr>
                <w:b/>
                <w:bCs/>
                <w:color w:val="000000"/>
                <w:sz w:val="14"/>
                <w:szCs w:val="14"/>
              </w:rPr>
              <w:t>20</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574D199F"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908</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43DCDF4C"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0.1</w:t>
            </w:r>
            <w:r>
              <w:rPr>
                <w:b/>
                <w:bCs/>
                <w:color w:val="000000"/>
                <w:sz w:val="14"/>
                <w:szCs w:val="14"/>
              </w:rPr>
              <w:t>08</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0B6F4E17"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185</w:t>
            </w:r>
          </w:p>
        </w:tc>
      </w:tr>
      <w:tr w:rsidR="0045210A" w:rsidRPr="00841586" w14:paraId="74796038"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D9F5645" w14:textId="77777777" w:rsidR="0045210A" w:rsidRPr="00841586" w:rsidRDefault="0045210A" w:rsidP="0045210A">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BD5AC0"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w:t>
            </w:r>
            <w:r>
              <w:rPr>
                <w:b/>
                <w:bCs/>
                <w:color w:val="000000"/>
                <w:sz w:val="14"/>
                <w:szCs w:val="14"/>
              </w:rPr>
              <w:t>43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4F4EBD"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w:t>
            </w:r>
            <w:r>
              <w:rPr>
                <w:b/>
                <w:bCs/>
                <w:color w:val="000000"/>
                <w:sz w:val="14"/>
                <w:szCs w:val="14"/>
              </w:rPr>
              <w:t>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08CA472"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w:t>
            </w:r>
            <w:r>
              <w:rPr>
                <w:b/>
                <w:bCs/>
                <w:color w:val="000000"/>
                <w:sz w:val="14"/>
                <w:szCs w:val="14"/>
              </w:rPr>
              <w:t>29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8D5F96"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1</w:t>
            </w:r>
            <w:r>
              <w:rPr>
                <w:b/>
                <w:bCs/>
                <w:color w:val="000000"/>
                <w:sz w:val="14"/>
                <w:szCs w:val="14"/>
              </w:rPr>
              <w:t>4</w:t>
            </w:r>
            <w:r w:rsidRPr="009A18E4">
              <w:rPr>
                <w:b/>
                <w:bCs/>
                <w:color w:val="000000"/>
                <w:sz w:val="14"/>
                <w:szCs w:val="14"/>
              </w:rPr>
              <w:t>.</w:t>
            </w:r>
            <w:r>
              <w:rPr>
                <w:b/>
                <w:bCs/>
                <w:color w:val="000000"/>
                <w:sz w:val="14"/>
                <w:szCs w:val="14"/>
              </w:rPr>
              <w:t>03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098E3D9"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1</w:t>
            </w:r>
            <w:r>
              <w:rPr>
                <w:b/>
                <w:bCs/>
                <w:color w:val="000000"/>
                <w:sz w:val="14"/>
                <w:szCs w:val="14"/>
              </w:rPr>
              <w:t>4</w:t>
            </w:r>
            <w:r w:rsidRPr="009A18E4">
              <w:rPr>
                <w:b/>
                <w:bCs/>
                <w:color w:val="000000"/>
                <w:sz w:val="14"/>
                <w:szCs w:val="14"/>
              </w:rPr>
              <w:t>.</w:t>
            </w:r>
            <w:r>
              <w:rPr>
                <w:b/>
                <w:bCs/>
                <w:color w:val="000000"/>
                <w:sz w:val="14"/>
                <w:szCs w:val="14"/>
              </w:rPr>
              <w:t>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469B3F5"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1</w:t>
            </w:r>
            <w:r>
              <w:rPr>
                <w:b/>
                <w:bCs/>
                <w:color w:val="000000"/>
                <w:sz w:val="14"/>
                <w:szCs w:val="14"/>
              </w:rPr>
              <w:t>4</w:t>
            </w:r>
            <w:r w:rsidRPr="009A18E4">
              <w:rPr>
                <w:b/>
                <w:bCs/>
                <w:color w:val="000000"/>
                <w:sz w:val="14"/>
                <w:szCs w:val="14"/>
              </w:rPr>
              <w:t>.</w:t>
            </w:r>
            <w:r>
              <w:rPr>
                <w:b/>
                <w:bCs/>
                <w:color w:val="000000"/>
                <w:sz w:val="14"/>
                <w:szCs w:val="14"/>
              </w:rPr>
              <w:t>29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29735B"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0.0</w:t>
            </w:r>
            <w:r>
              <w:rPr>
                <w:b/>
                <w:bCs/>
                <w:color w:val="000000"/>
                <w:sz w:val="14"/>
                <w:szCs w:val="14"/>
              </w:rPr>
              <w:t>45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3B2A1E"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0.0</w:t>
            </w:r>
            <w:r>
              <w:rPr>
                <w:b/>
                <w:bCs/>
                <w:color w:val="000000"/>
                <w:sz w:val="14"/>
                <w:szCs w:val="14"/>
              </w:rPr>
              <w:t>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CBCCB8"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w:t>
            </w:r>
            <w:r w:rsidRPr="009A18E4">
              <w:rPr>
                <w:b/>
                <w:bCs/>
                <w:color w:val="000000"/>
                <w:sz w:val="14"/>
                <w:szCs w:val="14"/>
              </w:rPr>
              <w:t>0.0</w:t>
            </w:r>
            <w:r>
              <w:rPr>
                <w:b/>
                <w:bCs/>
                <w:color w:val="000000"/>
                <w:sz w:val="14"/>
                <w:szCs w:val="14"/>
              </w:rPr>
              <w:t>16</w:t>
            </w:r>
          </w:p>
        </w:tc>
      </w:tr>
      <w:tr w:rsidR="0045210A" w:rsidRPr="000556C8" w14:paraId="78331960"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F6D3914" w14:textId="77777777" w:rsidR="0045210A" w:rsidRPr="000556C8" w:rsidRDefault="0045210A" w:rsidP="0045210A">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33B478"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43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69F3156"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34B6F6"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29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55BEBF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4</w:t>
            </w:r>
            <w:r w:rsidRPr="009A18E4">
              <w:rPr>
                <w:bCs/>
                <w:color w:val="000000"/>
                <w:sz w:val="14"/>
                <w:szCs w:val="14"/>
              </w:rPr>
              <w:t>.</w:t>
            </w:r>
            <w:r>
              <w:rPr>
                <w:bCs/>
                <w:color w:val="000000"/>
                <w:sz w:val="14"/>
                <w:szCs w:val="14"/>
              </w:rPr>
              <w:t>03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278FC9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4</w:t>
            </w:r>
            <w:r w:rsidRPr="009A18E4">
              <w:rPr>
                <w:bCs/>
                <w:color w:val="000000"/>
                <w:sz w:val="14"/>
                <w:szCs w:val="14"/>
              </w:rPr>
              <w:t>.</w:t>
            </w:r>
            <w:r>
              <w:rPr>
                <w:bCs/>
                <w:color w:val="000000"/>
                <w:sz w:val="14"/>
                <w:szCs w:val="14"/>
              </w:rPr>
              <w:t>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7FD33F"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4</w:t>
            </w:r>
            <w:r w:rsidRPr="009A18E4">
              <w:rPr>
                <w:bCs/>
                <w:color w:val="000000"/>
                <w:sz w:val="14"/>
                <w:szCs w:val="14"/>
              </w:rPr>
              <w:t>.</w:t>
            </w:r>
            <w:r>
              <w:rPr>
                <w:bCs/>
                <w:color w:val="000000"/>
                <w:sz w:val="14"/>
                <w:szCs w:val="14"/>
              </w:rPr>
              <w:t>29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D80B47"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0.0</w:t>
            </w:r>
            <w:r>
              <w:rPr>
                <w:bCs/>
                <w:color w:val="000000"/>
                <w:sz w:val="14"/>
                <w:szCs w:val="14"/>
              </w:rPr>
              <w:t>45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357225"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0.0</w:t>
            </w:r>
            <w:r>
              <w:rPr>
                <w:bCs/>
                <w:color w:val="000000"/>
                <w:sz w:val="14"/>
                <w:szCs w:val="14"/>
              </w:rPr>
              <w:t>0</w:t>
            </w:r>
            <w:r w:rsidRPr="009A18E4">
              <w:rPr>
                <w:bCs/>
                <w:color w:val="000000"/>
                <w:sz w:val="14"/>
                <w:szCs w:val="14"/>
              </w:rPr>
              <w:t>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C68B6A2"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0.0</w:t>
            </w:r>
            <w:r>
              <w:rPr>
                <w:bCs/>
                <w:color w:val="000000"/>
                <w:sz w:val="14"/>
                <w:szCs w:val="14"/>
              </w:rPr>
              <w:t>16</w:t>
            </w:r>
          </w:p>
        </w:tc>
      </w:tr>
      <w:tr w:rsidR="0045210A" w:rsidRPr="00841586" w14:paraId="754D1D4D"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615E60" w14:textId="77777777" w:rsidR="0045210A" w:rsidRPr="00841586" w:rsidRDefault="0045210A" w:rsidP="0045210A">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16E754C"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-1.</w:t>
            </w:r>
            <w:r>
              <w:rPr>
                <w:b/>
                <w:bCs/>
                <w:color w:val="000000"/>
                <w:sz w:val="14"/>
                <w:szCs w:val="14"/>
              </w:rPr>
              <w:t>55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96B814"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220BE71"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D36D375"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6</w:t>
            </w:r>
            <w:r w:rsidRPr="009A18E4">
              <w:rPr>
                <w:b/>
                <w:bCs/>
                <w:color w:val="000000"/>
                <w:sz w:val="14"/>
                <w:szCs w:val="14"/>
              </w:rPr>
              <w:t>.</w:t>
            </w:r>
            <w:r>
              <w:rPr>
                <w:b/>
                <w:bCs/>
                <w:color w:val="000000"/>
                <w:sz w:val="14"/>
                <w:szCs w:val="14"/>
              </w:rPr>
              <w:t>68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5B2A9D"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7</w:t>
            </w:r>
            <w:r w:rsidRPr="009A18E4">
              <w:rPr>
                <w:b/>
                <w:bCs/>
                <w:color w:val="000000"/>
                <w:sz w:val="14"/>
                <w:szCs w:val="14"/>
              </w:rPr>
              <w:t>.</w:t>
            </w:r>
            <w:r>
              <w:rPr>
                <w:b/>
                <w:bCs/>
                <w:color w:val="000000"/>
                <w:sz w:val="14"/>
                <w:szCs w:val="14"/>
              </w:rPr>
              <w:t>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7E8D4C"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7</w:t>
            </w:r>
            <w:r w:rsidRPr="009A18E4">
              <w:rPr>
                <w:b/>
                <w:bCs/>
                <w:color w:val="000000"/>
                <w:sz w:val="14"/>
                <w:szCs w:val="14"/>
              </w:rPr>
              <w:t>.</w:t>
            </w:r>
            <w:r>
              <w:rPr>
                <w:b/>
                <w:bCs/>
                <w:color w:val="000000"/>
                <w:sz w:val="14"/>
                <w:szCs w:val="14"/>
              </w:rPr>
              <w:t>40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FF624C"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-0.9</w:t>
            </w:r>
            <w:r>
              <w:rPr>
                <w:b/>
                <w:bCs/>
                <w:color w:val="000000"/>
                <w:sz w:val="14"/>
                <w:szCs w:val="14"/>
              </w:rPr>
              <w:t>19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6AAE3E"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050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AB2F94"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229</w:t>
            </w:r>
          </w:p>
        </w:tc>
      </w:tr>
      <w:tr w:rsidR="0045210A" w:rsidRPr="00841586" w14:paraId="7A2E259A"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A69F954"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8EC3C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r>
              <w:rPr>
                <w:bCs/>
                <w:color w:val="000000"/>
                <w:sz w:val="14"/>
                <w:szCs w:val="14"/>
              </w:rPr>
              <w:t>4</w:t>
            </w:r>
            <w:r w:rsidRPr="009A18E4">
              <w:rPr>
                <w:bCs/>
                <w:color w:val="000000"/>
                <w:sz w:val="14"/>
                <w:szCs w:val="14"/>
              </w:rPr>
              <w:t>.5</w:t>
            </w:r>
            <w:r>
              <w:rPr>
                <w:bCs/>
                <w:color w:val="000000"/>
                <w:sz w:val="14"/>
                <w:szCs w:val="14"/>
              </w:rPr>
              <w:t>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F9DFA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r>
              <w:rPr>
                <w:bCs/>
                <w:color w:val="000000"/>
                <w:sz w:val="14"/>
                <w:szCs w:val="14"/>
              </w:rPr>
              <w:t>1</w:t>
            </w:r>
            <w:r w:rsidRPr="009A18E4">
              <w:rPr>
                <w:bCs/>
                <w:color w:val="000000"/>
                <w:sz w:val="14"/>
                <w:szCs w:val="14"/>
              </w:rPr>
              <w:t>.1</w:t>
            </w:r>
            <w:r>
              <w:rPr>
                <w:bCs/>
                <w:color w:val="000000"/>
                <w:sz w:val="14"/>
                <w:szCs w:val="14"/>
              </w:rPr>
              <w:t>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06814E"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r>
              <w:rPr>
                <w:bCs/>
                <w:color w:val="000000"/>
                <w:sz w:val="14"/>
                <w:szCs w:val="14"/>
              </w:rPr>
              <w:t>2</w:t>
            </w:r>
            <w:r w:rsidRPr="009A18E4">
              <w:rPr>
                <w:bCs/>
                <w:color w:val="000000"/>
                <w:sz w:val="14"/>
                <w:szCs w:val="14"/>
              </w:rPr>
              <w:t>.</w:t>
            </w:r>
            <w:r>
              <w:rPr>
                <w:bCs/>
                <w:color w:val="000000"/>
                <w:sz w:val="14"/>
                <w:szCs w:val="14"/>
              </w:rPr>
              <w:t>97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9B738A"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0</w:t>
            </w:r>
            <w:r w:rsidRPr="009A18E4">
              <w:rPr>
                <w:bCs/>
                <w:color w:val="000000"/>
                <w:sz w:val="14"/>
                <w:szCs w:val="14"/>
              </w:rPr>
              <w:t>.2</w:t>
            </w:r>
            <w:r>
              <w:rPr>
                <w:bCs/>
                <w:color w:val="000000"/>
                <w:sz w:val="14"/>
                <w:szCs w:val="14"/>
              </w:rPr>
              <w:t>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8AC45AD"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4</w:t>
            </w:r>
            <w:r w:rsidRPr="009A18E4">
              <w:rPr>
                <w:bCs/>
                <w:color w:val="000000"/>
                <w:sz w:val="14"/>
                <w:szCs w:val="14"/>
              </w:rPr>
              <w:t>.</w:t>
            </w:r>
            <w:r>
              <w:rPr>
                <w:bCs/>
                <w:color w:val="000000"/>
                <w:sz w:val="14"/>
                <w:szCs w:val="14"/>
              </w:rPr>
              <w:t>42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FA082B"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2</w:t>
            </w:r>
            <w:r w:rsidRPr="009A18E4">
              <w:rPr>
                <w:bCs/>
                <w:color w:val="000000"/>
                <w:sz w:val="14"/>
                <w:szCs w:val="14"/>
              </w:rPr>
              <w:t>.1</w:t>
            </w:r>
            <w:r>
              <w:rPr>
                <w:bCs/>
                <w:color w:val="000000"/>
                <w:sz w:val="14"/>
                <w:szCs w:val="14"/>
              </w:rPr>
              <w:t>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18191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457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87350F"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042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0B790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161</w:t>
            </w:r>
          </w:p>
        </w:tc>
      </w:tr>
      <w:tr w:rsidR="0045210A" w:rsidRPr="00841586" w14:paraId="5077ACD2"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7658A04"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6CAC1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0.1</w:t>
            </w:r>
            <w:r>
              <w:rPr>
                <w:bCs/>
                <w:color w:val="000000"/>
                <w:sz w:val="14"/>
                <w:szCs w:val="14"/>
              </w:rPr>
              <w:t>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120899"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13</w:t>
            </w:r>
            <w:r w:rsidRPr="009A18E4">
              <w:rPr>
                <w:bCs/>
                <w:color w:val="000000"/>
                <w:sz w:val="14"/>
                <w:szCs w:val="14"/>
              </w:rPr>
              <w:t>.</w:t>
            </w:r>
            <w:r>
              <w:rPr>
                <w:bCs/>
                <w:color w:val="000000"/>
                <w:sz w:val="14"/>
                <w:szCs w:val="14"/>
              </w:rPr>
              <w:t>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7E0E2AC"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2</w:t>
            </w:r>
            <w:r w:rsidRPr="009A18E4">
              <w:rPr>
                <w:bCs/>
                <w:color w:val="000000"/>
                <w:sz w:val="14"/>
                <w:szCs w:val="14"/>
              </w:rPr>
              <w:t>.</w:t>
            </w:r>
            <w:r>
              <w:rPr>
                <w:bCs/>
                <w:color w:val="000000"/>
                <w:sz w:val="14"/>
                <w:szCs w:val="14"/>
              </w:rPr>
              <w:t>15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964BB8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5.</w:t>
            </w:r>
            <w:r>
              <w:rPr>
                <w:bCs/>
                <w:color w:val="000000"/>
                <w:sz w:val="14"/>
                <w:szCs w:val="14"/>
              </w:rPr>
              <w:t>38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7AD1C1"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9</w:t>
            </w:r>
            <w:r w:rsidRPr="009A18E4">
              <w:rPr>
                <w:bCs/>
                <w:color w:val="000000"/>
                <w:sz w:val="14"/>
                <w:szCs w:val="14"/>
              </w:rPr>
              <w:t>.</w:t>
            </w:r>
            <w:r>
              <w:rPr>
                <w:bCs/>
                <w:color w:val="000000"/>
                <w:sz w:val="14"/>
                <w:szCs w:val="14"/>
              </w:rPr>
              <w:t>77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CDBD4B"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6</w:t>
            </w:r>
            <w:r w:rsidRPr="009A18E4">
              <w:rPr>
                <w:bCs/>
                <w:color w:val="000000"/>
                <w:sz w:val="14"/>
                <w:szCs w:val="14"/>
              </w:rPr>
              <w:t>.</w:t>
            </w:r>
            <w:r>
              <w:rPr>
                <w:bCs/>
                <w:color w:val="000000"/>
                <w:sz w:val="14"/>
                <w:szCs w:val="14"/>
              </w:rPr>
              <w:t>09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E3BA7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0.01</w:t>
            </w:r>
            <w:r>
              <w:rPr>
                <w:bCs/>
                <w:color w:val="000000"/>
                <w:sz w:val="14"/>
                <w:szCs w:val="14"/>
              </w:rPr>
              <w:t>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75475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60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3F965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46</w:t>
            </w:r>
          </w:p>
        </w:tc>
      </w:tr>
      <w:tr w:rsidR="0045210A" w:rsidRPr="00D23FC5" w14:paraId="49C12BA9"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A2DE1FD"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43576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B7C5ECF"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4E102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66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CD8F2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FA1BB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1</w:t>
            </w:r>
            <w:r w:rsidRPr="009A18E4">
              <w:rPr>
                <w:bCs/>
                <w:color w:val="000000"/>
                <w:sz w:val="14"/>
                <w:szCs w:val="14"/>
              </w:rPr>
              <w:t>.</w:t>
            </w:r>
            <w:r>
              <w:rPr>
                <w:bCs/>
                <w:color w:val="000000"/>
                <w:sz w:val="14"/>
                <w:szCs w:val="14"/>
              </w:rPr>
              <w:t>14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05428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1</w:t>
            </w:r>
            <w:r w:rsidRPr="009A18E4">
              <w:rPr>
                <w:bCs/>
                <w:color w:val="000000"/>
                <w:sz w:val="14"/>
                <w:szCs w:val="14"/>
              </w:rPr>
              <w:t>.</w:t>
            </w:r>
            <w:r>
              <w:rPr>
                <w:bCs/>
                <w:color w:val="000000"/>
                <w:sz w:val="14"/>
                <w:szCs w:val="14"/>
              </w:rPr>
              <w:t>14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D6C84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2CD45D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FC6BD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63</w:t>
            </w:r>
          </w:p>
        </w:tc>
      </w:tr>
      <w:tr w:rsidR="0045210A" w:rsidRPr="00841586" w14:paraId="42519CD8"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2B4D11B"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C6C31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r>
              <w:rPr>
                <w:bCs/>
                <w:color w:val="000000"/>
                <w:sz w:val="14"/>
                <w:szCs w:val="14"/>
              </w:rPr>
              <w:t>1</w:t>
            </w:r>
            <w:r w:rsidRPr="009A18E4">
              <w:rPr>
                <w:bCs/>
                <w:color w:val="000000"/>
                <w:sz w:val="14"/>
                <w:szCs w:val="14"/>
              </w:rPr>
              <w:t>.</w:t>
            </w:r>
            <w:r>
              <w:rPr>
                <w:bCs/>
                <w:color w:val="000000"/>
                <w:sz w:val="14"/>
                <w:szCs w:val="14"/>
              </w:rPr>
              <w:t>10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D3616E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1875F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71DEAB"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8</w:t>
            </w:r>
            <w:r w:rsidRPr="009A18E4">
              <w:rPr>
                <w:bCs/>
                <w:color w:val="000000"/>
                <w:sz w:val="14"/>
                <w:szCs w:val="14"/>
              </w:rPr>
              <w:t>.</w:t>
            </w:r>
            <w:r>
              <w:rPr>
                <w:bCs/>
                <w:color w:val="000000"/>
                <w:sz w:val="14"/>
                <w:szCs w:val="14"/>
              </w:rPr>
              <w:t>47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3781578"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6</w:t>
            </w:r>
            <w:r w:rsidRPr="009A18E4">
              <w:rPr>
                <w:bCs/>
                <w:color w:val="000000"/>
                <w:sz w:val="14"/>
                <w:szCs w:val="14"/>
              </w:rPr>
              <w:t>.</w:t>
            </w:r>
            <w:r>
              <w:rPr>
                <w:bCs/>
                <w:color w:val="000000"/>
                <w:sz w:val="14"/>
                <w:szCs w:val="14"/>
              </w:rPr>
              <w:t>94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DC8426"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7</w:t>
            </w:r>
            <w:r w:rsidRPr="009A18E4">
              <w:rPr>
                <w:bCs/>
                <w:color w:val="000000"/>
                <w:sz w:val="14"/>
                <w:szCs w:val="14"/>
              </w:rPr>
              <w:t>.</w:t>
            </w:r>
            <w:r>
              <w:rPr>
                <w:bCs/>
                <w:color w:val="000000"/>
                <w:sz w:val="14"/>
                <w:szCs w:val="14"/>
              </w:rPr>
              <w:t>34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C65A5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473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2842F0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0C98E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051</w:t>
            </w:r>
          </w:p>
        </w:tc>
      </w:tr>
      <w:tr w:rsidR="0045210A" w:rsidRPr="00841586" w14:paraId="11074FA5"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FFAF1A5" w14:textId="77777777" w:rsidR="0045210A" w:rsidRPr="00841586" w:rsidRDefault="0045210A" w:rsidP="0045210A">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152559"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18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46C270"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9E2D3D"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20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3A3C07"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5.</w:t>
            </w:r>
            <w:r>
              <w:rPr>
                <w:b/>
                <w:bCs/>
                <w:color w:val="000000"/>
                <w:sz w:val="14"/>
                <w:szCs w:val="14"/>
              </w:rPr>
              <w:t>07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1D9B3B" w14:textId="77777777" w:rsidR="0045210A" w:rsidRPr="008A0229" w:rsidRDefault="0045210A" w:rsidP="00E23DB8">
            <w:pPr>
              <w:widowControl w:val="0"/>
              <w:ind w:right="113"/>
              <w:contextualSpacing/>
              <w:jc w:val="right"/>
              <w:rPr>
                <w:b/>
                <w:bCs/>
                <w:color w:val="000000"/>
                <w:sz w:val="14"/>
                <w:szCs w:val="14"/>
              </w:rPr>
            </w:pPr>
            <w:r>
              <w:rPr>
                <w:b/>
                <w:bCs/>
                <w:color w:val="000000"/>
                <w:sz w:val="14"/>
                <w:szCs w:val="14"/>
              </w:rPr>
              <w:t>5</w:t>
            </w:r>
            <w:r w:rsidRPr="009A18E4">
              <w:rPr>
                <w:b/>
                <w:bCs/>
                <w:color w:val="000000"/>
                <w:sz w:val="14"/>
                <w:szCs w:val="14"/>
              </w:rPr>
              <w:t>.</w:t>
            </w:r>
            <w:r>
              <w:rPr>
                <w:b/>
                <w:bCs/>
                <w:color w:val="000000"/>
                <w:sz w:val="14"/>
                <w:szCs w:val="14"/>
              </w:rPr>
              <w:t>82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D8F33C"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5.</w:t>
            </w:r>
            <w:r>
              <w:rPr>
                <w:b/>
                <w:bCs/>
                <w:color w:val="000000"/>
                <w:sz w:val="14"/>
                <w:szCs w:val="14"/>
              </w:rPr>
              <w:t>61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BF8259A"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0.0</w:t>
            </w:r>
            <w:r>
              <w:rPr>
                <w:b/>
                <w:bCs/>
                <w:color w:val="000000"/>
                <w:sz w:val="14"/>
                <w:szCs w:val="14"/>
              </w:rPr>
              <w:t>55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C778DC"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063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7469AF" w14:textId="77777777" w:rsidR="0045210A" w:rsidRPr="008A0229" w:rsidRDefault="0045210A" w:rsidP="00E23DB8">
            <w:pPr>
              <w:widowControl w:val="0"/>
              <w:ind w:right="113"/>
              <w:contextualSpacing/>
              <w:jc w:val="right"/>
              <w:rPr>
                <w:b/>
                <w:bCs/>
                <w:color w:val="000000"/>
                <w:sz w:val="14"/>
                <w:szCs w:val="14"/>
              </w:rPr>
            </w:pPr>
            <w:r w:rsidRPr="009A18E4">
              <w:rPr>
                <w:b/>
                <w:bCs/>
                <w:color w:val="000000"/>
                <w:sz w:val="14"/>
                <w:szCs w:val="14"/>
              </w:rPr>
              <w:t>0.</w:t>
            </w:r>
            <w:r>
              <w:rPr>
                <w:b/>
                <w:bCs/>
                <w:color w:val="000000"/>
                <w:sz w:val="14"/>
                <w:szCs w:val="14"/>
              </w:rPr>
              <w:t>061</w:t>
            </w:r>
          </w:p>
        </w:tc>
      </w:tr>
      <w:tr w:rsidR="0045210A" w:rsidRPr="00841586" w14:paraId="75313105"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0872416"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80543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2B4487"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F0CFA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C5A0C22"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7</w:t>
            </w:r>
            <w:r w:rsidRPr="009A18E4">
              <w:rPr>
                <w:bCs/>
                <w:color w:val="000000"/>
                <w:sz w:val="14"/>
                <w:szCs w:val="14"/>
              </w:rPr>
              <w:t>.</w:t>
            </w:r>
            <w:r>
              <w:rPr>
                <w:bCs/>
                <w:color w:val="000000"/>
                <w:sz w:val="14"/>
                <w:szCs w:val="14"/>
              </w:rPr>
              <w:t>64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905A7C"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7</w:t>
            </w:r>
            <w:r w:rsidRPr="009A18E4">
              <w:rPr>
                <w:bCs/>
                <w:color w:val="000000"/>
                <w:sz w:val="14"/>
                <w:szCs w:val="14"/>
              </w:rPr>
              <w:t>.</w:t>
            </w:r>
            <w:r>
              <w:rPr>
                <w:bCs/>
                <w:color w:val="000000"/>
                <w:sz w:val="14"/>
                <w:szCs w:val="14"/>
              </w:rPr>
              <w:t>53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DEBEA44"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7</w:t>
            </w:r>
            <w:r w:rsidRPr="009A18E4">
              <w:rPr>
                <w:bCs/>
                <w:color w:val="000000"/>
                <w:sz w:val="14"/>
                <w:szCs w:val="14"/>
              </w:rPr>
              <w:t>.</w:t>
            </w:r>
            <w:r>
              <w:rPr>
                <w:bCs/>
                <w:color w:val="000000"/>
                <w:sz w:val="14"/>
                <w:szCs w:val="14"/>
              </w:rPr>
              <w:t>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86F46B"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04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5B6BD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15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43D437"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12</w:t>
            </w:r>
          </w:p>
        </w:tc>
      </w:tr>
      <w:tr w:rsidR="0045210A" w:rsidRPr="00841586" w14:paraId="02E09AC3"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B329482"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E783DA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-0.8</w:t>
            </w:r>
            <w:r>
              <w:rPr>
                <w:bCs/>
                <w:color w:val="000000"/>
                <w:sz w:val="14"/>
                <w:szCs w:val="14"/>
              </w:rPr>
              <w:t>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E133D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B8D82B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05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DD4DC6"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33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FD78EC"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-1</w:t>
            </w:r>
            <w:r w:rsidRPr="009A18E4">
              <w:rPr>
                <w:bCs/>
                <w:color w:val="000000"/>
                <w:sz w:val="14"/>
                <w:szCs w:val="14"/>
              </w:rPr>
              <w:t>.</w:t>
            </w:r>
            <w:r>
              <w:rPr>
                <w:bCs/>
                <w:color w:val="000000"/>
                <w:sz w:val="14"/>
                <w:szCs w:val="14"/>
              </w:rPr>
              <w:t>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14E753"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77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1FB431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492DA1"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0.01</w:t>
            </w:r>
            <w:r>
              <w:rPr>
                <w:bCs/>
                <w:color w:val="000000"/>
                <w:sz w:val="14"/>
                <w:szCs w:val="14"/>
              </w:rPr>
              <w:t>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56871C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-0.01</w:t>
            </w:r>
            <w:r>
              <w:rPr>
                <w:bCs/>
                <w:color w:val="000000"/>
                <w:sz w:val="14"/>
                <w:szCs w:val="14"/>
              </w:rPr>
              <w:t>8</w:t>
            </w:r>
          </w:p>
        </w:tc>
      </w:tr>
      <w:tr w:rsidR="0045210A" w:rsidRPr="00841586" w14:paraId="1862049A"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D9DCD4E"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9DA187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45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E9194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0.2</w:t>
            </w:r>
            <w:r>
              <w:rPr>
                <w:bCs/>
                <w:color w:val="000000"/>
                <w:sz w:val="14"/>
                <w:szCs w:val="14"/>
              </w:rPr>
              <w:t>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F7C357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25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1B698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w:t>
            </w:r>
            <w:r>
              <w:rPr>
                <w:bCs/>
                <w:color w:val="000000"/>
                <w:sz w:val="14"/>
                <w:szCs w:val="14"/>
              </w:rPr>
              <w:t>30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AB1C7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3.1</w:t>
            </w:r>
            <w:r>
              <w:rPr>
                <w:bCs/>
                <w:color w:val="000000"/>
                <w:sz w:val="14"/>
                <w:szCs w:val="14"/>
              </w:rPr>
              <w:t>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70716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3.3</w:t>
            </w:r>
            <w:r>
              <w:rPr>
                <w:bCs/>
                <w:color w:val="000000"/>
                <w:sz w:val="14"/>
                <w:szCs w:val="14"/>
              </w:rPr>
              <w:t>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BA4FC9"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0.01</w:t>
            </w:r>
            <w:r>
              <w:rPr>
                <w:bCs/>
                <w:color w:val="000000"/>
                <w:sz w:val="14"/>
                <w:szCs w:val="14"/>
              </w:rPr>
              <w:t>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A9398A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0.01</w:t>
            </w:r>
            <w:r>
              <w:rPr>
                <w:bCs/>
                <w:color w:val="000000"/>
                <w:sz w:val="14"/>
                <w:szCs w:val="14"/>
              </w:rPr>
              <w:t>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5509B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0.01</w:t>
            </w:r>
            <w:r>
              <w:rPr>
                <w:bCs/>
                <w:color w:val="000000"/>
                <w:sz w:val="14"/>
                <w:szCs w:val="14"/>
              </w:rPr>
              <w:t>5</w:t>
            </w:r>
          </w:p>
        </w:tc>
      </w:tr>
      <w:tr w:rsidR="0045210A" w:rsidRPr="00841586" w14:paraId="7C344BD3"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35742FE"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B1C2D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1</w:t>
            </w:r>
            <w:r w:rsidRPr="009A18E4">
              <w:rPr>
                <w:bCs/>
                <w:color w:val="000000"/>
                <w:sz w:val="14"/>
                <w:szCs w:val="14"/>
              </w:rPr>
              <w:t>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8CB7A1"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1</w:t>
            </w:r>
            <w:r w:rsidRPr="009A18E4">
              <w:rPr>
                <w:bCs/>
                <w:color w:val="000000"/>
                <w:sz w:val="14"/>
                <w:szCs w:val="14"/>
              </w:rPr>
              <w:t>.</w:t>
            </w:r>
            <w:r>
              <w:rPr>
                <w:bCs/>
                <w:color w:val="000000"/>
                <w:sz w:val="14"/>
                <w:szCs w:val="14"/>
              </w:rPr>
              <w:t>36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46D693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693E2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w:t>
            </w:r>
            <w:r>
              <w:rPr>
                <w:bCs/>
                <w:color w:val="000000"/>
                <w:sz w:val="14"/>
                <w:szCs w:val="14"/>
              </w:rPr>
              <w:t>24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481AD8A"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7</w:t>
            </w:r>
            <w:r w:rsidRPr="009A18E4">
              <w:rPr>
                <w:bCs/>
                <w:color w:val="000000"/>
                <w:sz w:val="14"/>
                <w:szCs w:val="14"/>
              </w:rPr>
              <w:t>.</w:t>
            </w:r>
            <w:r>
              <w:rPr>
                <w:bCs/>
                <w:color w:val="000000"/>
                <w:sz w:val="14"/>
                <w:szCs w:val="14"/>
              </w:rPr>
              <w:t>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DEB656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4.9</w:t>
            </w:r>
            <w:r>
              <w:rPr>
                <w:bCs/>
                <w:color w:val="000000"/>
                <w:sz w:val="14"/>
                <w:szCs w:val="14"/>
              </w:rPr>
              <w:t>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9D9A8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3CECEC"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5A246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09</w:t>
            </w:r>
          </w:p>
        </w:tc>
      </w:tr>
      <w:tr w:rsidR="0045210A" w:rsidRPr="00841586" w14:paraId="749B5521"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D4DE2F2"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008638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0.3</w:t>
            </w:r>
            <w:r>
              <w:rPr>
                <w:bCs/>
                <w:color w:val="000000"/>
                <w:sz w:val="14"/>
                <w:szCs w:val="14"/>
              </w:rPr>
              <w:t>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DE6D55"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1</w:t>
            </w:r>
            <w:r w:rsidRPr="009A18E4">
              <w:rPr>
                <w:bCs/>
                <w:color w:val="000000"/>
                <w:sz w:val="14"/>
                <w:szCs w:val="14"/>
              </w:rPr>
              <w:t>.</w:t>
            </w:r>
            <w:r>
              <w:rPr>
                <w:bCs/>
                <w:color w:val="000000"/>
                <w:sz w:val="14"/>
                <w:szCs w:val="14"/>
              </w:rPr>
              <w:t>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15406E"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35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6557AAE"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w:t>
            </w:r>
            <w:r>
              <w:rPr>
                <w:bCs/>
                <w:color w:val="000000"/>
                <w:sz w:val="14"/>
                <w:szCs w:val="14"/>
              </w:rPr>
              <w:t>61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5019F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0</w:t>
            </w:r>
            <w:r w:rsidRPr="009A18E4">
              <w:rPr>
                <w:bCs/>
                <w:color w:val="000000"/>
                <w:sz w:val="14"/>
                <w:szCs w:val="14"/>
              </w:rPr>
              <w:t>.</w:t>
            </w:r>
            <w:r>
              <w:rPr>
                <w:bCs/>
                <w:color w:val="000000"/>
                <w:sz w:val="14"/>
                <w:szCs w:val="14"/>
              </w:rPr>
              <w:t>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400C76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w:t>
            </w:r>
            <w:r>
              <w:rPr>
                <w:bCs/>
                <w:color w:val="000000"/>
                <w:sz w:val="14"/>
                <w:szCs w:val="14"/>
              </w:rPr>
              <w:t>90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EEE73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0.02</w:t>
            </w:r>
            <w:r>
              <w:rPr>
                <w:bCs/>
                <w:color w:val="000000"/>
                <w:sz w:val="14"/>
                <w:szCs w:val="14"/>
              </w:rPr>
              <w:t>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288AA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5B5367"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9</w:t>
            </w:r>
          </w:p>
        </w:tc>
      </w:tr>
      <w:tr w:rsidR="0045210A" w:rsidRPr="00841586" w14:paraId="56822681"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61DD478"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16CAE4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66937E"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-0</w:t>
            </w:r>
            <w:r w:rsidRPr="009A18E4">
              <w:rPr>
                <w:bCs/>
                <w:color w:val="000000"/>
                <w:sz w:val="14"/>
                <w:szCs w:val="14"/>
              </w:rPr>
              <w:t>.</w:t>
            </w:r>
            <w:r>
              <w:rPr>
                <w:bCs/>
                <w:color w:val="000000"/>
                <w:sz w:val="14"/>
                <w:szCs w:val="14"/>
              </w:rPr>
              <w:t>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734F701"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-0</w:t>
            </w:r>
            <w:r w:rsidRPr="009A18E4">
              <w:rPr>
                <w:bCs/>
                <w:color w:val="000000"/>
                <w:sz w:val="14"/>
                <w:szCs w:val="14"/>
              </w:rPr>
              <w:t>.</w:t>
            </w:r>
            <w:r>
              <w:rPr>
                <w:bCs/>
                <w:color w:val="000000"/>
                <w:sz w:val="14"/>
                <w:szCs w:val="14"/>
              </w:rPr>
              <w:t>01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5F4BDF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28F23E"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4.6</w:t>
            </w:r>
            <w:r>
              <w:rPr>
                <w:bCs/>
                <w:color w:val="000000"/>
                <w:sz w:val="14"/>
                <w:szCs w:val="14"/>
              </w:rPr>
              <w:t>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E206DE"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4.6</w:t>
            </w:r>
            <w:r>
              <w:rPr>
                <w:bCs/>
                <w:color w:val="000000"/>
                <w:sz w:val="14"/>
                <w:szCs w:val="14"/>
              </w:rPr>
              <w:t>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2E646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CE1FFA"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w:t>
            </w:r>
            <w:r w:rsidRPr="009A18E4">
              <w:rPr>
                <w:bCs/>
                <w:color w:val="000000"/>
                <w:sz w:val="14"/>
                <w:szCs w:val="14"/>
              </w:rPr>
              <w:t>0.</w:t>
            </w:r>
            <w:r>
              <w:rPr>
                <w:bCs/>
                <w:color w:val="000000"/>
                <w:sz w:val="14"/>
                <w:szCs w:val="14"/>
              </w:rPr>
              <w:t>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AD96E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00</w:t>
            </w:r>
          </w:p>
        </w:tc>
      </w:tr>
      <w:tr w:rsidR="0045210A" w:rsidRPr="00841586" w14:paraId="5ACE233B"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0C0ADD"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099E9F"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170789"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0.1</w:t>
            </w:r>
            <w:r>
              <w:rPr>
                <w:bCs/>
                <w:color w:val="000000"/>
                <w:sz w:val="14"/>
                <w:szCs w:val="14"/>
              </w:rPr>
              <w:t>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D89017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0.1</w:t>
            </w:r>
            <w:r>
              <w:rPr>
                <w:bCs/>
                <w:color w:val="000000"/>
                <w:sz w:val="14"/>
                <w:szCs w:val="14"/>
              </w:rPr>
              <w:t>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C090A6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E07CF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5.20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26D30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5.20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7A1ECB"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FBF92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92623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4</w:t>
            </w:r>
          </w:p>
        </w:tc>
      </w:tr>
      <w:tr w:rsidR="0045210A" w:rsidRPr="00841586" w14:paraId="50CF04EC"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12A6D12"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3A70ED3"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F092D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A3E01F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DD717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569FE5"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5</w:t>
            </w:r>
            <w:r w:rsidRPr="009A18E4">
              <w:rPr>
                <w:bCs/>
                <w:color w:val="000000"/>
                <w:sz w:val="14"/>
                <w:szCs w:val="14"/>
              </w:rPr>
              <w:t>.</w:t>
            </w:r>
            <w:r>
              <w:rPr>
                <w:bCs/>
                <w:color w:val="000000"/>
                <w:sz w:val="14"/>
                <w:szCs w:val="14"/>
              </w:rPr>
              <w:t>43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4100D7"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5</w:t>
            </w:r>
            <w:r w:rsidRPr="009A18E4">
              <w:rPr>
                <w:bCs/>
                <w:color w:val="000000"/>
                <w:sz w:val="14"/>
                <w:szCs w:val="14"/>
              </w:rPr>
              <w:t>.</w:t>
            </w:r>
            <w:r>
              <w:rPr>
                <w:bCs/>
                <w:color w:val="000000"/>
                <w:sz w:val="14"/>
                <w:szCs w:val="14"/>
              </w:rPr>
              <w:t>43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C9FA1F"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8D2BB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0D2C4A7"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0</w:t>
            </w:r>
          </w:p>
        </w:tc>
      </w:tr>
      <w:tr w:rsidR="0045210A" w:rsidRPr="00841586" w14:paraId="234AA80A" w14:textId="77777777" w:rsidTr="00E23DB8">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0FCABCD"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5797AF"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1</w:t>
            </w:r>
            <w:r w:rsidRPr="009A18E4">
              <w:rPr>
                <w:bCs/>
                <w:color w:val="000000"/>
                <w:sz w:val="14"/>
                <w:szCs w:val="14"/>
              </w:rPr>
              <w:t>.</w:t>
            </w:r>
            <w:r>
              <w:rPr>
                <w:bCs/>
                <w:color w:val="000000"/>
                <w:sz w:val="14"/>
                <w:szCs w:val="14"/>
              </w:rPr>
              <w:t>04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6307F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93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355E1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94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670CD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w:t>
            </w:r>
            <w:r>
              <w:rPr>
                <w:bCs/>
                <w:color w:val="000000"/>
                <w:sz w:val="14"/>
                <w:szCs w:val="14"/>
              </w:rPr>
              <w:t>1</w:t>
            </w:r>
            <w:r w:rsidRPr="009A18E4">
              <w:rPr>
                <w:bCs/>
                <w:color w:val="000000"/>
                <w:sz w:val="14"/>
                <w:szCs w:val="14"/>
              </w:rPr>
              <w:t>.</w:t>
            </w:r>
            <w:r>
              <w:rPr>
                <w:bCs/>
                <w:color w:val="000000"/>
                <w:sz w:val="14"/>
                <w:szCs w:val="14"/>
              </w:rPr>
              <w:t>88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6388D1"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12.</w:t>
            </w:r>
            <w:r>
              <w:rPr>
                <w:bCs/>
                <w:color w:val="000000"/>
                <w:sz w:val="14"/>
                <w:szCs w:val="14"/>
              </w:rPr>
              <w:t>31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847A1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12.</w:t>
            </w:r>
            <w:r>
              <w:rPr>
                <w:bCs/>
                <w:color w:val="000000"/>
                <w:sz w:val="14"/>
                <w:szCs w:val="14"/>
              </w:rPr>
              <w:t>26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4BA43D"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12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9E86558"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0.02</w:t>
            </w:r>
            <w:r>
              <w:rPr>
                <w:bCs/>
                <w:color w:val="000000"/>
                <w:sz w:val="14"/>
                <w:szCs w:val="14"/>
              </w:rPr>
              <w:t>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84A8C0"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24</w:t>
            </w:r>
          </w:p>
        </w:tc>
      </w:tr>
      <w:tr w:rsidR="0045210A" w:rsidRPr="00841586" w14:paraId="5B379878" w14:textId="77777777" w:rsidTr="00E23DB8">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021D5CC1"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B7C18C7"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66</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2CF5AC5"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0.3</w:t>
            </w:r>
            <w:r>
              <w:rPr>
                <w:bCs/>
                <w:color w:val="000000"/>
                <w:sz w:val="14"/>
                <w:szCs w:val="14"/>
              </w:rPr>
              <w:t>2</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7DA0532"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w:t>
            </w:r>
            <w:r>
              <w:rPr>
                <w:bCs/>
                <w:color w:val="000000"/>
                <w:sz w:val="14"/>
                <w:szCs w:val="14"/>
              </w:rPr>
              <w:t>43</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2060988" w14:textId="77777777" w:rsidR="0045210A" w:rsidRPr="009A18E4" w:rsidRDefault="0045210A" w:rsidP="00E23DB8">
            <w:pPr>
              <w:widowControl w:val="0"/>
              <w:ind w:right="113"/>
              <w:contextualSpacing/>
              <w:jc w:val="right"/>
              <w:rPr>
                <w:bCs/>
                <w:color w:val="000000"/>
                <w:sz w:val="14"/>
                <w:szCs w:val="14"/>
              </w:rPr>
            </w:pPr>
            <w:r>
              <w:rPr>
                <w:bCs/>
                <w:color w:val="000000"/>
                <w:sz w:val="14"/>
                <w:szCs w:val="14"/>
              </w:rPr>
              <w:t>6</w:t>
            </w:r>
            <w:r w:rsidRPr="009A18E4">
              <w:rPr>
                <w:bCs/>
                <w:color w:val="000000"/>
                <w:sz w:val="14"/>
                <w:szCs w:val="14"/>
              </w:rPr>
              <w:t>.</w:t>
            </w:r>
            <w:r>
              <w:rPr>
                <w:bCs/>
                <w:color w:val="000000"/>
                <w:sz w:val="14"/>
                <w:szCs w:val="14"/>
              </w:rPr>
              <w:t>29</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CA8935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6.6</w:t>
            </w:r>
            <w:r>
              <w:rPr>
                <w:bCs/>
                <w:color w:val="000000"/>
                <w:sz w:val="14"/>
                <w:szCs w:val="14"/>
              </w:rPr>
              <w:t>8</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A29C194"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6.</w:t>
            </w:r>
            <w:r>
              <w:rPr>
                <w:bCs/>
                <w:color w:val="000000"/>
                <w:sz w:val="14"/>
                <w:szCs w:val="14"/>
              </w:rPr>
              <w:t>56</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2EF43B76"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w:t>
            </w:r>
            <w:r>
              <w:rPr>
                <w:bCs/>
                <w:color w:val="000000"/>
                <w:sz w:val="14"/>
                <w:szCs w:val="14"/>
              </w:rPr>
              <w:t>10</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6A99D889"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4</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2B14E23A" w14:textId="77777777" w:rsidR="0045210A" w:rsidRPr="009A18E4" w:rsidRDefault="0045210A" w:rsidP="00E23DB8">
            <w:pPr>
              <w:widowControl w:val="0"/>
              <w:ind w:right="113"/>
              <w:contextualSpacing/>
              <w:jc w:val="right"/>
              <w:rPr>
                <w:bCs/>
                <w:color w:val="000000"/>
                <w:sz w:val="14"/>
                <w:szCs w:val="14"/>
              </w:rPr>
            </w:pPr>
            <w:r w:rsidRPr="009A18E4">
              <w:rPr>
                <w:bCs/>
                <w:color w:val="000000"/>
                <w:sz w:val="14"/>
                <w:szCs w:val="14"/>
              </w:rPr>
              <w:t>0.00</w:t>
            </w:r>
            <w:r>
              <w:rPr>
                <w:bCs/>
                <w:color w:val="000000"/>
                <w:sz w:val="14"/>
                <w:szCs w:val="14"/>
              </w:rPr>
              <w:t>6</w:t>
            </w:r>
          </w:p>
        </w:tc>
      </w:tr>
    </w:tbl>
    <w:bookmarkEnd w:id="4"/>
    <w:p w14:paraId="2F228876" w14:textId="77777777"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 xml:space="preserve">La incidencia se refiere a la contribución en puntos porcentuales de cada componente del </w:t>
      </w:r>
      <w:r w:rsidR="005C377E">
        <w:rPr>
          <w:sz w:val="14"/>
          <w:szCs w:val="14"/>
        </w:rPr>
        <w:t>Índice Nacional de Precios Productor (I</w:t>
      </w:r>
      <w:r w:rsidR="00225EEB" w:rsidRPr="00395990">
        <w:rPr>
          <w:sz w:val="14"/>
          <w:szCs w:val="14"/>
        </w:rPr>
        <w:t>NPP</w:t>
      </w:r>
      <w:r w:rsidR="005C377E">
        <w:rPr>
          <w:sz w:val="14"/>
          <w:szCs w:val="14"/>
        </w:rPr>
        <w:t>)</w:t>
      </w:r>
      <w:r w:rsidR="00225EEB" w:rsidRPr="00395990">
        <w:rPr>
          <w:sz w:val="14"/>
          <w:szCs w:val="14"/>
        </w:rPr>
        <w:t xml:space="preserve"> en la variación porcentual del índice general. </w:t>
      </w:r>
      <w:r w:rsidR="005E5C6E">
        <w:rPr>
          <w:sz w:val="14"/>
          <w:szCs w:val="14"/>
        </w:rPr>
        <w:t>E</w:t>
      </w:r>
      <w:r w:rsidR="00225EEB" w:rsidRPr="00395990">
        <w:rPr>
          <w:sz w:val="14"/>
          <w:szCs w:val="14"/>
        </w:rPr>
        <w:t>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AD9DD39" w14:textId="77777777" w:rsidR="00EB5FF4"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w:t>
      </w:r>
      <w:r w:rsidR="00AD49E5">
        <w:rPr>
          <w:sz w:val="14"/>
          <w:szCs w:val="14"/>
        </w:rPr>
        <w:t>, pues no</w:t>
      </w:r>
      <w:r w:rsidR="00EB5FF4" w:rsidRPr="00395990">
        <w:rPr>
          <w:sz w:val="14"/>
          <w:szCs w:val="14"/>
        </w:rPr>
        <w:t xml:space="preserve"> generan bienes de uso intermedio</w:t>
      </w:r>
      <w:r w:rsidR="00EB5FF4" w:rsidRPr="003F5E65">
        <w:rPr>
          <w:sz w:val="14"/>
          <w:szCs w:val="14"/>
        </w:rPr>
        <w:t>.</w:t>
      </w:r>
    </w:p>
    <w:p w14:paraId="7308C30C" w14:textId="77777777" w:rsidR="004445E5" w:rsidRPr="00FD7309" w:rsidRDefault="004445E5" w:rsidP="004445E5">
      <w:pPr>
        <w:autoSpaceDE w:val="0"/>
        <w:autoSpaceDN w:val="0"/>
        <w:adjustRightInd w:val="0"/>
        <w:ind w:left="397" w:right="113" w:hanging="170"/>
        <w:rPr>
          <w:snapToGrid w:val="0"/>
          <w:sz w:val="14"/>
          <w:szCs w:val="14"/>
        </w:rPr>
      </w:pPr>
      <w:r w:rsidRPr="004445E5">
        <w:rPr>
          <w:color w:val="000000"/>
          <w:sz w:val="14"/>
          <w:szCs w:val="14"/>
        </w:rPr>
        <w:t xml:space="preserve">Fuente: </w:t>
      </w:r>
      <w:r w:rsidRPr="001B7953">
        <w:rPr>
          <w:color w:val="000000"/>
          <w:sz w:val="14"/>
          <w:szCs w:val="14"/>
        </w:rPr>
        <w:t>INEGI</w:t>
      </w:r>
      <w:r w:rsidRPr="00EA1643">
        <w:rPr>
          <w:b/>
          <w:snapToGrid w:val="0"/>
          <w:sz w:val="14"/>
          <w:szCs w:val="14"/>
          <w:u w:val="single"/>
        </w:rPr>
        <w:t xml:space="preserve"> </w:t>
      </w:r>
    </w:p>
    <w:p w14:paraId="322FA06A" w14:textId="47E21900" w:rsidR="00DF5B76" w:rsidRDefault="00116AF0" w:rsidP="000E318F">
      <w:pPr>
        <w:keepNext/>
        <w:autoSpaceDE w:val="0"/>
        <w:autoSpaceDN w:val="0"/>
        <w:adjustRightInd w:val="0"/>
        <w:spacing w:before="480"/>
      </w:pPr>
      <w:r w:rsidRPr="00116AF0">
        <w:t xml:space="preserve">En octubre de 2022 y por origen de los bienes, los precios de Mercancías y servicios de uso intermedio, incluyendo petróleo, disminuyeron 0.91 % a tasa mensual y aumentaron 6.91 % anual. Por su parte, los precios de Mercancías y servicios finales </w:t>
      </w:r>
      <w:r w:rsidR="00352650">
        <w:t xml:space="preserve">crecieron </w:t>
      </w:r>
      <w:r w:rsidRPr="00116AF0">
        <w:t>0.11 %</w:t>
      </w:r>
      <w:r w:rsidR="00352650">
        <w:t xml:space="preserve"> a tasa</w:t>
      </w:r>
      <w:r w:rsidRPr="00116AF0">
        <w:t xml:space="preserve"> mensual y 7.31 % a tasa anual</w:t>
      </w:r>
      <w:r w:rsidR="00BC37B6" w:rsidRPr="00BC37B6">
        <w:t>.</w:t>
      </w:r>
    </w:p>
    <w:p w14:paraId="6829E27D" w14:textId="77777777" w:rsidR="00C963A9" w:rsidRDefault="00C963A9">
      <w:pPr>
        <w:jc w:val="left"/>
        <w:rPr>
          <w:snapToGrid w:val="0"/>
          <w:sz w:val="20"/>
          <w:szCs w:val="20"/>
        </w:rPr>
      </w:pPr>
      <w:bookmarkStart w:id="5" w:name="OLE_LINK1"/>
      <w:r>
        <w:rPr>
          <w:snapToGrid w:val="0"/>
          <w:sz w:val="20"/>
          <w:szCs w:val="20"/>
        </w:rPr>
        <w:br w:type="page"/>
      </w:r>
    </w:p>
    <w:p w14:paraId="29E2C967" w14:textId="77777777"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7C552EC9"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AF0C1F7" w14:textId="77777777"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314DFEC4" w14:textId="77777777"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18337D8C" w14:textId="77777777"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 xml:space="preserve">clasificación por origen </w:t>
      </w:r>
    </w:p>
    <w:p w14:paraId="0A641D42"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3DC325B3" w14:textId="253750A0" w:rsidR="004D5C5B" w:rsidRDefault="00116AF0" w:rsidP="00EB5FF4">
      <w:pPr>
        <w:widowControl w:val="0"/>
        <w:autoSpaceDE w:val="0"/>
        <w:autoSpaceDN w:val="0"/>
        <w:adjustRightInd w:val="0"/>
        <w:jc w:val="center"/>
      </w:pPr>
      <w:r w:rsidRPr="008C14BD">
        <w:rPr>
          <w:noProof/>
          <w:color w:val="002060"/>
        </w:rPr>
        <w:drawing>
          <wp:inline distT="0" distB="0" distL="0" distR="0" wp14:anchorId="561CD234" wp14:editId="6A5F330E">
            <wp:extent cx="5047189" cy="2895276"/>
            <wp:effectExtent l="0" t="0" r="20320"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8A0AC4" w14:textId="77777777" w:rsidR="004445E5" w:rsidRPr="00EA1643" w:rsidRDefault="004445E5" w:rsidP="004445E5">
      <w:pPr>
        <w:ind w:left="851"/>
        <w:rPr>
          <w:snapToGrid w:val="0"/>
          <w:sz w:val="14"/>
          <w:szCs w:val="14"/>
          <w:u w:val="single"/>
        </w:rPr>
      </w:pPr>
      <w:r w:rsidRPr="004445E5">
        <w:rPr>
          <w:color w:val="000000"/>
          <w:sz w:val="16"/>
          <w:szCs w:val="14"/>
        </w:rPr>
        <w:t xml:space="preserve">Fuente: </w:t>
      </w:r>
      <w:r w:rsidRPr="001B7953">
        <w:rPr>
          <w:color w:val="000000"/>
          <w:sz w:val="16"/>
          <w:szCs w:val="14"/>
        </w:rPr>
        <w:t>INEGI</w:t>
      </w:r>
      <w:r w:rsidRPr="00EA1643">
        <w:rPr>
          <w:snapToGrid w:val="0"/>
          <w:sz w:val="14"/>
          <w:szCs w:val="14"/>
          <w:u w:val="single"/>
        </w:rPr>
        <w:t xml:space="preserve"> </w:t>
      </w:r>
    </w:p>
    <w:p w14:paraId="04CBA04D" w14:textId="77777777" w:rsidR="004D5C5B" w:rsidRPr="006024AB" w:rsidRDefault="004D5C5B" w:rsidP="004D5C5B">
      <w:pPr>
        <w:pStyle w:val="n01"/>
        <w:keepLines w:val="0"/>
        <w:spacing w:before="60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p</w:t>
      </w:r>
      <w:r w:rsidRPr="006024AB">
        <w:rPr>
          <w:rFonts w:ascii="Arial" w:hAnsi="Arial"/>
          <w:b/>
          <w:snapToGrid w:val="0"/>
          <w:color w:val="000000"/>
        </w:rPr>
        <w:t>rimarias</w:t>
      </w:r>
    </w:p>
    <w:p w14:paraId="12D16C11" w14:textId="76C4C0F9" w:rsidR="00BA3A5D" w:rsidRDefault="00116AF0" w:rsidP="00BA3A5D">
      <w:pPr>
        <w:pStyle w:val="n01"/>
        <w:keepLines w:val="0"/>
        <w:ind w:left="0" w:firstLine="0"/>
        <w:rPr>
          <w:rFonts w:ascii="Arial" w:hAnsi="Arial"/>
          <w:color w:val="auto"/>
        </w:rPr>
      </w:pPr>
      <w:r w:rsidRPr="00116AF0">
        <w:rPr>
          <w:rFonts w:ascii="Arial" w:hAnsi="Arial"/>
          <w:color w:val="auto"/>
        </w:rPr>
        <w:t xml:space="preserve">En octubre de 2022, los precios de las actividades primarias disminuyeron 0.29 % a tasa mensual. El producto genérico con la contribución más significativa en el índice total de dichas actividades fue el aguacate, con una </w:t>
      </w:r>
      <w:r w:rsidR="00700D24">
        <w:rPr>
          <w:rFonts w:ascii="Arial" w:hAnsi="Arial"/>
          <w:color w:val="auto"/>
        </w:rPr>
        <w:t>variación</w:t>
      </w:r>
      <w:r w:rsidR="00700D24" w:rsidRPr="00116AF0">
        <w:rPr>
          <w:rFonts w:ascii="Arial" w:hAnsi="Arial"/>
          <w:color w:val="auto"/>
        </w:rPr>
        <w:t xml:space="preserve"> </w:t>
      </w:r>
      <w:r w:rsidRPr="00116AF0">
        <w:rPr>
          <w:rFonts w:ascii="Arial" w:hAnsi="Arial"/>
          <w:color w:val="auto"/>
        </w:rPr>
        <w:t xml:space="preserve">mensual </w:t>
      </w:r>
      <w:r w:rsidR="00700D24">
        <w:rPr>
          <w:rFonts w:ascii="Arial" w:hAnsi="Arial"/>
          <w:color w:val="auto"/>
        </w:rPr>
        <w:t xml:space="preserve">negativa </w:t>
      </w:r>
      <w:r w:rsidRPr="00116AF0">
        <w:rPr>
          <w:rFonts w:ascii="Arial" w:hAnsi="Arial"/>
          <w:color w:val="auto"/>
        </w:rPr>
        <w:t>de 14.81</w:t>
      </w:r>
      <w:r w:rsidR="00700D24">
        <w:rPr>
          <w:rFonts w:ascii="Arial" w:hAnsi="Arial"/>
          <w:color w:val="auto"/>
        </w:rPr>
        <w:t> </w:t>
      </w:r>
      <w:r w:rsidRPr="00116AF0">
        <w:rPr>
          <w:rFonts w:ascii="Arial" w:hAnsi="Arial"/>
          <w:color w:val="auto"/>
        </w:rPr>
        <w:t>por</w:t>
      </w:r>
      <w:r w:rsidR="00700D24">
        <w:rPr>
          <w:rFonts w:ascii="Arial" w:hAnsi="Arial"/>
          <w:color w:val="auto"/>
        </w:rPr>
        <w:t> </w:t>
      </w:r>
      <w:r w:rsidRPr="00116AF0">
        <w:rPr>
          <w:rFonts w:ascii="Arial" w:hAnsi="Arial"/>
          <w:color w:val="auto"/>
        </w:rPr>
        <w:t>ciento</w:t>
      </w:r>
      <w:r w:rsidR="00BA3A5D" w:rsidRPr="00BA3A5D">
        <w:rPr>
          <w:rFonts w:ascii="Arial" w:hAnsi="Arial"/>
          <w:color w:val="auto"/>
        </w:rPr>
        <w:t>.</w:t>
      </w:r>
    </w:p>
    <w:p w14:paraId="072B743A" w14:textId="77777777" w:rsidR="004D5C5B" w:rsidRPr="006024AB" w:rsidRDefault="004D5C5B" w:rsidP="00BA3A5D">
      <w:pPr>
        <w:pStyle w:val="n01"/>
        <w:keepLines w:val="0"/>
        <w:spacing w:before="60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s</w:t>
      </w:r>
      <w:r w:rsidRPr="006024AB">
        <w:rPr>
          <w:rFonts w:ascii="Arial" w:hAnsi="Arial"/>
          <w:b/>
          <w:snapToGrid w:val="0"/>
          <w:color w:val="000000"/>
        </w:rPr>
        <w:t>ecundarias</w:t>
      </w:r>
    </w:p>
    <w:p w14:paraId="2916982C" w14:textId="4BCD743A" w:rsidR="009953A9" w:rsidRDefault="00116AF0" w:rsidP="004D5C5B">
      <w:pPr>
        <w:pStyle w:val="n01"/>
        <w:keepLines w:val="0"/>
        <w:ind w:left="0" w:firstLine="0"/>
        <w:rPr>
          <w:rFonts w:ascii="Arial" w:hAnsi="Arial"/>
          <w:color w:val="auto"/>
        </w:rPr>
      </w:pPr>
      <w:r w:rsidRPr="00116AF0">
        <w:rPr>
          <w:rFonts w:ascii="Arial" w:hAnsi="Arial"/>
          <w:color w:val="auto"/>
        </w:rPr>
        <w:t xml:space="preserve">En el décimo mes de 2022, los precios de las actividades secundarias, incluyendo petróleo, descendieron 0.36 % a tasa mensual. </w:t>
      </w:r>
      <w:r w:rsidR="004166F6">
        <w:rPr>
          <w:rFonts w:ascii="Arial" w:hAnsi="Arial"/>
          <w:color w:val="auto"/>
        </w:rPr>
        <w:t xml:space="preserve">Lo anterior fue resultado </w:t>
      </w:r>
      <w:r w:rsidR="00B3605B">
        <w:rPr>
          <w:rFonts w:ascii="Arial" w:hAnsi="Arial"/>
          <w:color w:val="auto"/>
        </w:rPr>
        <w:t>de</w:t>
      </w:r>
      <w:r w:rsidRPr="00116AF0">
        <w:rPr>
          <w:rFonts w:ascii="Arial" w:hAnsi="Arial"/>
          <w:color w:val="auto"/>
        </w:rPr>
        <w:t xml:space="preserve"> la </w:t>
      </w:r>
      <w:r>
        <w:rPr>
          <w:rFonts w:ascii="Arial" w:hAnsi="Arial"/>
          <w:color w:val="auto"/>
        </w:rPr>
        <w:t>c</w:t>
      </w:r>
      <w:r w:rsidRPr="00116AF0">
        <w:rPr>
          <w:rFonts w:ascii="Arial" w:hAnsi="Arial"/>
          <w:color w:val="auto"/>
        </w:rPr>
        <w:t>a</w:t>
      </w:r>
      <w:r>
        <w:rPr>
          <w:rFonts w:ascii="Arial" w:hAnsi="Arial"/>
          <w:color w:val="auto"/>
        </w:rPr>
        <w:t>ída</w:t>
      </w:r>
      <w:r w:rsidRPr="00116AF0">
        <w:rPr>
          <w:rFonts w:ascii="Arial" w:hAnsi="Arial"/>
          <w:color w:val="auto"/>
        </w:rPr>
        <w:t xml:space="preserve"> en los precios de Minería, de 2.97 %; </w:t>
      </w:r>
      <w:r w:rsidR="004166F6">
        <w:rPr>
          <w:rFonts w:ascii="Arial" w:hAnsi="Arial"/>
          <w:color w:val="auto"/>
        </w:rPr>
        <w:t>de</w:t>
      </w:r>
      <w:r w:rsidRPr="00116AF0">
        <w:rPr>
          <w:rFonts w:ascii="Arial" w:hAnsi="Arial"/>
          <w:color w:val="auto"/>
        </w:rPr>
        <w:t xml:space="preserve"> Construcción, 0.66 %</w:t>
      </w:r>
      <w:r w:rsidR="004166F6">
        <w:rPr>
          <w:rFonts w:ascii="Arial" w:hAnsi="Arial"/>
          <w:color w:val="auto"/>
        </w:rPr>
        <w:t>; de</w:t>
      </w:r>
      <w:r w:rsidRPr="00116AF0">
        <w:rPr>
          <w:rFonts w:ascii="Arial" w:hAnsi="Arial"/>
          <w:color w:val="auto"/>
        </w:rPr>
        <w:t xml:space="preserve"> Industrias manufactureras, 0.11 % y </w:t>
      </w:r>
      <w:r w:rsidR="004166F6">
        <w:rPr>
          <w:rFonts w:ascii="Arial" w:hAnsi="Arial"/>
          <w:color w:val="auto"/>
        </w:rPr>
        <w:t>del</w:t>
      </w:r>
      <w:r w:rsidRPr="00116AF0">
        <w:rPr>
          <w:rFonts w:ascii="Arial" w:hAnsi="Arial"/>
          <w:color w:val="auto"/>
        </w:rPr>
        <w:t xml:space="preserve"> incremento en Generación, transmisión y distribución de energía eléctrica, suministro de agua y de gas por ductos al consumidor final, de 2.15 por ciento</w:t>
      </w:r>
      <w:r w:rsidR="0093305C">
        <w:rPr>
          <w:rFonts w:ascii="Arial" w:hAnsi="Arial"/>
          <w:color w:val="auto"/>
        </w:rPr>
        <w:t>.</w:t>
      </w:r>
    </w:p>
    <w:p w14:paraId="62D88991" w14:textId="77777777" w:rsidR="009953A9" w:rsidRDefault="009953A9">
      <w:pPr>
        <w:jc w:val="left"/>
      </w:pPr>
      <w:r>
        <w:br w:type="page"/>
      </w:r>
    </w:p>
    <w:p w14:paraId="28225D00" w14:textId="77777777" w:rsidR="004D5C5B" w:rsidRPr="006024AB" w:rsidRDefault="004D5C5B" w:rsidP="00C81928">
      <w:pPr>
        <w:pStyle w:val="n01"/>
        <w:keepNext/>
        <w:keepLines w:val="0"/>
        <w:spacing w:before="360"/>
        <w:ind w:left="1134" w:firstLine="0"/>
        <w:rPr>
          <w:rFonts w:ascii="Arial" w:hAnsi="Arial"/>
          <w:b/>
          <w:snapToGrid w:val="0"/>
          <w:color w:val="000000"/>
        </w:rPr>
      </w:pPr>
      <w:r w:rsidRPr="006024AB">
        <w:rPr>
          <w:rFonts w:ascii="Arial" w:hAnsi="Arial"/>
          <w:b/>
          <w:snapToGrid w:val="0"/>
          <w:color w:val="000000"/>
        </w:rPr>
        <w:lastRenderedPageBreak/>
        <w:t xml:space="preserve">Industrias </w:t>
      </w:r>
      <w:r w:rsidR="00A83F5E" w:rsidRPr="006024AB">
        <w:rPr>
          <w:rFonts w:ascii="Arial" w:hAnsi="Arial"/>
          <w:b/>
          <w:snapToGrid w:val="0"/>
          <w:color w:val="000000"/>
        </w:rPr>
        <w:t>m</w:t>
      </w:r>
      <w:r w:rsidRPr="006024AB">
        <w:rPr>
          <w:rFonts w:ascii="Arial" w:hAnsi="Arial"/>
          <w:b/>
          <w:snapToGrid w:val="0"/>
          <w:color w:val="000000"/>
        </w:rPr>
        <w:t>anufactureras</w:t>
      </w:r>
    </w:p>
    <w:bookmarkEnd w:id="5"/>
    <w:p w14:paraId="49569893" w14:textId="23F0AE50" w:rsidR="00BD06D7" w:rsidRPr="00D76189" w:rsidRDefault="00116AF0" w:rsidP="00BD06D7">
      <w:pPr>
        <w:pStyle w:val="n01"/>
        <w:keepLines w:val="0"/>
        <w:spacing w:before="360"/>
        <w:ind w:left="0" w:firstLine="0"/>
        <w:rPr>
          <w:rFonts w:ascii="Arial" w:hAnsi="Arial"/>
          <w:snapToGrid w:val="0"/>
          <w:color w:val="auto"/>
        </w:rPr>
      </w:pPr>
      <w:r w:rsidRPr="00116AF0">
        <w:rPr>
          <w:rFonts w:ascii="Arial" w:hAnsi="Arial"/>
          <w:snapToGrid w:val="0"/>
          <w:color w:val="auto"/>
        </w:rPr>
        <w:t>Los precios de Industrias manufactureras cayeron 0.11 % a tasa mensual e incrementaron 7.34 % a tasa anual. Los subsectores que destacaron por el decremento mensual en sus precios fueron: Industrias metálicas básicas, 2.75 %; Fabricación de productos derivados del petróleo y del carbón, 1.94 % e Industria química, 1.65 por ciento</w:t>
      </w:r>
      <w:r w:rsidR="00BD06D7" w:rsidRPr="00D76189">
        <w:rPr>
          <w:rFonts w:ascii="Arial" w:hAnsi="Arial"/>
          <w:snapToGrid w:val="0"/>
          <w:color w:val="auto"/>
        </w:rPr>
        <w:t>.</w:t>
      </w:r>
    </w:p>
    <w:p w14:paraId="1A28157F" w14:textId="77777777"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0ECD77A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e Precios Productor</w:t>
      </w:r>
      <w:r w:rsidR="00B105DF">
        <w:rPr>
          <w:b/>
          <w:smallCaps/>
          <w:snapToGrid w:val="0"/>
          <w:sz w:val="22"/>
          <w:szCs w:val="22"/>
        </w:rPr>
        <w:t>,</w:t>
      </w:r>
      <w:r w:rsidRPr="00E21E68">
        <w:rPr>
          <w:b/>
          <w:smallCaps/>
          <w:snapToGrid w:val="0"/>
          <w:sz w:val="22"/>
          <w:szCs w:val="22"/>
        </w:rPr>
        <w:t xml:space="preserve"> </w:t>
      </w:r>
    </w:p>
    <w:p w14:paraId="7B747604" w14:textId="77777777"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r w:rsidR="002F199A">
        <w:rPr>
          <w:b/>
          <w:smallCaps/>
          <w:snapToGrid w:val="0"/>
          <w:sz w:val="22"/>
          <w:szCs w:val="22"/>
        </w:rPr>
        <w:t xml:space="preserve"> industrias manufactureras</w:t>
      </w:r>
    </w:p>
    <w:p w14:paraId="3DE07FAC" w14:textId="62672FEB" w:rsidR="004D5C5B" w:rsidRPr="00E21E68" w:rsidRDefault="00116AF0" w:rsidP="004D5C5B">
      <w:pPr>
        <w:widowControl w:val="0"/>
        <w:autoSpaceDE w:val="0"/>
        <w:autoSpaceDN w:val="0"/>
        <w:adjustRightInd w:val="0"/>
        <w:jc w:val="center"/>
        <w:rPr>
          <w:b/>
          <w:smallCaps/>
          <w:snapToGrid w:val="0"/>
          <w:sz w:val="22"/>
          <w:szCs w:val="22"/>
        </w:rPr>
      </w:pPr>
      <w:r>
        <w:rPr>
          <w:b/>
          <w:smallCaps/>
          <w:snapToGrid w:val="0"/>
          <w:sz w:val="22"/>
          <w:szCs w:val="22"/>
        </w:rPr>
        <w:t>octu</w:t>
      </w:r>
      <w:r w:rsidR="0067021C">
        <w:rPr>
          <w:b/>
          <w:smallCaps/>
          <w:snapToGrid w:val="0"/>
          <w:sz w:val="22"/>
          <w:szCs w:val="22"/>
        </w:rPr>
        <w:t>bre</w:t>
      </w:r>
      <w:r w:rsidR="002F199A">
        <w:rPr>
          <w:b/>
          <w:smallCaps/>
          <w:snapToGrid w:val="0"/>
          <w:sz w:val="22"/>
          <w:szCs w:val="22"/>
        </w:rPr>
        <w:t xml:space="preserve"> de 2022</w:t>
      </w:r>
    </w:p>
    <w:p w14:paraId="688ECC03"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45210A" w:rsidRPr="00A9663B" w14:paraId="0306A9BB" w14:textId="77777777" w:rsidTr="00E23DB8">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F4A17A8" w14:textId="77777777" w:rsidR="0045210A" w:rsidRPr="00A9663B" w:rsidRDefault="0045210A" w:rsidP="00E23DB8">
            <w:pPr>
              <w:autoSpaceDE w:val="0"/>
              <w:autoSpaceDN w:val="0"/>
              <w:adjustRightInd w:val="0"/>
              <w:ind w:left="227"/>
              <w:rPr>
                <w:bCs/>
                <w:color w:val="000000"/>
                <w:kern w:val="16"/>
                <w:sz w:val="16"/>
                <w:szCs w:val="16"/>
                <w:lang w:eastAsia="es-MX"/>
              </w:rPr>
            </w:pPr>
            <w:bookmarkStart w:id="6"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87A5C8C" w14:textId="77777777" w:rsidR="0045210A" w:rsidRPr="00A9663B" w:rsidRDefault="0045210A" w:rsidP="00E23DB8">
            <w:pPr>
              <w:jc w:val="center"/>
              <w:rPr>
                <w:bCs/>
                <w:color w:val="000000"/>
                <w:kern w:val="16"/>
                <w:sz w:val="16"/>
                <w:szCs w:val="16"/>
                <w:lang w:eastAsia="es-MX"/>
              </w:rPr>
            </w:pPr>
            <w:r>
              <w:rPr>
                <w:bCs/>
                <w:color w:val="000000"/>
                <w:kern w:val="16"/>
                <w:sz w:val="16"/>
                <w:szCs w:val="16"/>
                <w:lang w:eastAsia="es-MX"/>
              </w:rPr>
              <w:t>M</w:t>
            </w:r>
            <w:r w:rsidRPr="00A9663B">
              <w:rPr>
                <w:bCs/>
                <w:color w:val="000000"/>
                <w:kern w:val="16"/>
                <w:sz w:val="16"/>
                <w:szCs w:val="16"/>
                <w:lang w:eastAsia="es-MX"/>
              </w:rPr>
              <w:t>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93D62DE" w14:textId="77777777" w:rsidR="0045210A" w:rsidRPr="00A9663B" w:rsidRDefault="0045210A" w:rsidP="00E23DB8">
            <w:pPr>
              <w:jc w:val="center"/>
              <w:rPr>
                <w:bCs/>
                <w:color w:val="000000"/>
                <w:kern w:val="16"/>
                <w:sz w:val="16"/>
                <w:szCs w:val="16"/>
                <w:lang w:eastAsia="es-MX"/>
              </w:rPr>
            </w:pPr>
            <w:r>
              <w:rPr>
                <w:bCs/>
                <w:color w:val="000000"/>
                <w:kern w:val="16"/>
                <w:sz w:val="16"/>
                <w:szCs w:val="16"/>
                <w:lang w:eastAsia="es-MX"/>
              </w:rPr>
              <w:t>A</w:t>
            </w:r>
            <w:r w:rsidRPr="00A9663B">
              <w:rPr>
                <w:bCs/>
                <w:color w:val="000000"/>
                <w:kern w:val="16"/>
                <w:sz w:val="16"/>
                <w:szCs w:val="16"/>
                <w:lang w:eastAsia="es-MX"/>
              </w:rPr>
              <w:t>nual</w:t>
            </w:r>
          </w:p>
        </w:tc>
      </w:tr>
      <w:tr w:rsidR="0045210A" w:rsidRPr="00A9663B" w14:paraId="5A88A924" w14:textId="77777777" w:rsidTr="00E23DB8">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31AA1E8F" w14:textId="77777777" w:rsidR="0045210A" w:rsidRPr="00A9663B" w:rsidRDefault="0045210A" w:rsidP="00E23DB8">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663338F"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6BDDD1A"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CD7F45B"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3C60C98"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FDDEC47"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FBE1718" w14:textId="77777777" w:rsidR="0045210A" w:rsidRPr="00A9663B" w:rsidRDefault="0045210A" w:rsidP="00E23DB8">
            <w:pPr>
              <w:jc w:val="center"/>
              <w:rPr>
                <w:bCs/>
                <w:color w:val="000000"/>
                <w:kern w:val="16"/>
                <w:sz w:val="16"/>
                <w:szCs w:val="16"/>
                <w:lang w:eastAsia="es-MX"/>
              </w:rPr>
            </w:pPr>
            <w:r w:rsidRPr="00A9663B">
              <w:rPr>
                <w:bCs/>
                <w:color w:val="000000"/>
                <w:kern w:val="16"/>
                <w:sz w:val="16"/>
                <w:szCs w:val="16"/>
                <w:lang w:eastAsia="es-MX"/>
              </w:rPr>
              <w:t>Total</w:t>
            </w:r>
          </w:p>
        </w:tc>
      </w:tr>
      <w:tr w:rsidR="0045210A" w:rsidRPr="00480DC3" w14:paraId="52DF719D" w14:textId="77777777" w:rsidTr="00E23DB8">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47CDB779" w14:textId="36D9EC5B" w:rsidR="0045210A" w:rsidRPr="00841586" w:rsidRDefault="0045210A" w:rsidP="0045210A">
            <w:pPr>
              <w:jc w:val="left"/>
              <w:rPr>
                <w:b/>
                <w:bCs/>
                <w:color w:val="000000"/>
                <w:sz w:val="14"/>
                <w:szCs w:val="14"/>
                <w:lang w:eastAsia="es-MX"/>
              </w:rPr>
            </w:pPr>
            <w:r w:rsidRPr="00841586">
              <w:rPr>
                <w:b/>
                <w:bCs/>
                <w:color w:val="000000"/>
                <w:sz w:val="14"/>
                <w:szCs w:val="14"/>
                <w:lang w:eastAsia="es-MX"/>
              </w:rPr>
              <w:t xml:space="preserve">Índice </w:t>
            </w:r>
            <w:r w:rsidR="00B3605B">
              <w:rPr>
                <w:b/>
                <w:bCs/>
                <w:color w:val="000000"/>
                <w:sz w:val="14"/>
                <w:szCs w:val="14"/>
                <w:lang w:eastAsia="es-MX"/>
              </w:rPr>
              <w:t>g</w:t>
            </w:r>
            <w:r w:rsidR="00B3605B" w:rsidRPr="00841586">
              <w:rPr>
                <w:b/>
                <w:bCs/>
                <w:color w:val="000000"/>
                <w:sz w:val="14"/>
                <w:szCs w:val="14"/>
                <w:lang w:eastAsia="es-MX"/>
              </w:rPr>
              <w:t>eneral</w:t>
            </w:r>
            <w:r w:rsidR="00B3605B">
              <w:rPr>
                <w:b/>
                <w:bCs/>
                <w:color w:val="000000"/>
                <w:sz w:val="14"/>
                <w:szCs w:val="14"/>
                <w:lang w:eastAsia="es-MX"/>
              </w:rPr>
              <w:t xml:space="preserve"> </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A047E4A" w14:textId="77777777" w:rsidR="0045210A" w:rsidRPr="008A0229" w:rsidRDefault="0045210A" w:rsidP="00E23DB8">
            <w:pPr>
              <w:widowControl w:val="0"/>
              <w:ind w:right="227"/>
              <w:contextualSpacing/>
              <w:jc w:val="right"/>
              <w:rPr>
                <w:b/>
                <w:bCs/>
                <w:color w:val="000000"/>
                <w:sz w:val="14"/>
                <w:szCs w:val="14"/>
              </w:rPr>
            </w:pPr>
            <w:r w:rsidRPr="00A87997">
              <w:rPr>
                <w:b/>
                <w:bCs/>
                <w:color w:val="000000"/>
                <w:sz w:val="14"/>
                <w:szCs w:val="14"/>
              </w:rPr>
              <w:t>-0.</w:t>
            </w:r>
            <w:r>
              <w:rPr>
                <w:b/>
                <w:bCs/>
                <w:color w:val="000000"/>
                <w:sz w:val="14"/>
                <w:szCs w:val="14"/>
              </w:rPr>
              <w:t>91</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96DB4D9" w14:textId="77777777" w:rsidR="0045210A" w:rsidRPr="008A0229" w:rsidRDefault="0045210A" w:rsidP="00E23DB8">
            <w:pPr>
              <w:widowControl w:val="0"/>
              <w:ind w:right="227"/>
              <w:contextualSpacing/>
              <w:jc w:val="right"/>
              <w:rPr>
                <w:b/>
                <w:bCs/>
                <w:color w:val="000000"/>
                <w:sz w:val="14"/>
                <w:szCs w:val="14"/>
              </w:rPr>
            </w:pPr>
            <w:r w:rsidRPr="00A87997">
              <w:rPr>
                <w:b/>
                <w:bCs/>
                <w:color w:val="000000"/>
                <w:sz w:val="14"/>
                <w:szCs w:val="14"/>
              </w:rPr>
              <w:t>0.1</w:t>
            </w:r>
            <w:r>
              <w:rPr>
                <w:b/>
                <w:bCs/>
                <w:color w:val="000000"/>
                <w:sz w:val="14"/>
                <w:szCs w:val="14"/>
              </w:rPr>
              <w:t>1</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0BFCC1C" w14:textId="77777777" w:rsidR="0045210A" w:rsidRPr="008A0229" w:rsidRDefault="0045210A" w:rsidP="00E23DB8">
            <w:pPr>
              <w:widowControl w:val="0"/>
              <w:ind w:right="227"/>
              <w:contextualSpacing/>
              <w:jc w:val="right"/>
              <w:rPr>
                <w:b/>
                <w:bCs/>
                <w:color w:val="000000"/>
                <w:sz w:val="14"/>
                <w:szCs w:val="14"/>
              </w:rPr>
            </w:pPr>
            <w:r w:rsidRPr="00A87997">
              <w:rPr>
                <w:b/>
                <w:bCs/>
                <w:color w:val="000000"/>
                <w:sz w:val="14"/>
                <w:szCs w:val="14"/>
              </w:rPr>
              <w:t>-0.</w:t>
            </w:r>
            <w:r>
              <w:rPr>
                <w:b/>
                <w:bCs/>
                <w:color w:val="000000"/>
                <w:sz w:val="14"/>
                <w:szCs w:val="14"/>
              </w:rPr>
              <w:t>18</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90641DD" w14:textId="77777777" w:rsidR="0045210A" w:rsidRPr="008A0229" w:rsidRDefault="0045210A" w:rsidP="00E23DB8">
            <w:pPr>
              <w:widowControl w:val="0"/>
              <w:ind w:right="227"/>
              <w:contextualSpacing/>
              <w:jc w:val="right"/>
              <w:rPr>
                <w:b/>
                <w:bCs/>
                <w:color w:val="000000"/>
                <w:sz w:val="14"/>
                <w:szCs w:val="14"/>
              </w:rPr>
            </w:pPr>
            <w:r>
              <w:rPr>
                <w:b/>
                <w:bCs/>
                <w:color w:val="000000"/>
                <w:sz w:val="14"/>
                <w:szCs w:val="14"/>
              </w:rPr>
              <w:t>6</w:t>
            </w:r>
            <w:r w:rsidRPr="00A87997">
              <w:rPr>
                <w:b/>
                <w:bCs/>
                <w:color w:val="000000"/>
                <w:sz w:val="14"/>
                <w:szCs w:val="14"/>
              </w:rPr>
              <w:t>.</w:t>
            </w:r>
            <w:r>
              <w:rPr>
                <w:b/>
                <w:bCs/>
                <w:color w:val="000000"/>
                <w:sz w:val="14"/>
                <w:szCs w:val="14"/>
              </w:rPr>
              <w:t>91</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0198025" w14:textId="77777777" w:rsidR="0045210A" w:rsidRPr="008A0229" w:rsidRDefault="0045210A" w:rsidP="00E23DB8">
            <w:pPr>
              <w:widowControl w:val="0"/>
              <w:ind w:right="227"/>
              <w:contextualSpacing/>
              <w:jc w:val="right"/>
              <w:rPr>
                <w:b/>
                <w:bCs/>
                <w:color w:val="000000"/>
                <w:sz w:val="14"/>
                <w:szCs w:val="14"/>
              </w:rPr>
            </w:pPr>
            <w:r>
              <w:rPr>
                <w:b/>
                <w:bCs/>
                <w:color w:val="000000"/>
                <w:sz w:val="14"/>
                <w:szCs w:val="14"/>
              </w:rPr>
              <w:t>7</w:t>
            </w:r>
            <w:r w:rsidRPr="00A87997">
              <w:rPr>
                <w:b/>
                <w:bCs/>
                <w:color w:val="000000"/>
                <w:sz w:val="14"/>
                <w:szCs w:val="14"/>
              </w:rPr>
              <w:t>.</w:t>
            </w:r>
            <w:r>
              <w:rPr>
                <w:b/>
                <w:bCs/>
                <w:color w:val="000000"/>
                <w:sz w:val="14"/>
                <w:szCs w:val="14"/>
              </w:rPr>
              <w:t>31</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D55E282" w14:textId="77777777" w:rsidR="0045210A" w:rsidRPr="008A0229" w:rsidRDefault="0045210A" w:rsidP="00E23DB8">
            <w:pPr>
              <w:widowControl w:val="0"/>
              <w:ind w:right="227"/>
              <w:contextualSpacing/>
              <w:jc w:val="right"/>
              <w:rPr>
                <w:b/>
                <w:bCs/>
                <w:color w:val="000000"/>
                <w:sz w:val="14"/>
                <w:szCs w:val="14"/>
              </w:rPr>
            </w:pPr>
            <w:r>
              <w:rPr>
                <w:b/>
                <w:bCs/>
                <w:color w:val="000000"/>
                <w:sz w:val="14"/>
                <w:szCs w:val="14"/>
              </w:rPr>
              <w:t>7</w:t>
            </w:r>
            <w:r w:rsidRPr="00A87997">
              <w:rPr>
                <w:b/>
                <w:bCs/>
                <w:color w:val="000000"/>
                <w:sz w:val="14"/>
                <w:szCs w:val="14"/>
              </w:rPr>
              <w:t>.</w:t>
            </w:r>
            <w:r>
              <w:rPr>
                <w:b/>
                <w:bCs/>
                <w:color w:val="000000"/>
                <w:sz w:val="14"/>
                <w:szCs w:val="14"/>
              </w:rPr>
              <w:t>20</w:t>
            </w:r>
          </w:p>
        </w:tc>
      </w:tr>
      <w:tr w:rsidR="0045210A" w:rsidRPr="00A47C46" w14:paraId="7A857B3D"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61166C73" w14:textId="77777777" w:rsidR="0045210A" w:rsidRPr="00841586" w:rsidRDefault="0045210A" w:rsidP="0045210A">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4B5E81" w14:textId="77777777" w:rsidR="0045210A" w:rsidRPr="00480DC3" w:rsidRDefault="0045210A" w:rsidP="00E23DB8">
            <w:pPr>
              <w:widowControl w:val="0"/>
              <w:ind w:right="227"/>
              <w:contextualSpacing/>
              <w:jc w:val="right"/>
              <w:rPr>
                <w:b/>
                <w:bCs/>
                <w:color w:val="000000"/>
                <w:sz w:val="14"/>
                <w:szCs w:val="14"/>
              </w:rPr>
            </w:pPr>
            <w:r w:rsidRPr="00A87997">
              <w:rPr>
                <w:b/>
                <w:bCs/>
                <w:color w:val="000000"/>
                <w:sz w:val="14"/>
                <w:szCs w:val="14"/>
              </w:rPr>
              <w:t>-</w:t>
            </w:r>
            <w:r>
              <w:rPr>
                <w:b/>
                <w:bCs/>
                <w:color w:val="000000"/>
                <w:sz w:val="14"/>
                <w:szCs w:val="14"/>
              </w:rPr>
              <w:t>1</w:t>
            </w:r>
            <w:r w:rsidRPr="00A87997">
              <w:rPr>
                <w:b/>
                <w:bCs/>
                <w:color w:val="000000"/>
                <w:sz w:val="14"/>
                <w:szCs w:val="14"/>
              </w:rPr>
              <w:t>.</w:t>
            </w:r>
            <w:r>
              <w:rPr>
                <w:b/>
                <w:bCs/>
                <w:color w:val="000000"/>
                <w:sz w:val="14"/>
                <w:szCs w:val="14"/>
              </w:rPr>
              <w:t>10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7555D3" w14:textId="77777777" w:rsidR="0045210A" w:rsidRPr="00480DC3" w:rsidRDefault="0045210A" w:rsidP="00E23DB8">
            <w:pPr>
              <w:widowControl w:val="0"/>
              <w:ind w:right="227"/>
              <w:contextualSpacing/>
              <w:jc w:val="right"/>
              <w:rPr>
                <w:b/>
                <w:bCs/>
                <w:color w:val="000000"/>
                <w:sz w:val="14"/>
                <w:szCs w:val="14"/>
              </w:rPr>
            </w:pPr>
            <w:r w:rsidRPr="00A87997">
              <w:rPr>
                <w:b/>
                <w:bCs/>
                <w:color w:val="000000"/>
                <w:sz w:val="14"/>
                <w:szCs w:val="14"/>
              </w:rPr>
              <w:t>0.</w:t>
            </w:r>
            <w:r>
              <w:rPr>
                <w:b/>
                <w:bCs/>
                <w:color w:val="000000"/>
                <w:sz w:val="14"/>
                <w:szCs w:val="14"/>
              </w:rPr>
              <w:t>25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6A6D20" w14:textId="77777777" w:rsidR="0045210A" w:rsidRPr="00480DC3" w:rsidRDefault="0045210A" w:rsidP="00E23DB8">
            <w:pPr>
              <w:widowControl w:val="0"/>
              <w:ind w:right="227"/>
              <w:contextualSpacing/>
              <w:jc w:val="right"/>
              <w:rPr>
                <w:b/>
                <w:bCs/>
                <w:color w:val="000000"/>
                <w:sz w:val="14"/>
                <w:szCs w:val="14"/>
              </w:rPr>
            </w:pPr>
            <w:r w:rsidRPr="00A87997">
              <w:rPr>
                <w:b/>
                <w:bCs/>
                <w:color w:val="000000"/>
                <w:sz w:val="14"/>
                <w:szCs w:val="14"/>
              </w:rPr>
              <w:t>-0.</w:t>
            </w:r>
            <w:r>
              <w:rPr>
                <w:b/>
                <w:bCs/>
                <w:color w:val="000000"/>
                <w:sz w:val="14"/>
                <w:szCs w:val="14"/>
              </w:rPr>
              <w:t>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E92691" w14:textId="77777777" w:rsidR="0045210A" w:rsidRPr="00480DC3" w:rsidRDefault="0045210A" w:rsidP="00E23DB8">
            <w:pPr>
              <w:widowControl w:val="0"/>
              <w:ind w:right="227"/>
              <w:contextualSpacing/>
              <w:jc w:val="right"/>
              <w:rPr>
                <w:b/>
                <w:bCs/>
                <w:color w:val="000000"/>
                <w:sz w:val="14"/>
                <w:szCs w:val="14"/>
              </w:rPr>
            </w:pPr>
            <w:r>
              <w:rPr>
                <w:b/>
                <w:bCs/>
                <w:color w:val="000000"/>
                <w:sz w:val="14"/>
                <w:szCs w:val="14"/>
              </w:rPr>
              <w:t>8.47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793628" w14:textId="77777777" w:rsidR="0045210A" w:rsidRPr="00480DC3" w:rsidRDefault="0045210A" w:rsidP="00E23DB8">
            <w:pPr>
              <w:widowControl w:val="0"/>
              <w:ind w:right="227"/>
              <w:contextualSpacing/>
              <w:jc w:val="right"/>
              <w:rPr>
                <w:b/>
                <w:bCs/>
                <w:color w:val="000000"/>
                <w:sz w:val="14"/>
                <w:szCs w:val="14"/>
              </w:rPr>
            </w:pPr>
            <w:r>
              <w:rPr>
                <w:b/>
                <w:bCs/>
                <w:color w:val="000000"/>
                <w:sz w:val="14"/>
                <w:szCs w:val="14"/>
              </w:rPr>
              <w:t>6</w:t>
            </w:r>
            <w:r w:rsidRPr="00A87997">
              <w:rPr>
                <w:b/>
                <w:bCs/>
                <w:color w:val="000000"/>
                <w:sz w:val="14"/>
                <w:szCs w:val="14"/>
              </w:rPr>
              <w:t>.</w:t>
            </w:r>
            <w:r>
              <w:rPr>
                <w:b/>
                <w:bCs/>
                <w:color w:val="000000"/>
                <w:sz w:val="14"/>
                <w:szCs w:val="14"/>
              </w:rPr>
              <w:t>94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1F802F" w14:textId="77777777" w:rsidR="0045210A" w:rsidRPr="00480DC3" w:rsidRDefault="0045210A" w:rsidP="00E23DB8">
            <w:pPr>
              <w:widowControl w:val="0"/>
              <w:ind w:right="227"/>
              <w:contextualSpacing/>
              <w:jc w:val="right"/>
              <w:rPr>
                <w:b/>
                <w:bCs/>
                <w:color w:val="000000"/>
                <w:sz w:val="14"/>
                <w:szCs w:val="14"/>
              </w:rPr>
            </w:pPr>
            <w:r>
              <w:rPr>
                <w:b/>
                <w:bCs/>
                <w:color w:val="000000"/>
                <w:sz w:val="14"/>
                <w:szCs w:val="14"/>
              </w:rPr>
              <w:t>7.34</w:t>
            </w:r>
          </w:p>
        </w:tc>
      </w:tr>
      <w:tr w:rsidR="0045210A" w:rsidRPr="00A47C46" w14:paraId="1F96CE66"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DD5D023"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E9ECE0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D5260A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8</w:t>
            </w:r>
            <w:r w:rsidRPr="00A87997">
              <w:rPr>
                <w:bCs/>
                <w:color w:val="000000"/>
                <w:sz w:val="14"/>
                <w:szCs w:val="14"/>
              </w:rPr>
              <w:t>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C536B9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73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75285C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2</w:t>
            </w:r>
            <w:r>
              <w:rPr>
                <w:bCs/>
                <w:color w:val="000000"/>
                <w:sz w:val="14"/>
                <w:szCs w:val="14"/>
              </w:rPr>
              <w:t>0</w:t>
            </w:r>
            <w:r w:rsidRPr="00A87997">
              <w:rPr>
                <w:bCs/>
                <w:color w:val="000000"/>
                <w:sz w:val="14"/>
                <w:szCs w:val="14"/>
              </w:rPr>
              <w:t>.</w:t>
            </w:r>
            <w:r>
              <w:rPr>
                <w:bCs/>
                <w:color w:val="000000"/>
                <w:sz w:val="14"/>
                <w:szCs w:val="14"/>
              </w:rPr>
              <w:t>90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E3C11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w:t>
            </w:r>
            <w:r>
              <w:rPr>
                <w:bCs/>
                <w:color w:val="000000"/>
                <w:sz w:val="14"/>
                <w:szCs w:val="14"/>
              </w:rPr>
              <w:t>6</w:t>
            </w:r>
            <w:r w:rsidRPr="00A87997">
              <w:rPr>
                <w:bCs/>
                <w:color w:val="000000"/>
                <w:sz w:val="14"/>
                <w:szCs w:val="14"/>
              </w:rPr>
              <w:t>.</w:t>
            </w:r>
            <w:r>
              <w:rPr>
                <w:bCs/>
                <w:color w:val="000000"/>
                <w:sz w:val="14"/>
                <w:szCs w:val="14"/>
              </w:rPr>
              <w:t>41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72A0F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17.</w:t>
            </w:r>
            <w:r>
              <w:rPr>
                <w:bCs/>
                <w:color w:val="000000"/>
                <w:sz w:val="14"/>
                <w:szCs w:val="14"/>
              </w:rPr>
              <w:t>45</w:t>
            </w:r>
          </w:p>
        </w:tc>
      </w:tr>
      <w:tr w:rsidR="0045210A" w:rsidRPr="00A47C46" w14:paraId="710F0329"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78D347"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14E3BC8"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0</w:t>
            </w:r>
            <w:r w:rsidRPr="00A87997">
              <w:rPr>
                <w:bCs/>
                <w:color w:val="000000"/>
                <w:sz w:val="14"/>
                <w:szCs w:val="14"/>
              </w:rPr>
              <w:t>.</w:t>
            </w:r>
            <w:r>
              <w:rPr>
                <w:bCs/>
                <w:color w:val="000000"/>
                <w:sz w:val="14"/>
                <w:szCs w:val="14"/>
              </w:rPr>
              <w:t>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58648F"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41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16BA5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41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DF8314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10.</w:t>
            </w:r>
            <w:r>
              <w:rPr>
                <w:bCs/>
                <w:color w:val="000000"/>
                <w:sz w:val="14"/>
                <w:szCs w:val="14"/>
              </w:rPr>
              <w:t>27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87C3DE"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9</w:t>
            </w:r>
            <w:r w:rsidRPr="00A87997">
              <w:rPr>
                <w:bCs/>
                <w:color w:val="000000"/>
                <w:sz w:val="14"/>
                <w:szCs w:val="14"/>
              </w:rPr>
              <w:t>.</w:t>
            </w:r>
            <w:r>
              <w:rPr>
                <w:bCs/>
                <w:color w:val="000000"/>
                <w:sz w:val="14"/>
                <w:szCs w:val="14"/>
              </w:rPr>
              <w:t>02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71E94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9</w:t>
            </w:r>
            <w:r w:rsidRPr="00A87997">
              <w:rPr>
                <w:bCs/>
                <w:color w:val="000000"/>
                <w:sz w:val="14"/>
                <w:szCs w:val="14"/>
              </w:rPr>
              <w:t>.</w:t>
            </w:r>
            <w:r>
              <w:rPr>
                <w:bCs/>
                <w:color w:val="000000"/>
                <w:sz w:val="14"/>
                <w:szCs w:val="14"/>
              </w:rPr>
              <w:t>07</w:t>
            </w:r>
          </w:p>
        </w:tc>
      </w:tr>
      <w:tr w:rsidR="0045210A" w:rsidRPr="00A47C46" w14:paraId="73DAB986"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7F928D7"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A09E24"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w:t>
            </w:r>
            <w:r w:rsidRPr="00A87997">
              <w:rPr>
                <w:bCs/>
                <w:color w:val="000000"/>
                <w:sz w:val="14"/>
                <w:szCs w:val="14"/>
              </w:rPr>
              <w:t>0.</w:t>
            </w:r>
            <w:r>
              <w:rPr>
                <w:bCs/>
                <w:color w:val="000000"/>
                <w:sz w:val="14"/>
                <w:szCs w:val="14"/>
              </w:rPr>
              <w:t>09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DFA359"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68A3FC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BCD8AF"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7</w:t>
            </w:r>
            <w:r w:rsidRPr="00A87997">
              <w:rPr>
                <w:bCs/>
                <w:color w:val="000000"/>
                <w:sz w:val="14"/>
                <w:szCs w:val="14"/>
              </w:rPr>
              <w:t>.</w:t>
            </w:r>
            <w:r>
              <w:rPr>
                <w:bCs/>
                <w:color w:val="000000"/>
                <w:sz w:val="14"/>
                <w:szCs w:val="14"/>
              </w:rPr>
              <w:t>88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D177EF"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85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F2D4CD"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w:t>
            </w:r>
            <w:r>
              <w:rPr>
                <w:bCs/>
                <w:color w:val="000000"/>
                <w:sz w:val="14"/>
                <w:szCs w:val="14"/>
              </w:rPr>
              <w:t>64</w:t>
            </w:r>
          </w:p>
        </w:tc>
      </w:tr>
      <w:tr w:rsidR="0045210A" w:rsidRPr="00A47C46" w14:paraId="2F256EFF"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90C5007"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66EA3E"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35343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-0.1</w:t>
            </w:r>
            <w:r>
              <w:rPr>
                <w:bCs/>
                <w:color w:val="000000"/>
                <w:sz w:val="14"/>
                <w:szCs w:val="14"/>
              </w:rPr>
              <w:t>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721578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527DABE"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3.</w:t>
            </w:r>
            <w:r>
              <w:rPr>
                <w:bCs/>
                <w:color w:val="000000"/>
                <w:sz w:val="14"/>
                <w:szCs w:val="14"/>
              </w:rPr>
              <w:t>13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FF78C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3.</w:t>
            </w:r>
            <w:r>
              <w:rPr>
                <w:bCs/>
                <w:color w:val="000000"/>
                <w:sz w:val="14"/>
                <w:szCs w:val="14"/>
              </w:rPr>
              <w:t>58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CA18C7"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3.</w:t>
            </w:r>
            <w:r>
              <w:rPr>
                <w:bCs/>
                <w:color w:val="000000"/>
                <w:sz w:val="14"/>
                <w:szCs w:val="14"/>
              </w:rPr>
              <w:t>42</w:t>
            </w:r>
          </w:p>
        </w:tc>
      </w:tr>
      <w:tr w:rsidR="0045210A" w:rsidRPr="00A47C46" w14:paraId="5B7B9691"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200B45"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5D3FB7"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0.2</w:t>
            </w:r>
            <w:r>
              <w:rPr>
                <w:bCs/>
                <w:color w:val="000000"/>
                <w:sz w:val="14"/>
                <w:szCs w:val="14"/>
              </w:rPr>
              <w:t>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622DA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7EB8F6"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8A85E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6.1</w:t>
            </w:r>
            <w:r>
              <w:rPr>
                <w:bCs/>
                <w:color w:val="000000"/>
                <w:sz w:val="14"/>
                <w:szCs w:val="14"/>
              </w:rPr>
              <w:t>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C4045F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6.</w:t>
            </w:r>
            <w:r>
              <w:rPr>
                <w:bCs/>
                <w:color w:val="000000"/>
                <w:sz w:val="14"/>
                <w:szCs w:val="14"/>
              </w:rPr>
              <w:t>36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C8D40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6.</w:t>
            </w:r>
            <w:r>
              <w:rPr>
                <w:bCs/>
                <w:color w:val="000000"/>
                <w:sz w:val="14"/>
                <w:szCs w:val="14"/>
              </w:rPr>
              <w:t>35</w:t>
            </w:r>
          </w:p>
        </w:tc>
      </w:tr>
      <w:tr w:rsidR="0045210A" w:rsidRPr="00A47C46" w14:paraId="3813A778"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F4C1A15"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5917691"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7E517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085CA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D780B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6.</w:t>
            </w:r>
            <w:r>
              <w:rPr>
                <w:bCs/>
                <w:color w:val="000000"/>
                <w:sz w:val="14"/>
                <w:szCs w:val="14"/>
              </w:rPr>
              <w:t>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726EC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5.</w:t>
            </w:r>
            <w:r>
              <w:rPr>
                <w:bCs/>
                <w:color w:val="000000"/>
                <w:sz w:val="14"/>
                <w:szCs w:val="14"/>
              </w:rPr>
              <w:t>16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0FE6B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5.</w:t>
            </w:r>
            <w:r>
              <w:rPr>
                <w:bCs/>
                <w:color w:val="000000"/>
                <w:sz w:val="14"/>
                <w:szCs w:val="14"/>
              </w:rPr>
              <w:t>37</w:t>
            </w:r>
          </w:p>
        </w:tc>
      </w:tr>
      <w:tr w:rsidR="0045210A" w:rsidRPr="00A47C46" w14:paraId="4D32BB33"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50C7318"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A84B0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0.3</w:t>
            </w:r>
            <w:r>
              <w:rPr>
                <w:bCs/>
                <w:color w:val="000000"/>
                <w:sz w:val="14"/>
                <w:szCs w:val="14"/>
              </w:rPr>
              <w:t>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52B67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2FB1A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0.3</w:t>
            </w:r>
            <w:r>
              <w:rPr>
                <w:bCs/>
                <w:color w:val="000000"/>
                <w:sz w:val="14"/>
                <w:szCs w:val="14"/>
              </w:rPr>
              <w:t>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C012A3"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2</w:t>
            </w:r>
            <w:r>
              <w:rPr>
                <w:bCs/>
                <w:color w:val="000000"/>
                <w:sz w:val="14"/>
                <w:szCs w:val="14"/>
              </w:rPr>
              <w:t>1</w:t>
            </w:r>
            <w:r w:rsidRPr="00A87997">
              <w:rPr>
                <w:bCs/>
                <w:color w:val="000000"/>
                <w:sz w:val="14"/>
                <w:szCs w:val="14"/>
              </w:rPr>
              <w:t>.</w:t>
            </w:r>
            <w:r>
              <w:rPr>
                <w:bCs/>
                <w:color w:val="000000"/>
                <w:sz w:val="14"/>
                <w:szCs w:val="14"/>
              </w:rPr>
              <w:t>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97DA6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19.</w:t>
            </w:r>
            <w:r>
              <w:rPr>
                <w:bCs/>
                <w:color w:val="000000"/>
                <w:sz w:val="14"/>
                <w:szCs w:val="14"/>
              </w:rPr>
              <w:t>19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A32797"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21.</w:t>
            </w:r>
            <w:r>
              <w:rPr>
                <w:bCs/>
                <w:color w:val="000000"/>
                <w:sz w:val="14"/>
                <w:szCs w:val="14"/>
              </w:rPr>
              <w:t>04</w:t>
            </w:r>
          </w:p>
        </w:tc>
      </w:tr>
      <w:tr w:rsidR="0045210A" w:rsidRPr="00A47C46" w14:paraId="2FBAE05A"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E446A39"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ABC641"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90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E17246"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0</w:t>
            </w:r>
            <w:r w:rsidRPr="00A87997">
              <w:rPr>
                <w:bCs/>
                <w:color w:val="000000"/>
                <w:sz w:val="14"/>
                <w:szCs w:val="14"/>
              </w:rPr>
              <w:t>.</w:t>
            </w:r>
            <w:r>
              <w:rPr>
                <w:bCs/>
                <w:color w:val="000000"/>
                <w:sz w:val="14"/>
                <w:szCs w:val="14"/>
              </w:rPr>
              <w:t>81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E9A5E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85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8F14F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10.</w:t>
            </w:r>
            <w:r>
              <w:rPr>
                <w:bCs/>
                <w:color w:val="000000"/>
                <w:sz w:val="14"/>
                <w:szCs w:val="14"/>
              </w:rPr>
              <w:t>30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2342F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w:t>
            </w:r>
            <w:r>
              <w:rPr>
                <w:bCs/>
                <w:color w:val="000000"/>
                <w:sz w:val="14"/>
                <w:szCs w:val="14"/>
              </w:rPr>
              <w:t>1</w:t>
            </w:r>
            <w:r w:rsidRPr="00A87997">
              <w:rPr>
                <w:bCs/>
                <w:color w:val="000000"/>
                <w:sz w:val="14"/>
                <w:szCs w:val="14"/>
              </w:rPr>
              <w:t>.</w:t>
            </w:r>
            <w:r>
              <w:rPr>
                <w:bCs/>
                <w:color w:val="000000"/>
                <w:sz w:val="14"/>
                <w:szCs w:val="14"/>
              </w:rPr>
              <w:t>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CC8FF1"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11.</w:t>
            </w:r>
            <w:r>
              <w:rPr>
                <w:bCs/>
                <w:color w:val="000000"/>
                <w:sz w:val="14"/>
                <w:szCs w:val="14"/>
              </w:rPr>
              <w:t>11</w:t>
            </w:r>
          </w:p>
        </w:tc>
      </w:tr>
      <w:tr w:rsidR="0045210A" w:rsidRPr="00A47C46" w14:paraId="03CC949D"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F3DA155"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62FC0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6BF461"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w:t>
            </w:r>
            <w:r w:rsidRPr="00A87997">
              <w:rPr>
                <w:bCs/>
                <w:color w:val="000000"/>
                <w:sz w:val="14"/>
                <w:szCs w:val="14"/>
              </w:rPr>
              <w:t>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8B2AE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F95E3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11.</w:t>
            </w:r>
            <w:r>
              <w:rPr>
                <w:bCs/>
                <w:color w:val="000000"/>
                <w:sz w:val="14"/>
                <w:szCs w:val="14"/>
              </w:rPr>
              <w:t>21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C9F772F"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11.</w:t>
            </w:r>
            <w:r>
              <w:rPr>
                <w:bCs/>
                <w:color w:val="000000"/>
                <w:sz w:val="14"/>
                <w:szCs w:val="14"/>
              </w:rPr>
              <w:t>21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AC29CE"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11.</w:t>
            </w:r>
            <w:r>
              <w:rPr>
                <w:bCs/>
                <w:color w:val="000000"/>
                <w:sz w:val="14"/>
                <w:szCs w:val="14"/>
              </w:rPr>
              <w:t>21</w:t>
            </w:r>
          </w:p>
        </w:tc>
      </w:tr>
      <w:tr w:rsidR="0045210A" w:rsidRPr="00A47C46" w14:paraId="370048B0"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6DF72B"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B005EF"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1</w:t>
            </w:r>
            <w:r w:rsidRPr="00A87997">
              <w:rPr>
                <w:bCs/>
                <w:color w:val="000000"/>
                <w:sz w:val="14"/>
                <w:szCs w:val="14"/>
              </w:rPr>
              <w:t>.</w:t>
            </w:r>
            <w:r>
              <w:rPr>
                <w:bCs/>
                <w:color w:val="000000"/>
                <w:sz w:val="14"/>
                <w:szCs w:val="14"/>
              </w:rPr>
              <w:t>71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E08F7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2</w:t>
            </w:r>
            <w:r w:rsidRPr="00A87997">
              <w:rPr>
                <w:bCs/>
                <w:color w:val="000000"/>
                <w:sz w:val="14"/>
                <w:szCs w:val="14"/>
              </w:rPr>
              <w:t>.</w:t>
            </w:r>
            <w:r>
              <w:rPr>
                <w:bCs/>
                <w:color w:val="000000"/>
                <w:sz w:val="14"/>
                <w:szCs w:val="14"/>
              </w:rPr>
              <w:t>37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EBD84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1</w:t>
            </w:r>
            <w:r w:rsidRPr="00A87997">
              <w:rPr>
                <w:bCs/>
                <w:color w:val="000000"/>
                <w:sz w:val="14"/>
                <w:szCs w:val="14"/>
              </w:rPr>
              <w:t>.</w:t>
            </w:r>
            <w:r>
              <w:rPr>
                <w:bCs/>
                <w:color w:val="000000"/>
                <w:sz w:val="14"/>
                <w:szCs w:val="14"/>
              </w:rPr>
              <w:t>94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5D55A7D"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15</w:t>
            </w:r>
            <w:r w:rsidRPr="00A87997">
              <w:rPr>
                <w:bCs/>
                <w:color w:val="000000"/>
                <w:sz w:val="14"/>
                <w:szCs w:val="14"/>
              </w:rPr>
              <w:t>.</w:t>
            </w:r>
            <w:r>
              <w:rPr>
                <w:bCs/>
                <w:color w:val="000000"/>
                <w:sz w:val="14"/>
                <w:szCs w:val="14"/>
              </w:rPr>
              <w:t>88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FD2B73"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w:t>
            </w:r>
            <w:r>
              <w:rPr>
                <w:bCs/>
                <w:color w:val="000000"/>
                <w:sz w:val="14"/>
                <w:szCs w:val="14"/>
              </w:rPr>
              <w:t>2</w:t>
            </w:r>
            <w:r w:rsidRPr="00A87997">
              <w:rPr>
                <w:bCs/>
                <w:color w:val="000000"/>
                <w:sz w:val="14"/>
                <w:szCs w:val="14"/>
              </w:rPr>
              <w:t>.</w:t>
            </w:r>
            <w:r>
              <w:rPr>
                <w:bCs/>
                <w:color w:val="000000"/>
                <w:sz w:val="14"/>
                <w:szCs w:val="14"/>
              </w:rPr>
              <w:t>69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78C3E6"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14</w:t>
            </w:r>
            <w:r w:rsidRPr="00A87997">
              <w:rPr>
                <w:bCs/>
                <w:color w:val="000000"/>
                <w:sz w:val="14"/>
                <w:szCs w:val="14"/>
              </w:rPr>
              <w:t>.</w:t>
            </w:r>
            <w:r>
              <w:rPr>
                <w:bCs/>
                <w:color w:val="000000"/>
                <w:sz w:val="14"/>
                <w:szCs w:val="14"/>
              </w:rPr>
              <w:t>75</w:t>
            </w:r>
          </w:p>
        </w:tc>
      </w:tr>
      <w:tr w:rsidR="0045210A" w:rsidRPr="00A47C46" w14:paraId="6003B0B2"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0F164A0"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AE1C0C"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-2</w:t>
            </w:r>
            <w:r w:rsidRPr="00A87997">
              <w:rPr>
                <w:bCs/>
                <w:color w:val="000000"/>
                <w:sz w:val="14"/>
                <w:szCs w:val="14"/>
              </w:rPr>
              <w:t>.</w:t>
            </w:r>
            <w:r>
              <w:rPr>
                <w:bCs/>
                <w:color w:val="000000"/>
                <w:sz w:val="14"/>
                <w:szCs w:val="14"/>
              </w:rPr>
              <w:t>68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D76F4F8"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-0</w:t>
            </w:r>
            <w:r w:rsidRPr="00A87997">
              <w:rPr>
                <w:bCs/>
                <w:color w:val="000000"/>
                <w:sz w:val="14"/>
                <w:szCs w:val="14"/>
              </w:rPr>
              <w:t>.0</w:t>
            </w:r>
            <w:r>
              <w:rPr>
                <w:bCs/>
                <w:color w:val="000000"/>
                <w:sz w:val="14"/>
                <w:szCs w:val="14"/>
              </w:rPr>
              <w:t>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A08430"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w:t>
            </w:r>
            <w:r w:rsidRPr="00A87997">
              <w:rPr>
                <w:bCs/>
                <w:color w:val="000000"/>
                <w:sz w:val="14"/>
                <w:szCs w:val="14"/>
              </w:rPr>
              <w:t>.</w:t>
            </w:r>
            <w:r>
              <w:rPr>
                <w:bCs/>
                <w:color w:val="000000"/>
                <w:sz w:val="14"/>
                <w:szCs w:val="14"/>
              </w:rPr>
              <w:t>6</w:t>
            </w:r>
            <w:r w:rsidRPr="00A87997">
              <w:rPr>
                <w:bCs/>
                <w:color w:val="000000"/>
                <w:sz w:val="14"/>
                <w:szCs w:val="14"/>
              </w:rPr>
              <w:t>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FC2B2F"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8</w:t>
            </w:r>
            <w:r w:rsidRPr="00A87997">
              <w:rPr>
                <w:bCs/>
                <w:color w:val="000000"/>
                <w:sz w:val="14"/>
                <w:szCs w:val="14"/>
              </w:rPr>
              <w:t>.</w:t>
            </w:r>
            <w:r>
              <w:rPr>
                <w:bCs/>
                <w:color w:val="000000"/>
                <w:sz w:val="14"/>
                <w:szCs w:val="14"/>
              </w:rPr>
              <w:t>85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118CC1"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8</w:t>
            </w:r>
            <w:r w:rsidRPr="00A87997">
              <w:rPr>
                <w:bCs/>
                <w:color w:val="000000"/>
                <w:sz w:val="14"/>
                <w:szCs w:val="14"/>
              </w:rPr>
              <w:t>.</w:t>
            </w:r>
            <w:r>
              <w:rPr>
                <w:bCs/>
                <w:color w:val="000000"/>
                <w:sz w:val="14"/>
                <w:szCs w:val="14"/>
              </w:rPr>
              <w:t>31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51AA6C"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8</w:t>
            </w:r>
            <w:r w:rsidRPr="00A87997">
              <w:rPr>
                <w:bCs/>
                <w:color w:val="000000"/>
                <w:sz w:val="14"/>
                <w:szCs w:val="14"/>
              </w:rPr>
              <w:t>.</w:t>
            </w:r>
            <w:r>
              <w:rPr>
                <w:bCs/>
                <w:color w:val="000000"/>
                <w:sz w:val="14"/>
                <w:szCs w:val="14"/>
              </w:rPr>
              <w:t>6</w:t>
            </w:r>
            <w:r w:rsidRPr="00A87997">
              <w:rPr>
                <w:bCs/>
                <w:color w:val="000000"/>
                <w:sz w:val="14"/>
                <w:szCs w:val="14"/>
              </w:rPr>
              <w:t>3</w:t>
            </w:r>
          </w:p>
        </w:tc>
      </w:tr>
      <w:tr w:rsidR="0045210A" w:rsidRPr="00A47C46" w14:paraId="6AA48A89"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9E971A"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176C47"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40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A1C39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51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0D99C53"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45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4EEA8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94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8816BC"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7</w:t>
            </w:r>
            <w:r w:rsidRPr="00A87997">
              <w:rPr>
                <w:bCs/>
                <w:color w:val="000000"/>
                <w:sz w:val="14"/>
                <w:szCs w:val="14"/>
              </w:rPr>
              <w:t>.</w:t>
            </w:r>
            <w:r>
              <w:rPr>
                <w:bCs/>
                <w:color w:val="000000"/>
                <w:sz w:val="14"/>
                <w:szCs w:val="14"/>
              </w:rPr>
              <w:t>5</w:t>
            </w:r>
            <w:r w:rsidRPr="00A87997">
              <w:rPr>
                <w:bCs/>
                <w:color w:val="000000"/>
                <w:sz w:val="14"/>
                <w:szCs w:val="14"/>
              </w:rPr>
              <w:t>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DCEE08"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w:t>
            </w:r>
            <w:r>
              <w:rPr>
                <w:bCs/>
                <w:color w:val="000000"/>
                <w:sz w:val="14"/>
                <w:szCs w:val="14"/>
              </w:rPr>
              <w:t>64</w:t>
            </w:r>
          </w:p>
        </w:tc>
      </w:tr>
      <w:tr w:rsidR="0045210A" w:rsidRPr="00A47C46" w14:paraId="4C42D1B9"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5639D9C"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A23C7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62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F6966A"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44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1F5640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58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0A722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w:t>
            </w:r>
            <w:r>
              <w:rPr>
                <w:bCs/>
                <w:color w:val="000000"/>
                <w:sz w:val="14"/>
                <w:szCs w:val="14"/>
              </w:rPr>
              <w:t>1</w:t>
            </w:r>
            <w:r w:rsidRPr="00A87997">
              <w:rPr>
                <w:bCs/>
                <w:color w:val="000000"/>
                <w:sz w:val="14"/>
                <w:szCs w:val="14"/>
              </w:rPr>
              <w:t>.</w:t>
            </w:r>
            <w:r>
              <w:rPr>
                <w:bCs/>
                <w:color w:val="000000"/>
                <w:sz w:val="14"/>
                <w:szCs w:val="14"/>
              </w:rPr>
              <w:t>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CAECD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7.</w:t>
            </w:r>
            <w:r>
              <w:rPr>
                <w:bCs/>
                <w:color w:val="000000"/>
                <w:sz w:val="14"/>
                <w:szCs w:val="14"/>
              </w:rPr>
              <w:t>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EC81F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10.</w:t>
            </w:r>
            <w:r>
              <w:rPr>
                <w:bCs/>
                <w:color w:val="000000"/>
                <w:sz w:val="14"/>
                <w:szCs w:val="14"/>
              </w:rPr>
              <w:t>61</w:t>
            </w:r>
          </w:p>
        </w:tc>
      </w:tr>
      <w:tr w:rsidR="0045210A" w:rsidRPr="00A47C46" w14:paraId="2450A9C7"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A747CC0"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E2A3B9"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-4.</w:t>
            </w:r>
            <w:r>
              <w:rPr>
                <w:bCs/>
                <w:color w:val="000000"/>
                <w:sz w:val="14"/>
                <w:szCs w:val="14"/>
              </w:rPr>
              <w:t>96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EAFBF1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0</w:t>
            </w:r>
            <w:r w:rsidRPr="00A87997">
              <w:rPr>
                <w:bCs/>
                <w:color w:val="000000"/>
                <w:sz w:val="14"/>
                <w:szCs w:val="14"/>
              </w:rPr>
              <w:t>.</w:t>
            </w:r>
            <w:r>
              <w:rPr>
                <w:bCs/>
                <w:color w:val="000000"/>
                <w:sz w:val="14"/>
                <w:szCs w:val="14"/>
              </w:rPr>
              <w:t>48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4352E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2</w:t>
            </w:r>
            <w:r w:rsidRPr="00A87997">
              <w:rPr>
                <w:bCs/>
                <w:color w:val="000000"/>
                <w:sz w:val="14"/>
                <w:szCs w:val="14"/>
              </w:rPr>
              <w:t>.</w:t>
            </w:r>
            <w:r>
              <w:rPr>
                <w:bCs/>
                <w:color w:val="000000"/>
                <w:sz w:val="14"/>
                <w:szCs w:val="14"/>
              </w:rPr>
              <w:t>75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CD0A84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14</w:t>
            </w:r>
            <w:r w:rsidRPr="00A87997">
              <w:rPr>
                <w:bCs/>
                <w:color w:val="000000"/>
                <w:sz w:val="14"/>
                <w:szCs w:val="14"/>
              </w:rPr>
              <w:t>.</w:t>
            </w:r>
            <w:r>
              <w:rPr>
                <w:bCs/>
                <w:color w:val="000000"/>
                <w:sz w:val="14"/>
                <w:szCs w:val="14"/>
              </w:rPr>
              <w:t>79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D3D03B"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w:t>
            </w:r>
            <w:r>
              <w:rPr>
                <w:bCs/>
                <w:color w:val="000000"/>
                <w:sz w:val="14"/>
                <w:szCs w:val="14"/>
              </w:rPr>
              <w:t>8</w:t>
            </w:r>
            <w:r w:rsidRPr="00A87997">
              <w:rPr>
                <w:bCs/>
                <w:color w:val="000000"/>
                <w:sz w:val="14"/>
                <w:szCs w:val="14"/>
              </w:rPr>
              <w:t>.50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E8429E"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-11</w:t>
            </w:r>
            <w:r w:rsidRPr="00A87997">
              <w:rPr>
                <w:bCs/>
                <w:color w:val="000000"/>
                <w:sz w:val="14"/>
                <w:szCs w:val="14"/>
              </w:rPr>
              <w:t>.7</w:t>
            </w:r>
            <w:r>
              <w:rPr>
                <w:bCs/>
                <w:color w:val="000000"/>
                <w:sz w:val="14"/>
                <w:szCs w:val="14"/>
              </w:rPr>
              <w:t>2</w:t>
            </w:r>
          </w:p>
        </w:tc>
      </w:tr>
      <w:tr w:rsidR="0045210A" w:rsidRPr="00A47C46" w14:paraId="05E1DBA8"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58DECDE"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0C4D59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68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43E77D"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w:t>
            </w:r>
            <w:r w:rsidRPr="00A87997">
              <w:rPr>
                <w:bCs/>
                <w:color w:val="000000"/>
                <w:sz w:val="14"/>
                <w:szCs w:val="14"/>
              </w:rPr>
              <w:t>0.</w:t>
            </w:r>
            <w:r>
              <w:rPr>
                <w:bCs/>
                <w:color w:val="000000"/>
                <w:sz w:val="14"/>
                <w:szCs w:val="14"/>
              </w:rPr>
              <w:t>40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147F34"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w:t>
            </w:r>
            <w:r w:rsidRPr="00A87997">
              <w:rPr>
                <w:bCs/>
                <w:color w:val="000000"/>
                <w:sz w:val="14"/>
                <w:szCs w:val="14"/>
              </w:rPr>
              <w:t>0.</w:t>
            </w:r>
            <w:r>
              <w:rPr>
                <w:bCs/>
                <w:color w:val="000000"/>
                <w:sz w:val="14"/>
                <w:szCs w:val="14"/>
              </w:rPr>
              <w:t>51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F60AABB"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63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82B4A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.2</w:t>
            </w:r>
            <w:r>
              <w:rPr>
                <w:bCs/>
                <w:color w:val="000000"/>
                <w:sz w:val="14"/>
                <w:szCs w:val="14"/>
              </w:rPr>
              <w:t>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595A16"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w:t>
            </w:r>
            <w:r>
              <w:rPr>
                <w:bCs/>
                <w:color w:val="000000"/>
                <w:sz w:val="14"/>
                <w:szCs w:val="14"/>
              </w:rPr>
              <w:t>00</w:t>
            </w:r>
          </w:p>
        </w:tc>
      </w:tr>
      <w:tr w:rsidR="0045210A" w:rsidRPr="00A47C46" w14:paraId="529D0B5E"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4B47175"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715C89"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0</w:t>
            </w:r>
            <w:r w:rsidRPr="00A87997">
              <w:rPr>
                <w:bCs/>
                <w:color w:val="000000"/>
                <w:sz w:val="14"/>
                <w:szCs w:val="14"/>
              </w:rPr>
              <w:t>.</w:t>
            </w:r>
            <w:r>
              <w:rPr>
                <w:bCs/>
                <w:color w:val="000000"/>
                <w:sz w:val="14"/>
                <w:szCs w:val="14"/>
              </w:rPr>
              <w:t>08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F7D519"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B71E6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168593"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w:t>
            </w:r>
            <w:r>
              <w:rPr>
                <w:bCs/>
                <w:color w:val="000000"/>
                <w:sz w:val="14"/>
                <w:szCs w:val="14"/>
              </w:rPr>
              <w:t>49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0F33BE"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82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40C39B"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86</w:t>
            </w:r>
          </w:p>
        </w:tc>
      </w:tr>
      <w:tr w:rsidR="0045210A" w:rsidRPr="00A47C46" w14:paraId="5E69CEAA"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C9EADD"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4418B1"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743A9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F93355"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0</w:t>
            </w:r>
            <w:r w:rsidRPr="00A87997">
              <w:rPr>
                <w:bCs/>
                <w:color w:val="000000"/>
                <w:sz w:val="14"/>
                <w:szCs w:val="14"/>
              </w:rPr>
              <w:t>.</w:t>
            </w:r>
            <w:r>
              <w:rPr>
                <w:bCs/>
                <w:color w:val="000000"/>
                <w:sz w:val="14"/>
                <w:szCs w:val="14"/>
              </w:rPr>
              <w:t>20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333AB8"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2</w:t>
            </w:r>
            <w:r w:rsidRPr="00A87997">
              <w:rPr>
                <w:bCs/>
                <w:color w:val="000000"/>
                <w:sz w:val="14"/>
                <w:szCs w:val="14"/>
              </w:rPr>
              <w:t>.</w:t>
            </w:r>
            <w:r>
              <w:rPr>
                <w:bCs/>
                <w:color w:val="000000"/>
                <w:sz w:val="14"/>
                <w:szCs w:val="14"/>
              </w:rPr>
              <w:t>38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605B7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w:t>
            </w:r>
            <w:r w:rsidRPr="00A87997">
              <w:rPr>
                <w:bCs/>
                <w:color w:val="000000"/>
                <w:sz w:val="14"/>
                <w:szCs w:val="14"/>
              </w:rPr>
              <w:t>.</w:t>
            </w:r>
            <w:r>
              <w:rPr>
                <w:bCs/>
                <w:color w:val="000000"/>
                <w:sz w:val="14"/>
                <w:szCs w:val="14"/>
              </w:rPr>
              <w:t>45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A1CE0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1</w:t>
            </w:r>
            <w:r w:rsidRPr="00A87997">
              <w:rPr>
                <w:bCs/>
                <w:color w:val="000000"/>
                <w:sz w:val="14"/>
                <w:szCs w:val="14"/>
              </w:rPr>
              <w:t>.</w:t>
            </w:r>
            <w:r>
              <w:rPr>
                <w:bCs/>
                <w:color w:val="000000"/>
                <w:sz w:val="14"/>
                <w:szCs w:val="14"/>
              </w:rPr>
              <w:t>49</w:t>
            </w:r>
          </w:p>
        </w:tc>
      </w:tr>
      <w:tr w:rsidR="0045210A" w:rsidRPr="00A47C46" w14:paraId="76A6C881"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C2A2DB8"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28BD25"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w:t>
            </w:r>
            <w:r w:rsidRPr="00A87997">
              <w:rPr>
                <w:bCs/>
                <w:color w:val="000000"/>
                <w:sz w:val="14"/>
                <w:szCs w:val="14"/>
              </w:rPr>
              <w:t>0.</w:t>
            </w:r>
            <w:r>
              <w:rPr>
                <w:bCs/>
                <w:color w:val="000000"/>
                <w:sz w:val="14"/>
                <w:szCs w:val="14"/>
              </w:rPr>
              <w:t>30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ECEAF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-0.0</w:t>
            </w:r>
            <w:r>
              <w:rPr>
                <w:bCs/>
                <w:color w:val="000000"/>
                <w:sz w:val="14"/>
                <w:szCs w:val="14"/>
              </w:rPr>
              <w:t>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FFCEB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07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AB18E7"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6</w:t>
            </w:r>
            <w:r w:rsidRPr="00A87997">
              <w:rPr>
                <w:bCs/>
                <w:color w:val="000000"/>
                <w:sz w:val="14"/>
                <w:szCs w:val="14"/>
              </w:rPr>
              <w:t>.</w:t>
            </w:r>
            <w:r>
              <w:rPr>
                <w:bCs/>
                <w:color w:val="000000"/>
                <w:sz w:val="14"/>
                <w:szCs w:val="14"/>
              </w:rPr>
              <w:t>79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E733A8"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38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B5706D"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51</w:t>
            </w:r>
          </w:p>
        </w:tc>
      </w:tr>
      <w:tr w:rsidR="0045210A" w:rsidRPr="00A47C46" w14:paraId="476DBEC8"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6704EE"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351945"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0.2</w:t>
            </w:r>
            <w:r>
              <w:rPr>
                <w:bCs/>
                <w:color w:val="000000"/>
                <w:sz w:val="14"/>
                <w:szCs w:val="14"/>
              </w:rPr>
              <w:t>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173AD0"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383A18"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24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19805C"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3</w:t>
            </w:r>
            <w:r w:rsidRPr="00A87997">
              <w:rPr>
                <w:bCs/>
                <w:color w:val="000000"/>
                <w:sz w:val="14"/>
                <w:szCs w:val="14"/>
              </w:rPr>
              <w:t>.</w:t>
            </w:r>
            <w:r>
              <w:rPr>
                <w:bCs/>
                <w:color w:val="000000"/>
                <w:sz w:val="14"/>
                <w:szCs w:val="14"/>
              </w:rPr>
              <w:t>27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5E3ADE"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3.</w:t>
            </w:r>
            <w:r>
              <w:rPr>
                <w:bCs/>
                <w:color w:val="000000"/>
                <w:sz w:val="14"/>
                <w:szCs w:val="14"/>
              </w:rPr>
              <w:t>20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050A6C"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3.</w:t>
            </w:r>
            <w:r>
              <w:rPr>
                <w:bCs/>
                <w:color w:val="000000"/>
                <w:sz w:val="14"/>
                <w:szCs w:val="14"/>
              </w:rPr>
              <w:t>21</w:t>
            </w:r>
          </w:p>
        </w:tc>
      </w:tr>
      <w:tr w:rsidR="0045210A" w:rsidRPr="00A47C46" w14:paraId="30668F35" w14:textId="77777777" w:rsidTr="00E23DB8">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3CC78F"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C0AF0A"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w:t>
            </w:r>
            <w:r w:rsidRPr="00A87997">
              <w:rPr>
                <w:bCs/>
                <w:color w:val="000000"/>
                <w:sz w:val="14"/>
                <w:szCs w:val="14"/>
              </w:rPr>
              <w:t>0.</w:t>
            </w:r>
            <w:r>
              <w:rPr>
                <w:bCs/>
                <w:color w:val="000000"/>
                <w:sz w:val="14"/>
                <w:szCs w:val="14"/>
              </w:rPr>
              <w:t>13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07D04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36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3CEE042"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36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7E05FE"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8</w:t>
            </w:r>
            <w:r w:rsidRPr="00A87997">
              <w:rPr>
                <w:bCs/>
                <w:color w:val="000000"/>
                <w:sz w:val="14"/>
                <w:szCs w:val="14"/>
              </w:rPr>
              <w:t>.</w:t>
            </w:r>
            <w:r>
              <w:rPr>
                <w:bCs/>
                <w:color w:val="000000"/>
                <w:sz w:val="14"/>
                <w:szCs w:val="14"/>
              </w:rPr>
              <w:t>54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B895B9"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8.</w:t>
            </w:r>
            <w:r>
              <w:rPr>
                <w:bCs/>
                <w:color w:val="000000"/>
                <w:sz w:val="14"/>
                <w:szCs w:val="14"/>
              </w:rPr>
              <w:t>63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54B9BE"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8.</w:t>
            </w:r>
            <w:r>
              <w:rPr>
                <w:bCs/>
                <w:color w:val="000000"/>
                <w:sz w:val="14"/>
                <w:szCs w:val="14"/>
              </w:rPr>
              <w:t>63</w:t>
            </w:r>
          </w:p>
        </w:tc>
      </w:tr>
      <w:tr w:rsidR="0045210A" w:rsidRPr="00A47C46" w14:paraId="441BA58A" w14:textId="77777777" w:rsidTr="00E23DB8">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990AE48" w14:textId="77777777" w:rsidR="0045210A" w:rsidRPr="00841586" w:rsidRDefault="0045210A" w:rsidP="0045210A">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6E7AEBAD"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14</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7CB03EC9"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10659770" w14:textId="77777777" w:rsidR="0045210A" w:rsidRPr="00A87997" w:rsidRDefault="0045210A" w:rsidP="00E23DB8">
            <w:pPr>
              <w:widowControl w:val="0"/>
              <w:ind w:right="227"/>
              <w:contextualSpacing/>
              <w:jc w:val="right"/>
              <w:rPr>
                <w:bCs/>
                <w:color w:val="000000"/>
                <w:sz w:val="14"/>
                <w:szCs w:val="14"/>
              </w:rPr>
            </w:pPr>
            <w:r w:rsidRPr="00A87997">
              <w:rPr>
                <w:bCs/>
                <w:color w:val="000000"/>
                <w:sz w:val="14"/>
                <w:szCs w:val="14"/>
              </w:rPr>
              <w:t>0.</w:t>
            </w:r>
            <w:r>
              <w:rPr>
                <w:bCs/>
                <w:color w:val="000000"/>
                <w:sz w:val="14"/>
                <w:szCs w:val="14"/>
              </w:rPr>
              <w:t>12</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246F6540"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7</w:t>
            </w:r>
            <w:r w:rsidRPr="00A87997">
              <w:rPr>
                <w:bCs/>
                <w:color w:val="000000"/>
                <w:sz w:val="14"/>
                <w:szCs w:val="14"/>
              </w:rPr>
              <w:t>.2</w:t>
            </w:r>
            <w:r>
              <w:rPr>
                <w:bCs/>
                <w:color w:val="000000"/>
                <w:sz w:val="14"/>
                <w:szCs w:val="14"/>
              </w:rPr>
              <w:t>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608C1F9D"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4</w:t>
            </w:r>
            <w:r w:rsidRPr="00A87997">
              <w:rPr>
                <w:bCs/>
                <w:color w:val="000000"/>
                <w:sz w:val="14"/>
                <w:szCs w:val="14"/>
              </w:rPr>
              <w:t>.</w:t>
            </w:r>
            <w:r>
              <w:rPr>
                <w:bCs/>
                <w:color w:val="000000"/>
                <w:sz w:val="14"/>
                <w:szCs w:val="14"/>
              </w:rPr>
              <w:t>84</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AA5C24B" w14:textId="77777777" w:rsidR="0045210A" w:rsidRPr="00A87997" w:rsidRDefault="0045210A" w:rsidP="00E23DB8">
            <w:pPr>
              <w:widowControl w:val="0"/>
              <w:ind w:right="227"/>
              <w:contextualSpacing/>
              <w:jc w:val="right"/>
              <w:rPr>
                <w:bCs/>
                <w:color w:val="000000"/>
                <w:sz w:val="14"/>
                <w:szCs w:val="14"/>
              </w:rPr>
            </w:pPr>
            <w:r>
              <w:rPr>
                <w:bCs/>
                <w:color w:val="000000"/>
                <w:sz w:val="14"/>
                <w:szCs w:val="14"/>
              </w:rPr>
              <w:t>5</w:t>
            </w:r>
            <w:r w:rsidRPr="00A87997">
              <w:rPr>
                <w:bCs/>
                <w:color w:val="000000"/>
                <w:sz w:val="14"/>
                <w:szCs w:val="14"/>
              </w:rPr>
              <w:t>.</w:t>
            </w:r>
            <w:r>
              <w:rPr>
                <w:bCs/>
                <w:color w:val="000000"/>
                <w:sz w:val="14"/>
                <w:szCs w:val="14"/>
              </w:rPr>
              <w:t>02</w:t>
            </w:r>
          </w:p>
        </w:tc>
      </w:tr>
    </w:tbl>
    <w:bookmarkEnd w:id="6"/>
    <w:p w14:paraId="3983F2EB"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23114">
        <w:rPr>
          <w:color w:val="000000"/>
          <w:sz w:val="14"/>
          <w:szCs w:val="14"/>
        </w:rPr>
        <w:t>INEGI</w:t>
      </w:r>
      <w:r w:rsidRPr="00EA1643">
        <w:rPr>
          <w:snapToGrid w:val="0"/>
          <w:sz w:val="14"/>
          <w:szCs w:val="14"/>
          <w:u w:val="single"/>
        </w:rPr>
        <w:t xml:space="preserve"> </w:t>
      </w:r>
    </w:p>
    <w:p w14:paraId="160AE5C9" w14:textId="77777777" w:rsidR="004D5C5B" w:rsidRPr="006024AB" w:rsidRDefault="004D5C5B" w:rsidP="0058559A">
      <w:pPr>
        <w:pStyle w:val="n01"/>
        <w:keepNext/>
        <w:spacing w:before="60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t</w:t>
      </w:r>
      <w:r w:rsidRPr="006024AB">
        <w:rPr>
          <w:rFonts w:ascii="Arial" w:hAnsi="Arial"/>
          <w:b/>
          <w:snapToGrid w:val="0"/>
          <w:color w:val="000000"/>
        </w:rPr>
        <w:t>erciarias</w:t>
      </w:r>
    </w:p>
    <w:p w14:paraId="3B1DFD47" w14:textId="42CC1EF8" w:rsidR="004D5C5B" w:rsidRDefault="00116AF0" w:rsidP="00BD06D7">
      <w:pPr>
        <w:autoSpaceDE w:val="0"/>
        <w:autoSpaceDN w:val="0"/>
        <w:adjustRightInd w:val="0"/>
        <w:spacing w:before="280"/>
      </w:pPr>
      <w:r w:rsidRPr="00116AF0">
        <w:t>Durante octubre de 2022, los precios de las actividades terciarias crecieron 0.20 % a tasa mensual. El sector Servicios de alojamiento temporal y de preparación de alimentos y bebidas presentó la variación más significativa en sus precios:</w:t>
      </w:r>
      <w:r w:rsidR="004166F6">
        <w:t xml:space="preserve"> incrementó</w:t>
      </w:r>
      <w:r w:rsidRPr="00116AF0">
        <w:t xml:space="preserve"> 0.94</w:t>
      </w:r>
      <w:r w:rsidR="004166F6">
        <w:t xml:space="preserve"> % a tasa mensual. </w:t>
      </w:r>
    </w:p>
    <w:p w14:paraId="088A5B8C" w14:textId="77777777" w:rsidR="00B55ECD" w:rsidRDefault="00B55ECD">
      <w:pPr>
        <w:jc w:val="left"/>
        <w:rPr>
          <w:b/>
          <w:snapToGrid w:val="0"/>
          <w:u w:val="single"/>
        </w:rPr>
      </w:pPr>
      <w:r>
        <w:rPr>
          <w:b/>
          <w:snapToGrid w:val="0"/>
          <w:u w:val="single"/>
        </w:rPr>
        <w:br w:type="page"/>
      </w:r>
    </w:p>
    <w:p w14:paraId="3EE6B9AA" w14:textId="77777777" w:rsidR="004D5C5B" w:rsidRPr="007D6777" w:rsidRDefault="0098031E" w:rsidP="00DE319E">
      <w:pPr>
        <w:keepNext/>
        <w:autoSpaceDE w:val="0"/>
        <w:autoSpaceDN w:val="0"/>
        <w:adjustRightInd w:val="0"/>
        <w:spacing w:before="240"/>
        <w:rPr>
          <w:b/>
          <w:iCs/>
          <w:smallCaps/>
          <w:snapToGrid w:val="0"/>
        </w:rPr>
      </w:pPr>
      <w:r w:rsidRPr="007D6777">
        <w:rPr>
          <w:b/>
          <w:iCs/>
          <w:smallCaps/>
          <w:snapToGrid w:val="0"/>
        </w:rPr>
        <w:lastRenderedPageBreak/>
        <w:t>Índice Nacional de Precios Productor</w:t>
      </w:r>
      <w:r w:rsidR="00030F2F" w:rsidRPr="007D6777">
        <w:rPr>
          <w:b/>
          <w:iCs/>
          <w:smallCaps/>
          <w:snapToGrid w:val="0"/>
        </w:rPr>
        <w:t xml:space="preserve"> </w:t>
      </w:r>
      <w:r w:rsidR="0043274D" w:rsidRPr="007D6777">
        <w:rPr>
          <w:b/>
          <w:iCs/>
          <w:smallCaps/>
          <w:snapToGrid w:val="0"/>
        </w:rPr>
        <w:t>de bienes intermedios</w:t>
      </w:r>
    </w:p>
    <w:p w14:paraId="0C3D2EFB" w14:textId="69EFC945" w:rsidR="00832CCE" w:rsidRPr="00832CCE" w:rsidRDefault="00832CCE" w:rsidP="00832CCE">
      <w:pPr>
        <w:autoSpaceDE w:val="0"/>
        <w:autoSpaceDN w:val="0"/>
        <w:adjustRightInd w:val="0"/>
        <w:spacing w:before="280"/>
        <w:rPr>
          <w:snapToGrid w:val="0"/>
        </w:rPr>
      </w:pPr>
      <w:r w:rsidRPr="00832CCE">
        <w:rPr>
          <w:snapToGrid w:val="0"/>
        </w:rPr>
        <w:t>En el décimo mes de 2022, el Índice de Mercancías y Servicios de Uso Intermedio, incluyendo petróleo, bajó 0.91 % a tasa mensual y aumentó 6.91 % a tasa anual.</w:t>
      </w:r>
    </w:p>
    <w:p w14:paraId="68776EC1" w14:textId="7525533E" w:rsidR="004D5C5B" w:rsidRDefault="00832CCE" w:rsidP="00832CCE">
      <w:pPr>
        <w:autoSpaceDE w:val="0"/>
        <w:autoSpaceDN w:val="0"/>
        <w:adjustRightInd w:val="0"/>
        <w:spacing w:before="280"/>
        <w:rPr>
          <w:snapToGrid w:val="0"/>
        </w:rPr>
      </w:pPr>
      <w:r w:rsidRPr="00832CCE">
        <w:rPr>
          <w:snapToGrid w:val="0"/>
        </w:rPr>
        <w:t xml:space="preserve">Por grandes grupos de actividades económicas, los precios de las actividades primarias disminuyeron 0.43 % a tasa mensual y crecieron 14.03 % anual. Los de actividades secundarias </w:t>
      </w:r>
      <w:r>
        <w:rPr>
          <w:snapToGrid w:val="0"/>
        </w:rPr>
        <w:t>descendie</w:t>
      </w:r>
      <w:r w:rsidRPr="00832CCE">
        <w:rPr>
          <w:snapToGrid w:val="0"/>
        </w:rPr>
        <w:t xml:space="preserve">ron </w:t>
      </w:r>
      <w:r>
        <w:rPr>
          <w:snapToGrid w:val="0"/>
        </w:rPr>
        <w:t>1.55 </w:t>
      </w:r>
      <w:r w:rsidRPr="00832CCE">
        <w:rPr>
          <w:snapToGrid w:val="0"/>
        </w:rPr>
        <w:t xml:space="preserve">% mensual y subieron 6.68 % a tasa anual y los de actividades terciarias </w:t>
      </w:r>
      <w:r>
        <w:rPr>
          <w:snapToGrid w:val="0"/>
        </w:rPr>
        <w:t>incrementar</w:t>
      </w:r>
      <w:r w:rsidRPr="00832CCE">
        <w:rPr>
          <w:snapToGrid w:val="0"/>
        </w:rPr>
        <w:t>on 0.18</w:t>
      </w:r>
      <w:r>
        <w:rPr>
          <w:snapToGrid w:val="0"/>
        </w:rPr>
        <w:t> </w:t>
      </w:r>
      <w:r w:rsidRPr="00832CCE">
        <w:rPr>
          <w:snapToGrid w:val="0"/>
        </w:rPr>
        <w:t>% a tasa mensual y 5.07</w:t>
      </w:r>
      <w:r>
        <w:rPr>
          <w:snapToGrid w:val="0"/>
        </w:rPr>
        <w:t> </w:t>
      </w:r>
      <w:r w:rsidRPr="00832CCE">
        <w:rPr>
          <w:snapToGrid w:val="0"/>
        </w:rPr>
        <w:t>% anual</w:t>
      </w:r>
      <w:r w:rsidR="0070303F" w:rsidRPr="0070303F">
        <w:rPr>
          <w:snapToGrid w:val="0"/>
        </w:rPr>
        <w:t>.</w:t>
      </w:r>
      <w:r w:rsidR="004D5C5B">
        <w:rPr>
          <w:snapToGrid w:val="0"/>
        </w:rPr>
        <w:t xml:space="preserve"> </w:t>
      </w:r>
    </w:p>
    <w:p w14:paraId="48E0C458" w14:textId="77777777"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71D942D3"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36E59735"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de uso intermedio,</w:t>
      </w:r>
    </w:p>
    <w:p w14:paraId="20E69E27"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4A4E0619" w14:textId="1D816204"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832CCE">
        <w:rPr>
          <w:snapToGrid w:val="0"/>
          <w:sz w:val="18"/>
          <w:szCs w:val="18"/>
        </w:rPr>
        <w:t>octu</w:t>
      </w:r>
      <w:r w:rsidR="00A80BCE">
        <w:rPr>
          <w:snapToGrid w:val="0"/>
          <w:sz w:val="18"/>
          <w:szCs w:val="18"/>
        </w:rPr>
        <w:t>bre</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45210A" w:rsidRPr="00A9663B" w14:paraId="438D2BA8" w14:textId="77777777" w:rsidTr="00E23DB8">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818A62D" w14:textId="77777777" w:rsidR="0045210A" w:rsidRPr="00A9663B" w:rsidRDefault="0045210A" w:rsidP="00E23DB8">
            <w:pPr>
              <w:autoSpaceDE w:val="0"/>
              <w:autoSpaceDN w:val="0"/>
              <w:adjustRightInd w:val="0"/>
              <w:ind w:left="227"/>
              <w:rPr>
                <w:bCs/>
                <w:color w:val="000000"/>
                <w:sz w:val="16"/>
                <w:szCs w:val="16"/>
                <w:lang w:eastAsia="es-MX"/>
              </w:rPr>
            </w:pPr>
            <w:bookmarkStart w:id="7"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64AC0654" w14:textId="77777777" w:rsidR="0045210A" w:rsidRPr="00A9663B" w:rsidRDefault="0045210A" w:rsidP="00E23DB8">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67BB9A1" w14:textId="77777777" w:rsidR="0045210A" w:rsidRPr="00A9663B" w:rsidRDefault="0045210A" w:rsidP="00E23DB8">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45210A" w:rsidRPr="00A9663B" w14:paraId="06D14388" w14:textId="77777777" w:rsidTr="00E23DB8">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19D0A187" w14:textId="77777777" w:rsidR="0045210A" w:rsidRPr="00A9663B" w:rsidRDefault="0045210A" w:rsidP="00E23DB8">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73D1752E" w14:textId="77777777" w:rsidR="0045210A" w:rsidRPr="00A9663B" w:rsidRDefault="0045210A" w:rsidP="00E23DB8">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5896E4E" w14:textId="77777777" w:rsidR="0045210A" w:rsidRPr="00A9663B" w:rsidRDefault="0045210A" w:rsidP="00E23DB8">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4598545" w14:textId="77777777" w:rsidR="0045210A" w:rsidRPr="00A9663B" w:rsidRDefault="0045210A" w:rsidP="00E23DB8">
            <w:pPr>
              <w:jc w:val="center"/>
              <w:rPr>
                <w:bCs/>
                <w:color w:val="000000"/>
                <w:sz w:val="16"/>
                <w:szCs w:val="16"/>
              </w:rPr>
            </w:pPr>
            <w:r>
              <w:rPr>
                <w:bCs/>
                <w:color w:val="000000"/>
                <w:sz w:val="16"/>
                <w:szCs w:val="16"/>
              </w:rPr>
              <w:t>2022</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95A873A" w14:textId="77777777" w:rsidR="0045210A" w:rsidRPr="00A9663B" w:rsidRDefault="0045210A" w:rsidP="00E23DB8">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10289C5" w14:textId="77777777" w:rsidR="0045210A" w:rsidRPr="00A9663B" w:rsidRDefault="0045210A" w:rsidP="00E23DB8">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96C3245" w14:textId="77777777" w:rsidR="0045210A" w:rsidRPr="00A9663B" w:rsidRDefault="0045210A" w:rsidP="00E23DB8">
            <w:pPr>
              <w:jc w:val="center"/>
              <w:rPr>
                <w:bCs/>
                <w:color w:val="000000"/>
                <w:sz w:val="16"/>
                <w:szCs w:val="16"/>
              </w:rPr>
            </w:pPr>
            <w:r>
              <w:rPr>
                <w:bCs/>
                <w:color w:val="000000"/>
                <w:sz w:val="16"/>
                <w:szCs w:val="16"/>
              </w:rPr>
              <w:t>2022</w:t>
            </w:r>
          </w:p>
        </w:tc>
      </w:tr>
      <w:tr w:rsidR="0045210A" w:rsidRPr="00841586" w14:paraId="5DD89F68" w14:textId="77777777" w:rsidTr="00E23DB8">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518704E" w14:textId="614D27AA" w:rsidR="0045210A" w:rsidRPr="00841586" w:rsidRDefault="0045210A" w:rsidP="0045210A">
            <w:pPr>
              <w:jc w:val="left"/>
              <w:rPr>
                <w:b/>
                <w:bCs/>
                <w:color w:val="000000"/>
                <w:sz w:val="14"/>
                <w:szCs w:val="14"/>
                <w:lang w:eastAsia="es-MX"/>
              </w:rPr>
            </w:pPr>
            <w:r w:rsidRPr="00841586">
              <w:rPr>
                <w:b/>
                <w:bCs/>
                <w:color w:val="000000"/>
                <w:sz w:val="14"/>
                <w:szCs w:val="14"/>
                <w:lang w:eastAsia="es-MX"/>
              </w:rPr>
              <w:t xml:space="preserve">Índice </w:t>
            </w:r>
            <w:r w:rsidR="00952BDF">
              <w:rPr>
                <w:b/>
                <w:bCs/>
                <w:color w:val="000000"/>
                <w:sz w:val="14"/>
                <w:szCs w:val="14"/>
                <w:lang w:eastAsia="es-MX"/>
              </w:rPr>
              <w:t>g</w:t>
            </w:r>
            <w:r w:rsidR="00952BDF" w:rsidRPr="00841586">
              <w:rPr>
                <w:b/>
                <w:bCs/>
                <w:color w:val="000000"/>
                <w:sz w:val="14"/>
                <w:szCs w:val="14"/>
                <w:lang w:eastAsia="es-MX"/>
              </w:rPr>
              <w:t xml:space="preserve">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35992725"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07</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F7F82DE" w14:textId="77777777" w:rsidR="0045210A" w:rsidRPr="00BF1A56" w:rsidRDefault="0045210A" w:rsidP="00E23DB8">
            <w:pPr>
              <w:ind w:right="227"/>
              <w:jc w:val="right"/>
              <w:rPr>
                <w:b/>
                <w:bCs/>
                <w:sz w:val="14"/>
                <w:szCs w:val="14"/>
              </w:rPr>
            </w:pPr>
            <w:r>
              <w:rPr>
                <w:b/>
                <w:bCs/>
                <w:sz w:val="14"/>
                <w:szCs w:val="14"/>
              </w:rPr>
              <w:t>1</w:t>
            </w:r>
            <w:r w:rsidRPr="00725B2F">
              <w:rPr>
                <w:b/>
                <w:bCs/>
                <w:sz w:val="14"/>
                <w:szCs w:val="14"/>
              </w:rPr>
              <w:t>.</w:t>
            </w:r>
            <w:r>
              <w:rPr>
                <w:b/>
                <w:bCs/>
                <w:sz w:val="14"/>
                <w:szCs w:val="14"/>
              </w:rPr>
              <w:t>86</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9CC62FA"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91</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0FDF2FA" w14:textId="77777777" w:rsidR="0045210A" w:rsidRPr="00BF1A56" w:rsidRDefault="0045210A" w:rsidP="00E23DB8">
            <w:pPr>
              <w:ind w:right="227"/>
              <w:jc w:val="right"/>
              <w:rPr>
                <w:b/>
                <w:bCs/>
                <w:sz w:val="14"/>
                <w:szCs w:val="14"/>
              </w:rPr>
            </w:pPr>
            <w:r>
              <w:rPr>
                <w:b/>
                <w:bCs/>
                <w:sz w:val="14"/>
                <w:szCs w:val="14"/>
              </w:rPr>
              <w:t>3</w:t>
            </w:r>
            <w:r w:rsidRPr="00725B2F">
              <w:rPr>
                <w:b/>
                <w:bCs/>
                <w:sz w:val="14"/>
                <w:szCs w:val="14"/>
              </w:rPr>
              <w:t>.4</w:t>
            </w:r>
            <w:r>
              <w:rPr>
                <w:b/>
                <w:bCs/>
                <w:sz w:val="14"/>
                <w:szCs w:val="14"/>
              </w:rPr>
              <w:t>4</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95F38B7"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2</w:t>
            </w:r>
            <w:r w:rsidRPr="00725B2F">
              <w:rPr>
                <w:b/>
                <w:bCs/>
                <w:sz w:val="14"/>
                <w:szCs w:val="14"/>
              </w:rPr>
              <w:t>.</w:t>
            </w:r>
            <w:r>
              <w:rPr>
                <w:b/>
                <w:bCs/>
                <w:sz w:val="14"/>
                <w:szCs w:val="14"/>
              </w:rPr>
              <w:t>29</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50F7A6E" w14:textId="77777777" w:rsidR="0045210A" w:rsidRPr="00BF1A56" w:rsidRDefault="0045210A" w:rsidP="00E23DB8">
            <w:pPr>
              <w:ind w:right="227"/>
              <w:jc w:val="right"/>
              <w:rPr>
                <w:b/>
                <w:bCs/>
                <w:sz w:val="14"/>
                <w:szCs w:val="14"/>
              </w:rPr>
            </w:pPr>
            <w:r>
              <w:rPr>
                <w:b/>
                <w:bCs/>
                <w:sz w:val="14"/>
                <w:szCs w:val="14"/>
              </w:rPr>
              <w:t>6</w:t>
            </w:r>
            <w:r w:rsidRPr="00725B2F">
              <w:rPr>
                <w:b/>
                <w:bCs/>
                <w:sz w:val="14"/>
                <w:szCs w:val="14"/>
              </w:rPr>
              <w:t>.</w:t>
            </w:r>
            <w:r>
              <w:rPr>
                <w:b/>
                <w:bCs/>
                <w:sz w:val="14"/>
                <w:szCs w:val="14"/>
              </w:rPr>
              <w:t>91</w:t>
            </w:r>
          </w:p>
        </w:tc>
      </w:tr>
      <w:tr w:rsidR="0045210A" w:rsidRPr="00841586" w14:paraId="4181BAFE" w14:textId="77777777" w:rsidTr="00E23DB8">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6843A1"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6CF75213" w14:textId="77777777" w:rsidR="0045210A" w:rsidRPr="00BF1A56" w:rsidRDefault="0045210A" w:rsidP="00E23DB8">
            <w:pPr>
              <w:ind w:right="227"/>
              <w:jc w:val="right"/>
              <w:rPr>
                <w:b/>
                <w:bCs/>
                <w:sz w:val="14"/>
                <w:szCs w:val="14"/>
              </w:rPr>
            </w:pPr>
            <w:r w:rsidRPr="00725B2F">
              <w:rPr>
                <w:b/>
                <w:bCs/>
                <w:sz w:val="14"/>
                <w:szCs w:val="14"/>
              </w:rPr>
              <w:t>0.1</w:t>
            </w:r>
            <w:r>
              <w:rPr>
                <w:b/>
                <w:bCs/>
                <w:sz w:val="14"/>
                <w:szCs w:val="14"/>
              </w:rPr>
              <w:t>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1493E4"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76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7A8EBC" w14:textId="77777777" w:rsidR="0045210A" w:rsidRPr="00BF1A56" w:rsidRDefault="0045210A" w:rsidP="00E23DB8">
            <w:pPr>
              <w:ind w:right="227"/>
              <w:jc w:val="right"/>
              <w:rPr>
                <w:b/>
                <w:bCs/>
                <w:sz w:val="14"/>
                <w:szCs w:val="14"/>
              </w:rPr>
            </w:pPr>
            <w:r>
              <w:rPr>
                <w:b/>
                <w:bCs/>
                <w:sz w:val="14"/>
                <w:szCs w:val="14"/>
              </w:rPr>
              <w:t>-</w:t>
            </w:r>
            <w:r w:rsidRPr="00725B2F">
              <w:rPr>
                <w:b/>
                <w:bCs/>
                <w:sz w:val="14"/>
                <w:szCs w:val="14"/>
              </w:rPr>
              <w:t>0.</w:t>
            </w:r>
            <w:r>
              <w:rPr>
                <w:b/>
                <w:bCs/>
                <w:sz w:val="14"/>
                <w:szCs w:val="14"/>
              </w:rPr>
              <w:t>43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7C29445" w14:textId="77777777" w:rsidR="0045210A" w:rsidRPr="00BF1A56" w:rsidRDefault="0045210A" w:rsidP="00E23DB8">
            <w:pPr>
              <w:ind w:right="227"/>
              <w:jc w:val="right"/>
              <w:rPr>
                <w:b/>
                <w:bCs/>
                <w:sz w:val="14"/>
                <w:szCs w:val="14"/>
              </w:rPr>
            </w:pPr>
            <w:r>
              <w:rPr>
                <w:b/>
                <w:bCs/>
                <w:sz w:val="14"/>
                <w:szCs w:val="14"/>
              </w:rPr>
              <w:t>6</w:t>
            </w:r>
            <w:r w:rsidRPr="00725B2F">
              <w:rPr>
                <w:b/>
                <w:bCs/>
                <w:sz w:val="14"/>
                <w:szCs w:val="14"/>
              </w:rPr>
              <w:t>.</w:t>
            </w:r>
            <w:r>
              <w:rPr>
                <w:b/>
                <w:bCs/>
                <w:sz w:val="14"/>
                <w:szCs w:val="14"/>
              </w:rPr>
              <w:t>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BEE9F8"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0</w:t>
            </w:r>
            <w:r w:rsidRPr="00725B2F">
              <w:rPr>
                <w:b/>
                <w:bCs/>
                <w:sz w:val="14"/>
                <w:szCs w:val="14"/>
              </w:rPr>
              <w:t>.2</w:t>
            </w:r>
            <w:r>
              <w:rPr>
                <w:b/>
                <w:bCs/>
                <w:sz w:val="14"/>
                <w:szCs w:val="14"/>
              </w:rPr>
              <w:t>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228CD6"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4</w:t>
            </w:r>
            <w:r w:rsidRPr="00725B2F">
              <w:rPr>
                <w:b/>
                <w:bCs/>
                <w:sz w:val="14"/>
                <w:szCs w:val="14"/>
              </w:rPr>
              <w:t>.</w:t>
            </w:r>
            <w:r>
              <w:rPr>
                <w:b/>
                <w:bCs/>
                <w:sz w:val="14"/>
                <w:szCs w:val="14"/>
              </w:rPr>
              <w:t>03</w:t>
            </w:r>
          </w:p>
        </w:tc>
      </w:tr>
      <w:tr w:rsidR="0045210A" w:rsidRPr="00841586" w14:paraId="11E53319" w14:textId="77777777" w:rsidTr="00E23DB8">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8EF8687"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808C43C" w14:textId="77777777" w:rsidR="0045210A" w:rsidRPr="00BF1A56" w:rsidRDefault="0045210A" w:rsidP="00E23DB8">
            <w:pPr>
              <w:ind w:right="227"/>
              <w:jc w:val="right"/>
              <w:rPr>
                <w:b/>
                <w:bCs/>
                <w:sz w:val="14"/>
                <w:szCs w:val="14"/>
              </w:rPr>
            </w:pPr>
            <w:r w:rsidRPr="00725B2F">
              <w:rPr>
                <w:b/>
                <w:bCs/>
                <w:sz w:val="14"/>
                <w:szCs w:val="14"/>
              </w:rPr>
              <w:t>-</w:t>
            </w:r>
            <w:r>
              <w:rPr>
                <w:b/>
                <w:bCs/>
                <w:sz w:val="14"/>
                <w:szCs w:val="14"/>
              </w:rPr>
              <w:t>0</w:t>
            </w:r>
            <w:r w:rsidRPr="00725B2F">
              <w:rPr>
                <w:b/>
                <w:bCs/>
                <w:sz w:val="14"/>
                <w:szCs w:val="14"/>
              </w:rPr>
              <w:t>.</w:t>
            </w:r>
            <w:r>
              <w:rPr>
                <w:b/>
                <w:bCs/>
                <w:sz w:val="14"/>
                <w:szCs w:val="14"/>
              </w:rPr>
              <w:t>17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5CE772" w14:textId="77777777" w:rsidR="0045210A" w:rsidRPr="00BF1A56" w:rsidRDefault="0045210A" w:rsidP="00E23DB8">
            <w:pPr>
              <w:ind w:right="227"/>
              <w:jc w:val="right"/>
              <w:rPr>
                <w:b/>
                <w:bCs/>
                <w:sz w:val="14"/>
                <w:szCs w:val="14"/>
              </w:rPr>
            </w:pPr>
            <w:r>
              <w:rPr>
                <w:b/>
                <w:bCs/>
                <w:sz w:val="14"/>
                <w:szCs w:val="14"/>
              </w:rPr>
              <w:t>3</w:t>
            </w:r>
            <w:r w:rsidRPr="00725B2F">
              <w:rPr>
                <w:b/>
                <w:bCs/>
                <w:sz w:val="14"/>
                <w:szCs w:val="14"/>
              </w:rPr>
              <w:t>.</w:t>
            </w:r>
            <w:r>
              <w:rPr>
                <w:b/>
                <w:bCs/>
                <w:sz w:val="14"/>
                <w:szCs w:val="14"/>
              </w:rPr>
              <w:t>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27DC5A"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55</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3D3DAA" w14:textId="77777777" w:rsidR="0045210A" w:rsidRPr="00BF1A56" w:rsidRDefault="0045210A" w:rsidP="00E23DB8">
            <w:pPr>
              <w:ind w:right="227"/>
              <w:jc w:val="right"/>
              <w:rPr>
                <w:b/>
                <w:bCs/>
                <w:sz w:val="14"/>
                <w:szCs w:val="14"/>
              </w:rPr>
            </w:pPr>
            <w:r>
              <w:rPr>
                <w:b/>
                <w:bCs/>
                <w:sz w:val="14"/>
                <w:szCs w:val="14"/>
              </w:rPr>
              <w:t>3</w:t>
            </w:r>
            <w:r w:rsidRPr="00725B2F">
              <w:rPr>
                <w:b/>
                <w:bCs/>
                <w:sz w:val="14"/>
                <w:szCs w:val="14"/>
              </w:rPr>
              <w:t>.</w:t>
            </w:r>
            <w:r>
              <w:rPr>
                <w:b/>
                <w:bCs/>
                <w:sz w:val="14"/>
                <w:szCs w:val="14"/>
              </w:rPr>
              <w:t>41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A737BD9"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9</w:t>
            </w:r>
            <w:r w:rsidRPr="00725B2F">
              <w:rPr>
                <w:b/>
                <w:bCs/>
                <w:sz w:val="14"/>
                <w:szCs w:val="14"/>
              </w:rPr>
              <w:t>.</w:t>
            </w:r>
            <w:r>
              <w:rPr>
                <w:b/>
                <w:bCs/>
                <w:sz w:val="14"/>
                <w:szCs w:val="14"/>
              </w:rPr>
              <w:t>0</w:t>
            </w:r>
            <w:r w:rsidRPr="00725B2F">
              <w:rPr>
                <w:b/>
                <w:bCs/>
                <w:sz w:val="14"/>
                <w:szCs w:val="14"/>
              </w:rPr>
              <w:t>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630C8C" w14:textId="77777777" w:rsidR="0045210A" w:rsidRPr="00BF1A56" w:rsidRDefault="0045210A" w:rsidP="00E23DB8">
            <w:pPr>
              <w:ind w:right="227"/>
              <w:jc w:val="right"/>
              <w:rPr>
                <w:b/>
                <w:bCs/>
                <w:sz w:val="14"/>
                <w:szCs w:val="14"/>
              </w:rPr>
            </w:pPr>
            <w:r>
              <w:rPr>
                <w:b/>
                <w:bCs/>
                <w:sz w:val="14"/>
                <w:szCs w:val="14"/>
              </w:rPr>
              <w:t>6</w:t>
            </w:r>
            <w:r w:rsidRPr="00725B2F">
              <w:rPr>
                <w:b/>
                <w:bCs/>
                <w:sz w:val="14"/>
                <w:szCs w:val="14"/>
              </w:rPr>
              <w:t>.</w:t>
            </w:r>
            <w:r>
              <w:rPr>
                <w:b/>
                <w:bCs/>
                <w:sz w:val="14"/>
                <w:szCs w:val="14"/>
              </w:rPr>
              <w:t>68</w:t>
            </w:r>
          </w:p>
        </w:tc>
      </w:tr>
      <w:tr w:rsidR="0045210A" w:rsidRPr="0024359B" w14:paraId="13A9FA77" w14:textId="77777777" w:rsidTr="00E23DB8">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0E61090"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35162CEB" w14:textId="77777777" w:rsidR="0045210A" w:rsidRPr="00725B2F" w:rsidRDefault="0045210A" w:rsidP="00E23DB8">
            <w:pPr>
              <w:ind w:right="227"/>
              <w:jc w:val="right"/>
              <w:rPr>
                <w:bCs/>
                <w:sz w:val="14"/>
                <w:szCs w:val="14"/>
              </w:rPr>
            </w:pPr>
            <w:r w:rsidRPr="00725B2F">
              <w:rPr>
                <w:bCs/>
                <w:sz w:val="14"/>
                <w:szCs w:val="14"/>
              </w:rPr>
              <w:t>-</w:t>
            </w:r>
            <w:r>
              <w:rPr>
                <w:bCs/>
                <w:sz w:val="14"/>
                <w:szCs w:val="14"/>
              </w:rPr>
              <w:t>1</w:t>
            </w:r>
            <w:r w:rsidRPr="00725B2F">
              <w:rPr>
                <w:bCs/>
                <w:sz w:val="14"/>
                <w:szCs w:val="14"/>
              </w:rPr>
              <w:t>.</w:t>
            </w:r>
            <w:r>
              <w:rPr>
                <w:bCs/>
                <w:sz w:val="14"/>
                <w:szCs w:val="14"/>
              </w:rPr>
              <w:t>0</w:t>
            </w:r>
            <w:r w:rsidRPr="00725B2F">
              <w:rPr>
                <w:bCs/>
                <w:sz w:val="14"/>
                <w:szCs w:val="14"/>
              </w:rPr>
              <w:t>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C60D96" w14:textId="77777777" w:rsidR="0045210A" w:rsidRPr="00725B2F" w:rsidRDefault="0045210A" w:rsidP="00E23DB8">
            <w:pPr>
              <w:ind w:right="227"/>
              <w:jc w:val="right"/>
              <w:rPr>
                <w:bCs/>
                <w:sz w:val="14"/>
                <w:szCs w:val="14"/>
              </w:rPr>
            </w:pPr>
            <w:r>
              <w:rPr>
                <w:bCs/>
                <w:sz w:val="14"/>
                <w:szCs w:val="14"/>
              </w:rPr>
              <w:t>7</w:t>
            </w:r>
            <w:r w:rsidRPr="00725B2F">
              <w:rPr>
                <w:bCs/>
                <w:sz w:val="14"/>
                <w:szCs w:val="14"/>
              </w:rPr>
              <w:t>.</w:t>
            </w:r>
            <w:r>
              <w:rPr>
                <w:bCs/>
                <w:sz w:val="14"/>
                <w:szCs w:val="14"/>
              </w:rPr>
              <w:t>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0401A4" w14:textId="77777777" w:rsidR="0045210A" w:rsidRPr="00725B2F" w:rsidRDefault="0045210A" w:rsidP="00E23DB8">
            <w:pPr>
              <w:ind w:right="227"/>
              <w:jc w:val="right"/>
              <w:rPr>
                <w:bCs/>
                <w:sz w:val="14"/>
                <w:szCs w:val="14"/>
              </w:rPr>
            </w:pPr>
            <w:r w:rsidRPr="00725B2F">
              <w:rPr>
                <w:bCs/>
                <w:sz w:val="14"/>
                <w:szCs w:val="14"/>
              </w:rPr>
              <w:t>-</w:t>
            </w:r>
            <w:r>
              <w:rPr>
                <w:bCs/>
                <w:sz w:val="14"/>
                <w:szCs w:val="14"/>
              </w:rPr>
              <w:t>4</w:t>
            </w:r>
            <w:r w:rsidRPr="00725B2F">
              <w:rPr>
                <w:bCs/>
                <w:sz w:val="14"/>
                <w:szCs w:val="14"/>
              </w:rPr>
              <w:t>.5</w:t>
            </w:r>
            <w:r>
              <w:rPr>
                <w:bCs/>
                <w:sz w:val="14"/>
                <w:szCs w:val="14"/>
              </w:rPr>
              <w:t>5</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BFDBB9" w14:textId="77777777" w:rsidR="0045210A" w:rsidRPr="00725B2F" w:rsidRDefault="0045210A" w:rsidP="00E23DB8">
            <w:pPr>
              <w:ind w:right="227"/>
              <w:jc w:val="right"/>
              <w:rPr>
                <w:bCs/>
                <w:sz w:val="14"/>
                <w:szCs w:val="14"/>
              </w:rPr>
            </w:pPr>
            <w:r>
              <w:rPr>
                <w:bCs/>
                <w:sz w:val="14"/>
                <w:szCs w:val="14"/>
              </w:rPr>
              <w:t>5</w:t>
            </w:r>
            <w:r w:rsidRPr="00725B2F">
              <w:rPr>
                <w:bCs/>
                <w:sz w:val="14"/>
                <w:szCs w:val="14"/>
              </w:rPr>
              <w:t>.</w:t>
            </w:r>
            <w:r>
              <w:rPr>
                <w:bCs/>
                <w:sz w:val="14"/>
                <w:szCs w:val="14"/>
              </w:rPr>
              <w:t>03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65D3ED1" w14:textId="77777777" w:rsidR="0045210A" w:rsidRPr="00725B2F" w:rsidRDefault="0045210A" w:rsidP="00E23DB8">
            <w:pPr>
              <w:ind w:right="227"/>
              <w:jc w:val="right"/>
              <w:rPr>
                <w:bCs/>
                <w:sz w:val="14"/>
                <w:szCs w:val="14"/>
              </w:rPr>
            </w:pPr>
            <w:r>
              <w:rPr>
                <w:bCs/>
                <w:sz w:val="14"/>
                <w:szCs w:val="14"/>
              </w:rPr>
              <w:t>39</w:t>
            </w:r>
            <w:r w:rsidRPr="00725B2F">
              <w:rPr>
                <w:bCs/>
                <w:sz w:val="14"/>
                <w:szCs w:val="14"/>
              </w:rPr>
              <w:t>.</w:t>
            </w:r>
            <w:r>
              <w:rPr>
                <w:bCs/>
                <w:sz w:val="14"/>
                <w:szCs w:val="14"/>
              </w:rPr>
              <w:t>45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3FC65E" w14:textId="77777777" w:rsidR="0045210A" w:rsidRPr="00725B2F" w:rsidRDefault="0045210A" w:rsidP="00E23DB8">
            <w:pPr>
              <w:ind w:right="227"/>
              <w:jc w:val="right"/>
              <w:rPr>
                <w:bCs/>
                <w:sz w:val="14"/>
                <w:szCs w:val="14"/>
              </w:rPr>
            </w:pPr>
            <w:r>
              <w:rPr>
                <w:bCs/>
                <w:sz w:val="14"/>
                <w:szCs w:val="14"/>
              </w:rPr>
              <w:t>0</w:t>
            </w:r>
            <w:r w:rsidRPr="00725B2F">
              <w:rPr>
                <w:bCs/>
                <w:sz w:val="14"/>
                <w:szCs w:val="14"/>
              </w:rPr>
              <w:t>.</w:t>
            </w:r>
            <w:r>
              <w:rPr>
                <w:bCs/>
                <w:sz w:val="14"/>
                <w:szCs w:val="14"/>
              </w:rPr>
              <w:t>21</w:t>
            </w:r>
          </w:p>
        </w:tc>
      </w:tr>
      <w:tr w:rsidR="0045210A" w:rsidRPr="0024359B" w14:paraId="7B83FDD0" w14:textId="77777777" w:rsidTr="00E23DB8">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AFA5383"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062AFD7" w14:textId="77777777" w:rsidR="0045210A" w:rsidRPr="00725B2F" w:rsidRDefault="0045210A" w:rsidP="00E23DB8">
            <w:pPr>
              <w:ind w:right="227"/>
              <w:jc w:val="right"/>
              <w:rPr>
                <w:bCs/>
                <w:sz w:val="14"/>
                <w:szCs w:val="14"/>
              </w:rPr>
            </w:pPr>
            <w:r w:rsidRPr="00725B2F">
              <w:rPr>
                <w:bCs/>
                <w:sz w:val="14"/>
                <w:szCs w:val="14"/>
              </w:rPr>
              <w:t>0.</w:t>
            </w:r>
            <w:r>
              <w:rPr>
                <w:bCs/>
                <w:sz w:val="14"/>
                <w:szCs w:val="14"/>
              </w:rPr>
              <w:t>03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00B0A3" w14:textId="77777777" w:rsidR="0045210A" w:rsidRPr="00725B2F" w:rsidRDefault="0045210A" w:rsidP="00E23DB8">
            <w:pPr>
              <w:ind w:right="227"/>
              <w:jc w:val="right"/>
              <w:rPr>
                <w:bCs/>
                <w:sz w:val="14"/>
                <w:szCs w:val="14"/>
              </w:rPr>
            </w:pPr>
            <w:r w:rsidRPr="00725B2F">
              <w:rPr>
                <w:bCs/>
                <w:sz w:val="14"/>
                <w:szCs w:val="14"/>
              </w:rPr>
              <w:t>-0.</w:t>
            </w:r>
            <w:r>
              <w:rPr>
                <w:bCs/>
                <w:sz w:val="14"/>
                <w:szCs w:val="14"/>
              </w:rPr>
              <w:t>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85157C" w14:textId="77777777" w:rsidR="0045210A" w:rsidRPr="00725B2F" w:rsidRDefault="0045210A" w:rsidP="00E23DB8">
            <w:pPr>
              <w:ind w:right="227"/>
              <w:jc w:val="right"/>
              <w:rPr>
                <w:bCs/>
                <w:sz w:val="14"/>
                <w:szCs w:val="14"/>
              </w:rPr>
            </w:pPr>
            <w:r w:rsidRPr="00725B2F">
              <w:rPr>
                <w:bCs/>
                <w:sz w:val="14"/>
                <w:szCs w:val="14"/>
              </w:rPr>
              <w:t>0.1</w:t>
            </w:r>
            <w:r>
              <w:rPr>
                <w:bCs/>
                <w:sz w:val="14"/>
                <w:szCs w:val="14"/>
              </w:rPr>
              <w:t>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961FB2" w14:textId="77777777" w:rsidR="0045210A" w:rsidRPr="00725B2F" w:rsidRDefault="0045210A" w:rsidP="00E23DB8">
            <w:pPr>
              <w:ind w:right="227"/>
              <w:jc w:val="right"/>
              <w:rPr>
                <w:bCs/>
                <w:sz w:val="14"/>
                <w:szCs w:val="14"/>
              </w:rPr>
            </w:pPr>
            <w:r>
              <w:rPr>
                <w:bCs/>
                <w:sz w:val="14"/>
                <w:szCs w:val="14"/>
              </w:rPr>
              <w:t>1</w:t>
            </w:r>
            <w:r w:rsidRPr="00725B2F">
              <w:rPr>
                <w:bCs/>
                <w:sz w:val="14"/>
                <w:szCs w:val="14"/>
              </w:rPr>
              <w:t>.</w:t>
            </w:r>
            <w:r>
              <w:rPr>
                <w:bCs/>
                <w:sz w:val="14"/>
                <w:szCs w:val="14"/>
              </w:rPr>
              <w:t>36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4ACDD8" w14:textId="77777777" w:rsidR="0045210A" w:rsidRPr="00725B2F" w:rsidRDefault="0045210A" w:rsidP="00E23DB8">
            <w:pPr>
              <w:ind w:right="227"/>
              <w:jc w:val="right"/>
              <w:rPr>
                <w:bCs/>
                <w:sz w:val="14"/>
                <w:szCs w:val="14"/>
              </w:rPr>
            </w:pPr>
            <w:r w:rsidRPr="00725B2F">
              <w:rPr>
                <w:bCs/>
                <w:sz w:val="14"/>
                <w:szCs w:val="14"/>
              </w:rPr>
              <w:t>3.</w:t>
            </w:r>
            <w:r>
              <w:rPr>
                <w:bCs/>
                <w:sz w:val="14"/>
                <w:szCs w:val="14"/>
              </w:rPr>
              <w:t>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CC7E408" w14:textId="77777777" w:rsidR="0045210A" w:rsidRPr="00725B2F" w:rsidRDefault="0045210A" w:rsidP="00E23DB8">
            <w:pPr>
              <w:ind w:right="227"/>
              <w:jc w:val="right"/>
              <w:rPr>
                <w:bCs/>
                <w:sz w:val="14"/>
                <w:szCs w:val="14"/>
              </w:rPr>
            </w:pPr>
            <w:r w:rsidRPr="00725B2F">
              <w:rPr>
                <w:bCs/>
                <w:sz w:val="14"/>
                <w:szCs w:val="14"/>
              </w:rPr>
              <w:t>5.</w:t>
            </w:r>
            <w:r>
              <w:rPr>
                <w:bCs/>
                <w:sz w:val="14"/>
                <w:szCs w:val="14"/>
              </w:rPr>
              <w:t>38</w:t>
            </w:r>
          </w:p>
        </w:tc>
      </w:tr>
      <w:tr w:rsidR="0045210A" w:rsidRPr="0024359B" w14:paraId="0B455EB1" w14:textId="77777777" w:rsidTr="00E23DB8">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AD1EE2"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39868391" w14:textId="77777777" w:rsidR="0045210A" w:rsidRPr="00725B2F" w:rsidRDefault="0045210A" w:rsidP="00E23DB8">
            <w:pPr>
              <w:ind w:right="227"/>
              <w:jc w:val="right"/>
              <w:rPr>
                <w:bCs/>
                <w:sz w:val="14"/>
                <w:szCs w:val="14"/>
              </w:rPr>
            </w:pPr>
            <w:r w:rsidRPr="00725B2F">
              <w:rPr>
                <w:bCs/>
                <w:sz w:val="14"/>
                <w:szCs w:val="14"/>
              </w:rPr>
              <w:t>-0.</w:t>
            </w:r>
            <w:r>
              <w:rPr>
                <w:bCs/>
                <w:sz w:val="14"/>
                <w:szCs w:val="14"/>
              </w:rPr>
              <w:t>02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87225BE" w14:textId="77777777" w:rsidR="0045210A" w:rsidRPr="00725B2F" w:rsidRDefault="0045210A" w:rsidP="00E23DB8">
            <w:pPr>
              <w:ind w:right="227"/>
              <w:jc w:val="right"/>
              <w:rPr>
                <w:bCs/>
                <w:sz w:val="14"/>
                <w:szCs w:val="14"/>
              </w:rPr>
            </w:pPr>
            <w:r>
              <w:rPr>
                <w:bCs/>
                <w:sz w:val="14"/>
                <w:szCs w:val="14"/>
              </w:rPr>
              <w:t>2</w:t>
            </w:r>
            <w:r w:rsidRPr="00725B2F">
              <w:rPr>
                <w:bCs/>
                <w:sz w:val="14"/>
                <w:szCs w:val="14"/>
              </w:rPr>
              <w:t>.</w:t>
            </w:r>
            <w:r>
              <w:rPr>
                <w:bCs/>
                <w:sz w:val="14"/>
                <w:szCs w:val="14"/>
              </w:rPr>
              <w:t>69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1EE295" w14:textId="77777777" w:rsidR="0045210A" w:rsidRPr="00725B2F" w:rsidRDefault="0045210A" w:rsidP="00E23DB8">
            <w:pPr>
              <w:ind w:right="227"/>
              <w:jc w:val="right"/>
              <w:rPr>
                <w:bCs/>
                <w:sz w:val="14"/>
                <w:szCs w:val="14"/>
              </w:rPr>
            </w:pPr>
            <w:r w:rsidRPr="00725B2F">
              <w:rPr>
                <w:bCs/>
                <w:sz w:val="14"/>
                <w:szCs w:val="14"/>
              </w:rPr>
              <w:t>-</w:t>
            </w:r>
            <w:r>
              <w:rPr>
                <w:bCs/>
                <w:sz w:val="14"/>
                <w:szCs w:val="14"/>
              </w:rPr>
              <w:t>1</w:t>
            </w:r>
            <w:r w:rsidRPr="00725B2F">
              <w:rPr>
                <w:bCs/>
                <w:sz w:val="14"/>
                <w:szCs w:val="14"/>
              </w:rPr>
              <w:t>.</w:t>
            </w:r>
            <w:r>
              <w:rPr>
                <w:bCs/>
                <w:sz w:val="14"/>
                <w:szCs w:val="14"/>
              </w:rPr>
              <w:t>10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E75203" w14:textId="77777777" w:rsidR="0045210A" w:rsidRPr="00725B2F" w:rsidRDefault="0045210A" w:rsidP="00E23DB8">
            <w:pPr>
              <w:ind w:right="227"/>
              <w:jc w:val="right"/>
              <w:rPr>
                <w:bCs/>
                <w:sz w:val="14"/>
                <w:szCs w:val="14"/>
              </w:rPr>
            </w:pPr>
            <w:r>
              <w:rPr>
                <w:bCs/>
                <w:sz w:val="14"/>
                <w:szCs w:val="14"/>
              </w:rPr>
              <w:t>3</w:t>
            </w:r>
            <w:r w:rsidRPr="00725B2F">
              <w:rPr>
                <w:bCs/>
                <w:sz w:val="14"/>
                <w:szCs w:val="14"/>
              </w:rPr>
              <w:t>.4</w:t>
            </w:r>
            <w:r>
              <w:rPr>
                <w:bCs/>
                <w:sz w:val="14"/>
                <w:szCs w:val="14"/>
              </w:rPr>
              <w:t>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41F56F" w14:textId="77777777" w:rsidR="0045210A" w:rsidRPr="00725B2F" w:rsidRDefault="0045210A" w:rsidP="00E23DB8">
            <w:pPr>
              <w:ind w:right="227"/>
              <w:jc w:val="right"/>
              <w:rPr>
                <w:bCs/>
                <w:sz w:val="14"/>
                <w:szCs w:val="14"/>
              </w:rPr>
            </w:pPr>
            <w:r w:rsidRPr="00725B2F">
              <w:rPr>
                <w:bCs/>
                <w:sz w:val="14"/>
                <w:szCs w:val="14"/>
              </w:rPr>
              <w:t>1</w:t>
            </w:r>
            <w:r>
              <w:rPr>
                <w:bCs/>
                <w:sz w:val="14"/>
                <w:szCs w:val="14"/>
              </w:rPr>
              <w:t>7</w:t>
            </w:r>
            <w:r w:rsidRPr="00725B2F">
              <w:rPr>
                <w:bCs/>
                <w:sz w:val="14"/>
                <w:szCs w:val="14"/>
              </w:rPr>
              <w:t>.</w:t>
            </w:r>
            <w:r>
              <w:rPr>
                <w:bCs/>
                <w:sz w:val="14"/>
                <w:szCs w:val="14"/>
              </w:rPr>
              <w:t>59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7193F0" w14:textId="77777777" w:rsidR="0045210A" w:rsidRPr="00725B2F" w:rsidRDefault="0045210A" w:rsidP="00E23DB8">
            <w:pPr>
              <w:ind w:right="227"/>
              <w:jc w:val="right"/>
              <w:rPr>
                <w:bCs/>
                <w:sz w:val="14"/>
                <w:szCs w:val="14"/>
              </w:rPr>
            </w:pPr>
            <w:r>
              <w:rPr>
                <w:bCs/>
                <w:sz w:val="14"/>
                <w:szCs w:val="14"/>
              </w:rPr>
              <w:t>8</w:t>
            </w:r>
            <w:r w:rsidRPr="00725B2F">
              <w:rPr>
                <w:bCs/>
                <w:sz w:val="14"/>
                <w:szCs w:val="14"/>
              </w:rPr>
              <w:t>.</w:t>
            </w:r>
            <w:r>
              <w:rPr>
                <w:bCs/>
                <w:sz w:val="14"/>
                <w:szCs w:val="14"/>
              </w:rPr>
              <w:t>47</w:t>
            </w:r>
          </w:p>
        </w:tc>
      </w:tr>
      <w:tr w:rsidR="0045210A" w:rsidRPr="00841586" w14:paraId="298E32C9" w14:textId="77777777" w:rsidTr="00E23DB8">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7F4E737B"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7FB124F3"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04</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9E37470"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36</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5F6D7C3" w14:textId="77777777" w:rsidR="0045210A" w:rsidRPr="00BF1A56" w:rsidRDefault="0045210A" w:rsidP="00E23DB8">
            <w:pPr>
              <w:ind w:right="227"/>
              <w:jc w:val="right"/>
              <w:rPr>
                <w:b/>
                <w:bCs/>
                <w:sz w:val="14"/>
                <w:szCs w:val="14"/>
              </w:rPr>
            </w:pPr>
            <w:r w:rsidRPr="00725B2F">
              <w:rPr>
                <w:b/>
                <w:bCs/>
                <w:sz w:val="14"/>
                <w:szCs w:val="14"/>
              </w:rPr>
              <w:t>0.</w:t>
            </w:r>
            <w:r>
              <w:rPr>
                <w:b/>
                <w:bCs/>
                <w:sz w:val="14"/>
                <w:szCs w:val="14"/>
              </w:rPr>
              <w:t>18</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9C01CF8" w14:textId="77777777" w:rsidR="0045210A" w:rsidRPr="00BF1A56" w:rsidRDefault="0045210A" w:rsidP="00E23DB8">
            <w:pPr>
              <w:ind w:right="227"/>
              <w:jc w:val="right"/>
              <w:rPr>
                <w:b/>
                <w:bCs/>
                <w:sz w:val="14"/>
                <w:szCs w:val="14"/>
              </w:rPr>
            </w:pPr>
            <w:r w:rsidRPr="00725B2F">
              <w:rPr>
                <w:b/>
                <w:bCs/>
                <w:sz w:val="14"/>
                <w:szCs w:val="14"/>
              </w:rPr>
              <w:t>2.5</w:t>
            </w:r>
            <w:r>
              <w:rPr>
                <w:b/>
                <w:bCs/>
                <w:sz w:val="14"/>
                <w:szCs w:val="14"/>
              </w:rPr>
              <w:t>7</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A243AB9" w14:textId="77777777" w:rsidR="0045210A" w:rsidRPr="00BF1A56" w:rsidRDefault="0045210A" w:rsidP="00E23DB8">
            <w:pPr>
              <w:ind w:right="227"/>
              <w:jc w:val="right"/>
              <w:rPr>
                <w:b/>
                <w:bCs/>
                <w:sz w:val="14"/>
                <w:szCs w:val="14"/>
              </w:rPr>
            </w:pPr>
            <w:r w:rsidRPr="00725B2F">
              <w:rPr>
                <w:b/>
                <w:bCs/>
                <w:sz w:val="14"/>
                <w:szCs w:val="14"/>
              </w:rPr>
              <w:t>1.</w:t>
            </w:r>
            <w:r>
              <w:rPr>
                <w:b/>
                <w:bCs/>
                <w:sz w:val="14"/>
                <w:szCs w:val="14"/>
              </w:rPr>
              <w:t>91</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AEDA2E0" w14:textId="77777777" w:rsidR="0045210A" w:rsidRPr="00BF1A56" w:rsidRDefault="0045210A" w:rsidP="00E23DB8">
            <w:pPr>
              <w:ind w:right="227"/>
              <w:jc w:val="right"/>
              <w:rPr>
                <w:b/>
                <w:bCs/>
                <w:sz w:val="14"/>
                <w:szCs w:val="14"/>
              </w:rPr>
            </w:pPr>
            <w:r w:rsidRPr="00725B2F">
              <w:rPr>
                <w:b/>
                <w:bCs/>
                <w:sz w:val="14"/>
                <w:szCs w:val="14"/>
              </w:rPr>
              <w:t>5.</w:t>
            </w:r>
            <w:r>
              <w:rPr>
                <w:b/>
                <w:bCs/>
                <w:sz w:val="14"/>
                <w:szCs w:val="14"/>
              </w:rPr>
              <w:t>07</w:t>
            </w:r>
          </w:p>
        </w:tc>
      </w:tr>
    </w:tbl>
    <w:bookmarkEnd w:id="7"/>
    <w:p w14:paraId="4B7C9469" w14:textId="77777777" w:rsidR="004445E5" w:rsidRPr="00FD7309"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D7309">
        <w:rPr>
          <w:color w:val="000000"/>
          <w:sz w:val="14"/>
          <w:szCs w:val="14"/>
        </w:rPr>
        <w:t>INEGI</w:t>
      </w:r>
      <w:r w:rsidRPr="00FD7309">
        <w:rPr>
          <w:snapToGrid w:val="0"/>
          <w:sz w:val="14"/>
          <w:szCs w:val="14"/>
          <w:u w:val="single"/>
        </w:rPr>
        <w:t xml:space="preserve"> </w:t>
      </w:r>
    </w:p>
    <w:p w14:paraId="05564E4C" w14:textId="77777777" w:rsidR="004D5C5B" w:rsidRPr="007D6777" w:rsidRDefault="0098031E" w:rsidP="00D36239">
      <w:pPr>
        <w:widowControl w:val="0"/>
        <w:autoSpaceDE w:val="0"/>
        <w:autoSpaceDN w:val="0"/>
        <w:adjustRightInd w:val="0"/>
        <w:spacing w:before="600"/>
        <w:rPr>
          <w:b/>
          <w:iCs/>
          <w:smallCaps/>
          <w:snapToGrid w:val="0"/>
        </w:rPr>
      </w:pPr>
      <w:r w:rsidRPr="007D6777">
        <w:rPr>
          <w:b/>
          <w:iCs/>
          <w:smallCaps/>
          <w:snapToGrid w:val="0"/>
        </w:rPr>
        <w:t>Índice Nacional de Precios Productor</w:t>
      </w:r>
      <w:r w:rsidR="00644E58" w:rsidRPr="007D6777">
        <w:rPr>
          <w:b/>
          <w:iCs/>
          <w:smallCaps/>
          <w:snapToGrid w:val="0"/>
        </w:rPr>
        <w:t xml:space="preserve"> </w:t>
      </w:r>
      <w:r w:rsidR="00197731" w:rsidRPr="007D6777">
        <w:rPr>
          <w:b/>
          <w:iCs/>
          <w:smallCaps/>
          <w:snapToGrid w:val="0"/>
        </w:rPr>
        <w:t>de bienes finales</w:t>
      </w:r>
    </w:p>
    <w:p w14:paraId="5B067E64" w14:textId="78C3A21F" w:rsidR="004D5C5B" w:rsidRDefault="00832CCE" w:rsidP="00126792">
      <w:pPr>
        <w:widowControl w:val="0"/>
        <w:autoSpaceDE w:val="0"/>
        <w:autoSpaceDN w:val="0"/>
        <w:adjustRightInd w:val="0"/>
        <w:spacing w:before="240"/>
        <w:rPr>
          <w:snapToGrid w:val="0"/>
        </w:rPr>
      </w:pPr>
      <w:r w:rsidRPr="00832CCE">
        <w:rPr>
          <w:snapToGrid w:val="0"/>
        </w:rPr>
        <w:t xml:space="preserve">En octubre de 2022, el Índice de Mercancías y Servicios Finales, incluyendo petróleo, </w:t>
      </w:r>
      <w:r>
        <w:rPr>
          <w:snapToGrid w:val="0"/>
        </w:rPr>
        <w:t>ascendi</w:t>
      </w:r>
      <w:r w:rsidRPr="00832CCE">
        <w:rPr>
          <w:snapToGrid w:val="0"/>
        </w:rPr>
        <w:t>ó 0.11 % a tasa mensual y 7.31 % anual</w:t>
      </w:r>
      <w:r w:rsidR="00C47DF8">
        <w:rPr>
          <w:snapToGrid w:val="0"/>
        </w:rPr>
        <w:t>.</w:t>
      </w:r>
    </w:p>
    <w:p w14:paraId="232BB8CB" w14:textId="77777777" w:rsidR="004D5C5B" w:rsidRPr="00EA1643" w:rsidRDefault="004D5C5B" w:rsidP="00126792">
      <w:pPr>
        <w:pStyle w:val="n01"/>
        <w:keepLines w:val="0"/>
        <w:widowControl w:val="0"/>
        <w:spacing w:before="360"/>
        <w:ind w:left="0" w:firstLine="709"/>
        <w:rPr>
          <w:b/>
          <w:snapToGrid w:val="0"/>
          <w:color w:val="000000"/>
        </w:rPr>
      </w:pPr>
      <w:r w:rsidRPr="00EA1643">
        <w:rPr>
          <w:b/>
          <w:snapToGrid w:val="0"/>
          <w:color w:val="000000"/>
        </w:rPr>
        <w:t xml:space="preserve">Por origen de la producción </w:t>
      </w:r>
    </w:p>
    <w:p w14:paraId="14874295" w14:textId="2E166D74" w:rsidR="00832CCE" w:rsidRPr="00832CCE" w:rsidRDefault="00832CCE" w:rsidP="00832CCE">
      <w:pPr>
        <w:widowControl w:val="0"/>
        <w:autoSpaceDE w:val="0"/>
        <w:autoSpaceDN w:val="0"/>
        <w:adjustRightInd w:val="0"/>
        <w:spacing w:before="240"/>
        <w:rPr>
          <w:snapToGrid w:val="0"/>
        </w:rPr>
      </w:pPr>
      <w:r w:rsidRPr="00832CCE">
        <w:rPr>
          <w:snapToGrid w:val="0"/>
        </w:rPr>
        <w:t xml:space="preserve">Por grandes grupos de actividades económicas, los precios de las actividades primarias </w:t>
      </w:r>
      <w:r w:rsidR="00952BDF">
        <w:rPr>
          <w:snapToGrid w:val="0"/>
        </w:rPr>
        <w:t xml:space="preserve">retrocedieron </w:t>
      </w:r>
      <w:r w:rsidR="00952BDF" w:rsidRPr="00832CCE">
        <w:rPr>
          <w:snapToGrid w:val="0"/>
        </w:rPr>
        <w:t>0.13 %</w:t>
      </w:r>
      <w:r>
        <w:rPr>
          <w:snapToGrid w:val="0"/>
        </w:rPr>
        <w:t xml:space="preserve"> </w:t>
      </w:r>
      <w:r w:rsidRPr="00832CCE">
        <w:rPr>
          <w:snapToGrid w:val="0"/>
        </w:rPr>
        <w:t>mensual; los de secundarias aumentaron 0.08</w:t>
      </w:r>
      <w:r>
        <w:rPr>
          <w:snapToGrid w:val="0"/>
        </w:rPr>
        <w:t> </w:t>
      </w:r>
      <w:r w:rsidRPr="00832CCE">
        <w:rPr>
          <w:snapToGrid w:val="0"/>
        </w:rPr>
        <w:t>% y los de actividades terciarias</w:t>
      </w:r>
      <w:r w:rsidR="000D64C0">
        <w:rPr>
          <w:snapToGrid w:val="0"/>
        </w:rPr>
        <w:t>,</w:t>
      </w:r>
      <w:r w:rsidRPr="00832CCE">
        <w:rPr>
          <w:snapToGrid w:val="0"/>
        </w:rPr>
        <w:t xml:space="preserve"> 0.20 por ciento.</w:t>
      </w:r>
    </w:p>
    <w:p w14:paraId="0D84EBDF" w14:textId="2DD73496" w:rsidR="008D4C3F" w:rsidRDefault="00832CCE" w:rsidP="00832CCE">
      <w:pPr>
        <w:widowControl w:val="0"/>
        <w:autoSpaceDE w:val="0"/>
        <w:autoSpaceDN w:val="0"/>
        <w:adjustRightInd w:val="0"/>
        <w:spacing w:before="240"/>
        <w:rPr>
          <w:snapToGrid w:val="0"/>
        </w:rPr>
      </w:pPr>
      <w:r w:rsidRPr="00832CCE">
        <w:rPr>
          <w:snapToGrid w:val="0"/>
        </w:rPr>
        <w:t xml:space="preserve">En su comparación anual, los </w:t>
      </w:r>
      <w:r w:rsidR="00952601">
        <w:rPr>
          <w:snapToGrid w:val="0"/>
        </w:rPr>
        <w:t xml:space="preserve">precios </w:t>
      </w:r>
      <w:r w:rsidRPr="00832CCE">
        <w:rPr>
          <w:snapToGrid w:val="0"/>
        </w:rPr>
        <w:t>de las actividades primarias crecieron 14.58 %; los de secundarias, 7.66 % y los de actividades terciarias, 5.82 por ciento</w:t>
      </w:r>
      <w:r w:rsidR="008D4C3F">
        <w:rPr>
          <w:snapToGrid w:val="0"/>
        </w:rPr>
        <w:t>.</w:t>
      </w:r>
    </w:p>
    <w:p w14:paraId="3F598DE6" w14:textId="77777777" w:rsidR="00420C77" w:rsidRDefault="00420C77">
      <w:pPr>
        <w:jc w:val="left"/>
        <w:rPr>
          <w:snapToGrid w:val="0"/>
        </w:rPr>
      </w:pPr>
      <w:r>
        <w:rPr>
          <w:snapToGrid w:val="0"/>
        </w:rPr>
        <w:br w:type="page"/>
      </w:r>
    </w:p>
    <w:p w14:paraId="69A579C2" w14:textId="77777777"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0C3CF314"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1945F373" w14:textId="7777777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2B994A8F" w14:textId="77777777"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p>
    <w:p w14:paraId="32CE2A3D" w14:textId="74D08018"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 durante</w:t>
      </w:r>
      <w:r w:rsidR="00185B5A">
        <w:rPr>
          <w:snapToGrid w:val="0"/>
          <w:sz w:val="18"/>
          <w:szCs w:val="18"/>
        </w:rPr>
        <w:t xml:space="preserve"> </w:t>
      </w:r>
      <w:r w:rsidR="00832CCE">
        <w:rPr>
          <w:snapToGrid w:val="0"/>
          <w:sz w:val="18"/>
          <w:szCs w:val="18"/>
        </w:rPr>
        <w:t>octu</w:t>
      </w:r>
      <w:r w:rsidR="00185B5A">
        <w:rPr>
          <w:snapToGrid w:val="0"/>
          <w:sz w:val="18"/>
          <w:szCs w:val="18"/>
        </w:rPr>
        <w:t>bre</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45210A" w:rsidRPr="00A9663B" w14:paraId="36E8BFA3" w14:textId="77777777" w:rsidTr="00E23DB8">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42518C9" w14:textId="77777777" w:rsidR="0045210A" w:rsidRPr="00A9663B" w:rsidRDefault="0045210A" w:rsidP="00E23DB8">
            <w:pPr>
              <w:autoSpaceDE w:val="0"/>
              <w:autoSpaceDN w:val="0"/>
              <w:adjustRightInd w:val="0"/>
              <w:ind w:left="227"/>
              <w:rPr>
                <w:bCs/>
                <w:color w:val="000000"/>
                <w:sz w:val="16"/>
                <w:szCs w:val="16"/>
                <w:lang w:eastAsia="es-MX"/>
              </w:rPr>
            </w:pPr>
            <w:bookmarkStart w:id="8"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E3487BA" w14:textId="77777777" w:rsidR="0045210A" w:rsidRPr="00A9663B" w:rsidRDefault="0045210A" w:rsidP="00E23DB8">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047A098" w14:textId="77777777" w:rsidR="0045210A" w:rsidRPr="00A9663B" w:rsidRDefault="0045210A" w:rsidP="00E23DB8">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45210A" w:rsidRPr="00A9663B" w14:paraId="0043A013" w14:textId="77777777" w:rsidTr="00E23DB8">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1A0C9095" w14:textId="77777777" w:rsidR="0045210A" w:rsidRPr="00A9663B" w:rsidRDefault="0045210A" w:rsidP="00E23DB8">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6F1358BA" w14:textId="77777777" w:rsidR="0045210A" w:rsidRPr="00A9663B" w:rsidRDefault="0045210A" w:rsidP="00E23DB8">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3FC50A" w14:textId="77777777" w:rsidR="0045210A" w:rsidRPr="00A9663B" w:rsidRDefault="0045210A" w:rsidP="00E23DB8">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D76F902" w14:textId="77777777" w:rsidR="0045210A" w:rsidRPr="00A9663B" w:rsidRDefault="0045210A" w:rsidP="00E23DB8">
            <w:pPr>
              <w:jc w:val="center"/>
              <w:rPr>
                <w:bCs/>
                <w:color w:val="000000"/>
                <w:sz w:val="16"/>
                <w:szCs w:val="16"/>
              </w:rPr>
            </w:pPr>
            <w:r>
              <w:rPr>
                <w:bCs/>
                <w:color w:val="000000"/>
                <w:sz w:val="16"/>
                <w:szCs w:val="16"/>
              </w:rPr>
              <w:t>2022</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83B9C8A" w14:textId="77777777" w:rsidR="0045210A" w:rsidRPr="00A9663B" w:rsidRDefault="0045210A" w:rsidP="00E23DB8">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1F139AB" w14:textId="77777777" w:rsidR="0045210A" w:rsidRPr="00A9663B" w:rsidRDefault="0045210A" w:rsidP="00E23DB8">
            <w:pPr>
              <w:jc w:val="center"/>
              <w:rPr>
                <w:bCs/>
                <w:color w:val="000000"/>
                <w:sz w:val="16"/>
                <w:szCs w:val="16"/>
              </w:rPr>
            </w:pPr>
            <w:r>
              <w:rPr>
                <w:bCs/>
                <w:color w:val="000000"/>
                <w:sz w:val="16"/>
                <w:szCs w:val="16"/>
              </w:rPr>
              <w:t>2021</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E3E1F4E" w14:textId="77777777" w:rsidR="0045210A" w:rsidRPr="00A9663B" w:rsidRDefault="0045210A" w:rsidP="00E23DB8">
            <w:pPr>
              <w:jc w:val="center"/>
              <w:rPr>
                <w:bCs/>
                <w:color w:val="000000"/>
                <w:sz w:val="16"/>
                <w:szCs w:val="16"/>
              </w:rPr>
            </w:pPr>
            <w:r>
              <w:rPr>
                <w:bCs/>
                <w:color w:val="000000"/>
                <w:sz w:val="16"/>
                <w:szCs w:val="16"/>
              </w:rPr>
              <w:t>2022</w:t>
            </w:r>
          </w:p>
        </w:tc>
      </w:tr>
      <w:tr w:rsidR="0045210A" w:rsidRPr="00625A20" w14:paraId="17AF9179" w14:textId="77777777" w:rsidTr="00E23DB8">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D6096E0" w14:textId="02BF75F7" w:rsidR="0045210A" w:rsidRPr="00841586" w:rsidRDefault="0045210A" w:rsidP="0045210A">
            <w:pPr>
              <w:jc w:val="left"/>
              <w:rPr>
                <w:b/>
                <w:bCs/>
                <w:color w:val="000000"/>
                <w:sz w:val="14"/>
                <w:szCs w:val="14"/>
                <w:lang w:eastAsia="es-MX"/>
              </w:rPr>
            </w:pPr>
            <w:r w:rsidRPr="00841586">
              <w:rPr>
                <w:b/>
                <w:bCs/>
                <w:color w:val="000000"/>
                <w:sz w:val="14"/>
                <w:szCs w:val="14"/>
                <w:lang w:eastAsia="es-MX"/>
              </w:rPr>
              <w:t xml:space="preserve">Índice </w:t>
            </w:r>
            <w:r w:rsidR="00952BDF">
              <w:rPr>
                <w:b/>
                <w:bCs/>
                <w:color w:val="000000"/>
                <w:sz w:val="14"/>
                <w:szCs w:val="14"/>
                <w:lang w:eastAsia="es-MX"/>
              </w:rPr>
              <w:t>g</w:t>
            </w:r>
            <w:r w:rsidR="00952BDF" w:rsidRPr="00841586">
              <w:rPr>
                <w:b/>
                <w:bCs/>
                <w:color w:val="000000"/>
                <w:sz w:val="14"/>
                <w:szCs w:val="14"/>
                <w:lang w:eastAsia="es-MX"/>
              </w:rPr>
              <w:t xml:space="preserve">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3D88DC07"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1</w:t>
            </w:r>
            <w:r w:rsidRPr="0019487B">
              <w:rPr>
                <w:b/>
                <w:bCs/>
                <w:sz w:val="14"/>
                <w:szCs w:val="14"/>
              </w:rPr>
              <w:t>3</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66DD9CD"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97</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F495E77" w14:textId="77777777" w:rsidR="0045210A" w:rsidRPr="00A850F7" w:rsidRDefault="0045210A" w:rsidP="00E23DB8">
            <w:pPr>
              <w:ind w:right="227"/>
              <w:jc w:val="right"/>
              <w:rPr>
                <w:b/>
                <w:bCs/>
                <w:sz w:val="14"/>
                <w:szCs w:val="14"/>
              </w:rPr>
            </w:pPr>
            <w:r w:rsidRPr="0019487B">
              <w:rPr>
                <w:b/>
                <w:bCs/>
                <w:sz w:val="14"/>
                <w:szCs w:val="14"/>
              </w:rPr>
              <w:t>0.1</w:t>
            </w:r>
            <w:r>
              <w:rPr>
                <w:b/>
                <w:bCs/>
                <w:sz w:val="14"/>
                <w:szCs w:val="14"/>
              </w:rPr>
              <w:t>1</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CBA08FF" w14:textId="77777777" w:rsidR="0045210A" w:rsidRPr="00A850F7" w:rsidRDefault="0045210A" w:rsidP="00E23DB8">
            <w:pPr>
              <w:ind w:right="227"/>
              <w:jc w:val="right"/>
              <w:rPr>
                <w:b/>
                <w:bCs/>
                <w:sz w:val="14"/>
                <w:szCs w:val="14"/>
              </w:rPr>
            </w:pPr>
            <w:r w:rsidRPr="0019487B">
              <w:rPr>
                <w:b/>
                <w:bCs/>
                <w:sz w:val="14"/>
                <w:szCs w:val="14"/>
              </w:rPr>
              <w:t>4.</w:t>
            </w:r>
            <w:r>
              <w:rPr>
                <w:b/>
                <w:bCs/>
                <w:sz w:val="14"/>
                <w:szCs w:val="14"/>
              </w:rPr>
              <w:t>77</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7F7EB97" w14:textId="77777777" w:rsidR="0045210A" w:rsidRPr="00A850F7" w:rsidRDefault="0045210A" w:rsidP="00E23DB8">
            <w:pPr>
              <w:ind w:right="227"/>
              <w:jc w:val="right"/>
              <w:rPr>
                <w:b/>
                <w:bCs/>
                <w:sz w:val="14"/>
                <w:szCs w:val="14"/>
              </w:rPr>
            </w:pPr>
            <w:r w:rsidRPr="0019487B">
              <w:rPr>
                <w:b/>
                <w:bCs/>
                <w:sz w:val="14"/>
                <w:szCs w:val="14"/>
              </w:rPr>
              <w:t>6.</w:t>
            </w:r>
            <w:r>
              <w:rPr>
                <w:b/>
                <w:bCs/>
                <w:sz w:val="14"/>
                <w:szCs w:val="14"/>
              </w:rPr>
              <w:t>90</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D15C83D" w14:textId="77777777" w:rsidR="0045210A" w:rsidRPr="00A850F7" w:rsidRDefault="0045210A" w:rsidP="00E23DB8">
            <w:pPr>
              <w:ind w:right="227"/>
              <w:jc w:val="right"/>
              <w:rPr>
                <w:b/>
                <w:bCs/>
                <w:sz w:val="14"/>
                <w:szCs w:val="14"/>
              </w:rPr>
            </w:pPr>
            <w:r>
              <w:rPr>
                <w:b/>
                <w:bCs/>
                <w:sz w:val="14"/>
                <w:szCs w:val="14"/>
              </w:rPr>
              <w:t>7</w:t>
            </w:r>
            <w:r w:rsidRPr="0019487B">
              <w:rPr>
                <w:b/>
                <w:bCs/>
                <w:sz w:val="14"/>
                <w:szCs w:val="14"/>
              </w:rPr>
              <w:t>.</w:t>
            </w:r>
            <w:r>
              <w:rPr>
                <w:b/>
                <w:bCs/>
                <w:sz w:val="14"/>
                <w:szCs w:val="14"/>
              </w:rPr>
              <w:t>31</w:t>
            </w:r>
          </w:p>
        </w:tc>
      </w:tr>
      <w:tr w:rsidR="0045210A" w:rsidRPr="00841586" w14:paraId="3765E48F"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56C831B"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EEE8CD4" w14:textId="77777777" w:rsidR="0045210A" w:rsidRPr="00A850F7" w:rsidRDefault="0045210A" w:rsidP="00E23DB8">
            <w:pPr>
              <w:ind w:right="227"/>
              <w:jc w:val="right"/>
              <w:rPr>
                <w:b/>
                <w:bCs/>
                <w:sz w:val="14"/>
                <w:szCs w:val="14"/>
              </w:rPr>
            </w:pPr>
            <w:r>
              <w:rPr>
                <w:b/>
                <w:bCs/>
                <w:sz w:val="14"/>
                <w:szCs w:val="14"/>
              </w:rPr>
              <w:t>0</w:t>
            </w:r>
            <w:r w:rsidRPr="0019487B">
              <w:rPr>
                <w:b/>
                <w:bCs/>
                <w:sz w:val="14"/>
                <w:szCs w:val="14"/>
              </w:rPr>
              <w:t>.</w:t>
            </w:r>
            <w:r>
              <w:rPr>
                <w:b/>
                <w:bCs/>
                <w:sz w:val="14"/>
                <w:szCs w:val="14"/>
              </w:rPr>
              <w:t>74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09DA20B" w14:textId="77777777" w:rsidR="0045210A" w:rsidRPr="00A850F7" w:rsidRDefault="0045210A" w:rsidP="00E23DB8">
            <w:pPr>
              <w:ind w:right="227"/>
              <w:jc w:val="right"/>
              <w:rPr>
                <w:b/>
                <w:bCs/>
                <w:sz w:val="14"/>
                <w:szCs w:val="14"/>
              </w:rPr>
            </w:pPr>
            <w:r>
              <w:rPr>
                <w:b/>
                <w:bCs/>
                <w:sz w:val="14"/>
                <w:szCs w:val="14"/>
              </w:rPr>
              <w:t>-0</w:t>
            </w:r>
            <w:r w:rsidRPr="0019487B">
              <w:rPr>
                <w:b/>
                <w:bCs/>
                <w:sz w:val="14"/>
                <w:szCs w:val="14"/>
              </w:rPr>
              <w:t>.</w:t>
            </w:r>
            <w:r>
              <w:rPr>
                <w:b/>
                <w:bCs/>
                <w:sz w:val="14"/>
                <w:szCs w:val="14"/>
              </w:rPr>
              <w:t>88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5E51BE" w14:textId="77777777" w:rsidR="0045210A" w:rsidRPr="00A850F7" w:rsidRDefault="0045210A" w:rsidP="00E23DB8">
            <w:pPr>
              <w:ind w:right="227"/>
              <w:jc w:val="right"/>
              <w:rPr>
                <w:b/>
                <w:bCs/>
                <w:sz w:val="14"/>
                <w:szCs w:val="14"/>
              </w:rPr>
            </w:pPr>
            <w:r>
              <w:rPr>
                <w:b/>
                <w:bCs/>
                <w:sz w:val="14"/>
                <w:szCs w:val="14"/>
              </w:rPr>
              <w:t>-</w:t>
            </w:r>
            <w:r w:rsidRPr="0019487B">
              <w:rPr>
                <w:b/>
                <w:bCs/>
                <w:sz w:val="14"/>
                <w:szCs w:val="14"/>
              </w:rPr>
              <w:t>0.</w:t>
            </w:r>
            <w:r>
              <w:rPr>
                <w:b/>
                <w:bCs/>
                <w:sz w:val="14"/>
                <w:szCs w:val="14"/>
              </w:rPr>
              <w:t>13</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72C662" w14:textId="77777777" w:rsidR="0045210A" w:rsidRPr="00A850F7" w:rsidRDefault="0045210A" w:rsidP="00E23DB8">
            <w:pPr>
              <w:ind w:right="227"/>
              <w:jc w:val="right"/>
              <w:rPr>
                <w:b/>
                <w:bCs/>
                <w:sz w:val="14"/>
                <w:szCs w:val="14"/>
              </w:rPr>
            </w:pPr>
            <w:r>
              <w:rPr>
                <w:b/>
                <w:bCs/>
                <w:sz w:val="14"/>
                <w:szCs w:val="14"/>
              </w:rPr>
              <w:t>10</w:t>
            </w:r>
            <w:r w:rsidRPr="0019487B">
              <w:rPr>
                <w:b/>
                <w:bCs/>
                <w:sz w:val="14"/>
                <w:szCs w:val="14"/>
              </w:rPr>
              <w:t>.</w:t>
            </w:r>
            <w:r>
              <w:rPr>
                <w:b/>
                <w:bCs/>
                <w:sz w:val="14"/>
                <w:szCs w:val="14"/>
              </w:rPr>
              <w:t>46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3167B5" w14:textId="77777777" w:rsidR="0045210A" w:rsidRPr="00A850F7" w:rsidRDefault="0045210A" w:rsidP="00E23DB8">
            <w:pPr>
              <w:ind w:right="227"/>
              <w:jc w:val="right"/>
              <w:rPr>
                <w:b/>
                <w:bCs/>
                <w:sz w:val="14"/>
                <w:szCs w:val="14"/>
              </w:rPr>
            </w:pPr>
            <w:r w:rsidRPr="0019487B">
              <w:rPr>
                <w:b/>
                <w:bCs/>
                <w:sz w:val="14"/>
                <w:szCs w:val="14"/>
              </w:rPr>
              <w:t>1</w:t>
            </w:r>
            <w:r>
              <w:rPr>
                <w:b/>
                <w:bCs/>
                <w:sz w:val="14"/>
                <w:szCs w:val="14"/>
              </w:rPr>
              <w:t>0</w:t>
            </w:r>
            <w:r w:rsidRPr="0019487B">
              <w:rPr>
                <w:b/>
                <w:bCs/>
                <w:sz w:val="14"/>
                <w:szCs w:val="14"/>
              </w:rPr>
              <w:t>.</w:t>
            </w:r>
            <w:r>
              <w:rPr>
                <w:b/>
                <w:bCs/>
                <w:sz w:val="14"/>
                <w:szCs w:val="14"/>
              </w:rPr>
              <w:t>95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F6456E2" w14:textId="77777777" w:rsidR="0045210A" w:rsidRPr="00A850F7" w:rsidRDefault="0045210A" w:rsidP="00E23DB8">
            <w:pPr>
              <w:ind w:right="227"/>
              <w:jc w:val="right"/>
              <w:rPr>
                <w:b/>
                <w:bCs/>
                <w:sz w:val="14"/>
                <w:szCs w:val="14"/>
              </w:rPr>
            </w:pPr>
            <w:r w:rsidRPr="0019487B">
              <w:rPr>
                <w:b/>
                <w:bCs/>
                <w:sz w:val="14"/>
                <w:szCs w:val="14"/>
              </w:rPr>
              <w:t>1</w:t>
            </w:r>
            <w:r>
              <w:rPr>
                <w:b/>
                <w:bCs/>
                <w:sz w:val="14"/>
                <w:szCs w:val="14"/>
              </w:rPr>
              <w:t>4</w:t>
            </w:r>
            <w:r w:rsidRPr="0019487B">
              <w:rPr>
                <w:b/>
                <w:bCs/>
                <w:sz w:val="14"/>
                <w:szCs w:val="14"/>
              </w:rPr>
              <w:t>.</w:t>
            </w:r>
            <w:r>
              <w:rPr>
                <w:b/>
                <w:bCs/>
                <w:sz w:val="14"/>
                <w:szCs w:val="14"/>
              </w:rPr>
              <w:t>58</w:t>
            </w:r>
          </w:p>
        </w:tc>
      </w:tr>
      <w:tr w:rsidR="0045210A" w:rsidRPr="00841586" w14:paraId="684687E4"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FE0E3A"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5F749D76"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04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7C9A245" w14:textId="77777777" w:rsidR="0045210A" w:rsidRPr="00A850F7" w:rsidRDefault="0045210A" w:rsidP="00E23DB8">
            <w:pPr>
              <w:ind w:right="227"/>
              <w:jc w:val="right"/>
              <w:rPr>
                <w:b/>
                <w:bCs/>
                <w:sz w:val="14"/>
                <w:szCs w:val="14"/>
              </w:rPr>
            </w:pPr>
            <w:r>
              <w:rPr>
                <w:b/>
                <w:bCs/>
                <w:sz w:val="14"/>
                <w:szCs w:val="14"/>
              </w:rPr>
              <w:t>1</w:t>
            </w:r>
            <w:r w:rsidRPr="0019487B">
              <w:rPr>
                <w:b/>
                <w:bCs/>
                <w:sz w:val="14"/>
                <w:szCs w:val="14"/>
              </w:rPr>
              <w:t>.</w:t>
            </w:r>
            <w:r>
              <w:rPr>
                <w:b/>
                <w:bCs/>
                <w:sz w:val="14"/>
                <w:szCs w:val="14"/>
              </w:rPr>
              <w:t>29</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D62E1D9"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08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7EFED3" w14:textId="77777777" w:rsidR="0045210A" w:rsidRPr="00A850F7" w:rsidRDefault="0045210A" w:rsidP="00E23DB8">
            <w:pPr>
              <w:ind w:right="227"/>
              <w:jc w:val="right"/>
              <w:rPr>
                <w:b/>
                <w:bCs/>
                <w:sz w:val="14"/>
                <w:szCs w:val="14"/>
              </w:rPr>
            </w:pPr>
            <w:r>
              <w:rPr>
                <w:b/>
                <w:bCs/>
                <w:sz w:val="14"/>
                <w:szCs w:val="14"/>
              </w:rPr>
              <w:t>5</w:t>
            </w:r>
            <w:r w:rsidRPr="0019487B">
              <w:rPr>
                <w:b/>
                <w:bCs/>
                <w:sz w:val="14"/>
                <w:szCs w:val="14"/>
              </w:rPr>
              <w:t>.</w:t>
            </w:r>
            <w:r>
              <w:rPr>
                <w:b/>
                <w:bCs/>
                <w:sz w:val="14"/>
                <w:szCs w:val="14"/>
              </w:rPr>
              <w:t>42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02B8F3" w14:textId="77777777" w:rsidR="0045210A" w:rsidRPr="00A850F7" w:rsidRDefault="0045210A" w:rsidP="00E23DB8">
            <w:pPr>
              <w:ind w:right="227"/>
              <w:jc w:val="right"/>
              <w:rPr>
                <w:b/>
                <w:bCs/>
                <w:sz w:val="14"/>
                <w:szCs w:val="14"/>
              </w:rPr>
            </w:pPr>
            <w:r>
              <w:rPr>
                <w:b/>
                <w:bCs/>
                <w:sz w:val="14"/>
                <w:szCs w:val="14"/>
              </w:rPr>
              <w:t>8</w:t>
            </w:r>
            <w:r w:rsidRPr="0019487B">
              <w:rPr>
                <w:b/>
                <w:bCs/>
                <w:sz w:val="14"/>
                <w:szCs w:val="14"/>
              </w:rPr>
              <w:t>.</w:t>
            </w:r>
            <w:r>
              <w:rPr>
                <w:b/>
                <w:bCs/>
                <w:sz w:val="14"/>
                <w:szCs w:val="14"/>
              </w:rPr>
              <w:t>57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7E0303" w14:textId="77777777" w:rsidR="0045210A" w:rsidRPr="00A850F7" w:rsidRDefault="0045210A" w:rsidP="00E23DB8">
            <w:pPr>
              <w:ind w:right="227"/>
              <w:jc w:val="right"/>
              <w:rPr>
                <w:b/>
                <w:bCs/>
                <w:sz w:val="14"/>
                <w:szCs w:val="14"/>
              </w:rPr>
            </w:pPr>
            <w:r>
              <w:rPr>
                <w:b/>
                <w:bCs/>
                <w:sz w:val="14"/>
                <w:szCs w:val="14"/>
              </w:rPr>
              <w:t>7</w:t>
            </w:r>
            <w:r w:rsidRPr="0019487B">
              <w:rPr>
                <w:b/>
                <w:bCs/>
                <w:sz w:val="14"/>
                <w:szCs w:val="14"/>
              </w:rPr>
              <w:t>.</w:t>
            </w:r>
            <w:r>
              <w:rPr>
                <w:b/>
                <w:bCs/>
                <w:sz w:val="14"/>
                <w:szCs w:val="14"/>
              </w:rPr>
              <w:t>66</w:t>
            </w:r>
          </w:p>
        </w:tc>
      </w:tr>
      <w:tr w:rsidR="0045210A" w:rsidRPr="00841586" w14:paraId="6CF38EF7"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4D8350E"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25784443" w14:textId="77777777" w:rsidR="0045210A" w:rsidRPr="0019487B" w:rsidRDefault="0045210A" w:rsidP="00E23DB8">
            <w:pPr>
              <w:ind w:right="227"/>
              <w:jc w:val="right"/>
              <w:rPr>
                <w:bCs/>
                <w:sz w:val="14"/>
                <w:szCs w:val="14"/>
              </w:rPr>
            </w:pPr>
            <w:r w:rsidRPr="0019487B">
              <w:rPr>
                <w:bCs/>
                <w:sz w:val="14"/>
                <w:szCs w:val="14"/>
              </w:rPr>
              <w:t>-</w:t>
            </w:r>
            <w:r>
              <w:rPr>
                <w:bCs/>
                <w:sz w:val="14"/>
                <w:szCs w:val="14"/>
              </w:rPr>
              <w:t>0.12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DF80A8" w14:textId="77777777" w:rsidR="0045210A" w:rsidRPr="0019487B" w:rsidRDefault="0045210A" w:rsidP="00E23DB8">
            <w:pPr>
              <w:ind w:right="227"/>
              <w:jc w:val="right"/>
              <w:rPr>
                <w:bCs/>
                <w:sz w:val="14"/>
                <w:szCs w:val="14"/>
              </w:rPr>
            </w:pPr>
            <w:r>
              <w:rPr>
                <w:bCs/>
                <w:sz w:val="14"/>
                <w:szCs w:val="14"/>
              </w:rPr>
              <w:t>6</w:t>
            </w:r>
            <w:r w:rsidRPr="0019487B">
              <w:rPr>
                <w:bCs/>
                <w:sz w:val="14"/>
                <w:szCs w:val="14"/>
              </w:rPr>
              <w:t>.</w:t>
            </w:r>
            <w:r>
              <w:rPr>
                <w:bCs/>
                <w:sz w:val="14"/>
                <w:szCs w:val="14"/>
              </w:rPr>
              <w:t>54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65756FE" w14:textId="77777777" w:rsidR="0045210A" w:rsidRPr="0019487B" w:rsidRDefault="0045210A" w:rsidP="00E23DB8">
            <w:pPr>
              <w:ind w:right="227"/>
              <w:jc w:val="right"/>
              <w:rPr>
                <w:bCs/>
                <w:sz w:val="14"/>
                <w:szCs w:val="14"/>
              </w:rPr>
            </w:pPr>
            <w:r w:rsidRPr="0019487B">
              <w:rPr>
                <w:bCs/>
                <w:sz w:val="14"/>
                <w:szCs w:val="14"/>
              </w:rPr>
              <w:t>-</w:t>
            </w:r>
            <w:r>
              <w:rPr>
                <w:bCs/>
                <w:sz w:val="14"/>
                <w:szCs w:val="14"/>
              </w:rPr>
              <w:t>1</w:t>
            </w:r>
            <w:r w:rsidRPr="0019487B">
              <w:rPr>
                <w:bCs/>
                <w:sz w:val="14"/>
                <w:szCs w:val="14"/>
              </w:rPr>
              <w:t>.</w:t>
            </w:r>
            <w:r>
              <w:rPr>
                <w:bCs/>
                <w:sz w:val="14"/>
                <w:szCs w:val="14"/>
              </w:rPr>
              <w:t>17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B11D53" w14:textId="77777777" w:rsidR="0045210A" w:rsidRPr="0019487B" w:rsidRDefault="0045210A" w:rsidP="00E23DB8">
            <w:pPr>
              <w:ind w:right="227"/>
              <w:jc w:val="right"/>
              <w:rPr>
                <w:bCs/>
                <w:sz w:val="14"/>
                <w:szCs w:val="14"/>
              </w:rPr>
            </w:pPr>
            <w:r>
              <w:rPr>
                <w:bCs/>
                <w:sz w:val="14"/>
                <w:szCs w:val="14"/>
              </w:rPr>
              <w:t>0</w:t>
            </w:r>
            <w:r w:rsidRPr="0019487B">
              <w:rPr>
                <w:bCs/>
                <w:sz w:val="14"/>
                <w:szCs w:val="14"/>
              </w:rPr>
              <w:t>.</w:t>
            </w:r>
            <w:r>
              <w:rPr>
                <w:bCs/>
                <w:sz w:val="14"/>
                <w:szCs w:val="14"/>
              </w:rPr>
              <w:t>29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BEC4D4" w14:textId="77777777" w:rsidR="0045210A" w:rsidRPr="0019487B" w:rsidRDefault="0045210A" w:rsidP="00E23DB8">
            <w:pPr>
              <w:ind w:right="227"/>
              <w:jc w:val="right"/>
              <w:rPr>
                <w:bCs/>
                <w:sz w:val="14"/>
                <w:szCs w:val="14"/>
              </w:rPr>
            </w:pPr>
            <w:r>
              <w:rPr>
                <w:bCs/>
                <w:sz w:val="14"/>
                <w:szCs w:val="14"/>
              </w:rPr>
              <w:t>43</w:t>
            </w:r>
            <w:r w:rsidRPr="0019487B">
              <w:rPr>
                <w:bCs/>
                <w:sz w:val="14"/>
                <w:szCs w:val="14"/>
              </w:rPr>
              <w:t>.</w:t>
            </w:r>
            <w:r>
              <w:rPr>
                <w:bCs/>
                <w:sz w:val="14"/>
                <w:szCs w:val="14"/>
              </w:rPr>
              <w:t>65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91E462" w14:textId="77777777" w:rsidR="0045210A" w:rsidRPr="0019487B" w:rsidRDefault="0045210A" w:rsidP="00E23DB8">
            <w:pPr>
              <w:ind w:right="227"/>
              <w:jc w:val="right"/>
              <w:rPr>
                <w:bCs/>
                <w:sz w:val="14"/>
                <w:szCs w:val="14"/>
              </w:rPr>
            </w:pPr>
            <w:r>
              <w:rPr>
                <w:bCs/>
                <w:sz w:val="14"/>
                <w:szCs w:val="14"/>
              </w:rPr>
              <w:t>4</w:t>
            </w:r>
            <w:r w:rsidRPr="0019487B">
              <w:rPr>
                <w:bCs/>
                <w:sz w:val="14"/>
                <w:szCs w:val="14"/>
              </w:rPr>
              <w:t>.</w:t>
            </w:r>
            <w:r>
              <w:rPr>
                <w:bCs/>
                <w:sz w:val="14"/>
                <w:szCs w:val="14"/>
              </w:rPr>
              <w:t>42</w:t>
            </w:r>
          </w:p>
        </w:tc>
      </w:tr>
      <w:tr w:rsidR="0045210A" w:rsidRPr="00841586" w14:paraId="5B774949"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6C0943D"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503C167" w14:textId="77777777" w:rsidR="0045210A" w:rsidRPr="0019487B" w:rsidRDefault="0045210A" w:rsidP="00E23DB8">
            <w:pPr>
              <w:ind w:right="227"/>
              <w:jc w:val="right"/>
              <w:rPr>
                <w:bCs/>
                <w:sz w:val="14"/>
                <w:szCs w:val="14"/>
              </w:rPr>
            </w:pPr>
            <w:r>
              <w:rPr>
                <w:bCs/>
                <w:sz w:val="14"/>
                <w:szCs w:val="14"/>
              </w:rPr>
              <w:t>13</w:t>
            </w:r>
            <w:r w:rsidRPr="0019487B">
              <w:rPr>
                <w:bCs/>
                <w:sz w:val="14"/>
                <w:szCs w:val="14"/>
              </w:rPr>
              <w:t>.</w:t>
            </w:r>
            <w:r>
              <w:rPr>
                <w:bCs/>
                <w:sz w:val="14"/>
                <w:szCs w:val="14"/>
              </w:rPr>
              <w:t>84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1F4CB4" w14:textId="77777777" w:rsidR="0045210A" w:rsidRPr="0019487B" w:rsidRDefault="0045210A" w:rsidP="00E23DB8">
            <w:pPr>
              <w:ind w:right="227"/>
              <w:jc w:val="right"/>
              <w:rPr>
                <w:bCs/>
                <w:sz w:val="14"/>
                <w:szCs w:val="14"/>
              </w:rPr>
            </w:pPr>
            <w:r>
              <w:rPr>
                <w:bCs/>
                <w:sz w:val="14"/>
                <w:szCs w:val="14"/>
              </w:rPr>
              <w:t>13</w:t>
            </w:r>
            <w:r w:rsidRPr="0019487B">
              <w:rPr>
                <w:bCs/>
                <w:sz w:val="14"/>
                <w:szCs w:val="14"/>
              </w:rPr>
              <w:t>.</w:t>
            </w:r>
            <w:r>
              <w:rPr>
                <w:bCs/>
                <w:sz w:val="14"/>
                <w:szCs w:val="14"/>
              </w:rPr>
              <w:t>98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7CE8FC1" w14:textId="77777777" w:rsidR="0045210A" w:rsidRPr="0019487B" w:rsidRDefault="0045210A" w:rsidP="00E23DB8">
            <w:pPr>
              <w:ind w:right="227"/>
              <w:jc w:val="right"/>
              <w:rPr>
                <w:bCs/>
                <w:sz w:val="14"/>
                <w:szCs w:val="14"/>
              </w:rPr>
            </w:pPr>
            <w:r w:rsidRPr="0019487B">
              <w:rPr>
                <w:bCs/>
                <w:sz w:val="14"/>
                <w:szCs w:val="14"/>
              </w:rPr>
              <w:t>1</w:t>
            </w:r>
            <w:r>
              <w:rPr>
                <w:bCs/>
                <w:sz w:val="14"/>
                <w:szCs w:val="14"/>
              </w:rPr>
              <w:t>3</w:t>
            </w:r>
            <w:r w:rsidRPr="0019487B">
              <w:rPr>
                <w:bCs/>
                <w:sz w:val="14"/>
                <w:szCs w:val="14"/>
              </w:rPr>
              <w:t>.</w:t>
            </w:r>
            <w:r>
              <w:rPr>
                <w:bCs/>
                <w:sz w:val="14"/>
                <w:szCs w:val="14"/>
              </w:rPr>
              <w:t>25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6D840E" w14:textId="77777777" w:rsidR="0045210A" w:rsidRPr="0019487B" w:rsidRDefault="0045210A" w:rsidP="00E23DB8">
            <w:pPr>
              <w:ind w:right="227"/>
              <w:jc w:val="right"/>
              <w:rPr>
                <w:bCs/>
                <w:sz w:val="14"/>
                <w:szCs w:val="14"/>
              </w:rPr>
            </w:pPr>
            <w:r w:rsidRPr="0019487B">
              <w:rPr>
                <w:bCs/>
                <w:sz w:val="14"/>
                <w:szCs w:val="14"/>
              </w:rPr>
              <w:t>3.</w:t>
            </w:r>
            <w:r>
              <w:rPr>
                <w:bCs/>
                <w:sz w:val="14"/>
                <w:szCs w:val="14"/>
              </w:rPr>
              <w:t>3</w:t>
            </w:r>
            <w:r w:rsidRPr="0019487B">
              <w:rPr>
                <w:bCs/>
                <w:sz w:val="14"/>
                <w:szCs w:val="14"/>
              </w:rPr>
              <w:t>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66FD59D" w14:textId="77777777" w:rsidR="0045210A" w:rsidRPr="0019487B" w:rsidRDefault="0045210A" w:rsidP="00E23DB8">
            <w:pPr>
              <w:ind w:right="227"/>
              <w:jc w:val="right"/>
              <w:rPr>
                <w:bCs/>
                <w:sz w:val="14"/>
                <w:szCs w:val="14"/>
              </w:rPr>
            </w:pPr>
            <w:r w:rsidRPr="0019487B">
              <w:rPr>
                <w:bCs/>
                <w:sz w:val="14"/>
                <w:szCs w:val="14"/>
              </w:rPr>
              <w:t>4.</w:t>
            </w:r>
            <w:r>
              <w:rPr>
                <w:bCs/>
                <w:sz w:val="14"/>
                <w:szCs w:val="14"/>
              </w:rPr>
              <w:t>59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62E1A5" w14:textId="77777777" w:rsidR="0045210A" w:rsidRPr="0019487B" w:rsidRDefault="0045210A" w:rsidP="00E23DB8">
            <w:pPr>
              <w:ind w:right="227"/>
              <w:jc w:val="right"/>
              <w:rPr>
                <w:bCs/>
                <w:sz w:val="14"/>
                <w:szCs w:val="14"/>
              </w:rPr>
            </w:pPr>
            <w:r>
              <w:rPr>
                <w:bCs/>
                <w:sz w:val="14"/>
                <w:szCs w:val="14"/>
              </w:rPr>
              <w:t>9</w:t>
            </w:r>
            <w:r w:rsidRPr="0019487B">
              <w:rPr>
                <w:bCs/>
                <w:sz w:val="14"/>
                <w:szCs w:val="14"/>
              </w:rPr>
              <w:t>.</w:t>
            </w:r>
            <w:r>
              <w:rPr>
                <w:bCs/>
                <w:sz w:val="14"/>
                <w:szCs w:val="14"/>
              </w:rPr>
              <w:t>77</w:t>
            </w:r>
          </w:p>
        </w:tc>
      </w:tr>
      <w:tr w:rsidR="0045210A" w:rsidRPr="00841586" w14:paraId="3FD74196"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0A436744"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56DD44D6" w14:textId="77777777" w:rsidR="0045210A" w:rsidRPr="0019487B" w:rsidRDefault="0045210A" w:rsidP="00E23DB8">
            <w:pPr>
              <w:ind w:right="227"/>
              <w:jc w:val="right"/>
              <w:rPr>
                <w:bCs/>
                <w:sz w:val="14"/>
                <w:szCs w:val="14"/>
              </w:rPr>
            </w:pPr>
            <w:r w:rsidRPr="0019487B">
              <w:rPr>
                <w:bCs/>
                <w:sz w:val="14"/>
                <w:szCs w:val="14"/>
              </w:rPr>
              <w:t>0.</w:t>
            </w:r>
            <w:r>
              <w:rPr>
                <w:bCs/>
                <w:sz w:val="14"/>
                <w:szCs w:val="14"/>
              </w:rPr>
              <w:t>7</w:t>
            </w:r>
            <w:r w:rsidRPr="0019487B">
              <w:rPr>
                <w:bCs/>
                <w:sz w:val="14"/>
                <w:szCs w:val="14"/>
              </w:rPr>
              <w:t>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A6BB3C" w14:textId="77777777" w:rsidR="0045210A" w:rsidRPr="0019487B" w:rsidRDefault="0045210A" w:rsidP="00E23DB8">
            <w:pPr>
              <w:ind w:right="227"/>
              <w:jc w:val="right"/>
              <w:rPr>
                <w:bCs/>
                <w:sz w:val="14"/>
                <w:szCs w:val="14"/>
              </w:rPr>
            </w:pPr>
            <w:r w:rsidRPr="0019487B">
              <w:rPr>
                <w:bCs/>
                <w:sz w:val="14"/>
                <w:szCs w:val="14"/>
              </w:rPr>
              <w:t>0.3</w:t>
            </w:r>
            <w:r>
              <w:rPr>
                <w:bCs/>
                <w:sz w:val="14"/>
                <w:szCs w:val="14"/>
              </w:rPr>
              <w:t>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699914" w14:textId="77777777" w:rsidR="0045210A" w:rsidRPr="0019487B" w:rsidRDefault="0045210A" w:rsidP="00E23DB8">
            <w:pPr>
              <w:ind w:right="227"/>
              <w:jc w:val="right"/>
              <w:rPr>
                <w:bCs/>
                <w:sz w:val="14"/>
                <w:szCs w:val="14"/>
              </w:rPr>
            </w:pPr>
            <w:r w:rsidRPr="0019487B">
              <w:rPr>
                <w:bCs/>
                <w:sz w:val="14"/>
                <w:szCs w:val="14"/>
              </w:rPr>
              <w:t>-0.</w:t>
            </w:r>
            <w:r>
              <w:rPr>
                <w:bCs/>
                <w:sz w:val="14"/>
                <w:szCs w:val="14"/>
              </w:rPr>
              <w:t>66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227B85" w14:textId="77777777" w:rsidR="0045210A" w:rsidRPr="0019487B" w:rsidRDefault="0045210A" w:rsidP="00E23DB8">
            <w:pPr>
              <w:ind w:right="227"/>
              <w:jc w:val="right"/>
              <w:rPr>
                <w:bCs/>
                <w:sz w:val="14"/>
                <w:szCs w:val="14"/>
              </w:rPr>
            </w:pPr>
            <w:r>
              <w:rPr>
                <w:bCs/>
                <w:sz w:val="14"/>
                <w:szCs w:val="14"/>
              </w:rPr>
              <w:t>3</w:t>
            </w:r>
            <w:r w:rsidRPr="0019487B">
              <w:rPr>
                <w:bCs/>
                <w:sz w:val="14"/>
                <w:szCs w:val="14"/>
              </w:rPr>
              <w:t>.</w:t>
            </w:r>
            <w:r>
              <w:rPr>
                <w:bCs/>
                <w:sz w:val="14"/>
                <w:szCs w:val="14"/>
              </w:rPr>
              <w:t>50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E967DF" w14:textId="77777777" w:rsidR="0045210A" w:rsidRPr="0019487B" w:rsidRDefault="0045210A" w:rsidP="00E23DB8">
            <w:pPr>
              <w:ind w:right="227"/>
              <w:jc w:val="right"/>
              <w:rPr>
                <w:bCs/>
                <w:sz w:val="14"/>
                <w:szCs w:val="14"/>
              </w:rPr>
            </w:pPr>
            <w:r w:rsidRPr="0019487B">
              <w:rPr>
                <w:bCs/>
                <w:sz w:val="14"/>
                <w:szCs w:val="14"/>
              </w:rPr>
              <w:t>15.</w:t>
            </w:r>
            <w:r>
              <w:rPr>
                <w:bCs/>
                <w:sz w:val="14"/>
                <w:szCs w:val="14"/>
              </w:rPr>
              <w:t>24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42A596" w14:textId="77777777" w:rsidR="0045210A" w:rsidRPr="0019487B" w:rsidRDefault="0045210A" w:rsidP="00E23DB8">
            <w:pPr>
              <w:ind w:right="227"/>
              <w:jc w:val="right"/>
              <w:rPr>
                <w:bCs/>
                <w:sz w:val="14"/>
                <w:szCs w:val="14"/>
              </w:rPr>
            </w:pPr>
            <w:r w:rsidRPr="0019487B">
              <w:rPr>
                <w:bCs/>
                <w:sz w:val="14"/>
                <w:szCs w:val="14"/>
              </w:rPr>
              <w:t>1</w:t>
            </w:r>
            <w:r>
              <w:rPr>
                <w:bCs/>
                <w:sz w:val="14"/>
                <w:szCs w:val="14"/>
              </w:rPr>
              <w:t>1</w:t>
            </w:r>
            <w:r w:rsidRPr="0019487B">
              <w:rPr>
                <w:bCs/>
                <w:sz w:val="14"/>
                <w:szCs w:val="14"/>
              </w:rPr>
              <w:t>.</w:t>
            </w:r>
            <w:r>
              <w:rPr>
                <w:bCs/>
                <w:sz w:val="14"/>
                <w:szCs w:val="14"/>
              </w:rPr>
              <w:t>14</w:t>
            </w:r>
          </w:p>
        </w:tc>
      </w:tr>
      <w:tr w:rsidR="0045210A" w:rsidRPr="00841586" w14:paraId="5A5534FD" w14:textId="77777777" w:rsidTr="00E23DB8">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FFBE604" w14:textId="77777777" w:rsidR="0045210A" w:rsidRPr="00841586" w:rsidRDefault="0045210A" w:rsidP="0045210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3DB40F14" w14:textId="77777777" w:rsidR="0045210A" w:rsidRPr="0019487B" w:rsidRDefault="0045210A" w:rsidP="00E23DB8">
            <w:pPr>
              <w:ind w:right="227"/>
              <w:jc w:val="right"/>
              <w:rPr>
                <w:bCs/>
                <w:sz w:val="14"/>
                <w:szCs w:val="14"/>
              </w:rPr>
            </w:pPr>
            <w:r w:rsidRPr="0019487B">
              <w:rPr>
                <w:bCs/>
                <w:sz w:val="14"/>
                <w:szCs w:val="14"/>
              </w:rPr>
              <w:t>-0.</w:t>
            </w:r>
            <w:r>
              <w:rPr>
                <w:bCs/>
                <w:sz w:val="14"/>
                <w:szCs w:val="14"/>
              </w:rPr>
              <w:t>24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FB3541F" w14:textId="77777777" w:rsidR="0045210A" w:rsidRPr="0019487B" w:rsidRDefault="0045210A" w:rsidP="00E23DB8">
            <w:pPr>
              <w:ind w:right="227"/>
              <w:jc w:val="right"/>
              <w:rPr>
                <w:bCs/>
                <w:sz w:val="14"/>
                <w:szCs w:val="14"/>
              </w:rPr>
            </w:pPr>
            <w:r>
              <w:rPr>
                <w:bCs/>
                <w:sz w:val="14"/>
                <w:szCs w:val="14"/>
              </w:rPr>
              <w:t>1</w:t>
            </w:r>
            <w:r w:rsidRPr="0019487B">
              <w:rPr>
                <w:bCs/>
                <w:sz w:val="14"/>
                <w:szCs w:val="14"/>
              </w:rPr>
              <w:t>.</w:t>
            </w:r>
            <w:r>
              <w:rPr>
                <w:bCs/>
                <w:sz w:val="14"/>
                <w:szCs w:val="14"/>
              </w:rPr>
              <w:t>05</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AF0BA4" w14:textId="77777777" w:rsidR="0045210A" w:rsidRPr="0019487B" w:rsidRDefault="0045210A" w:rsidP="00E23DB8">
            <w:pPr>
              <w:ind w:right="227"/>
              <w:jc w:val="right"/>
              <w:rPr>
                <w:bCs/>
                <w:sz w:val="14"/>
                <w:szCs w:val="14"/>
              </w:rPr>
            </w:pPr>
            <w:r w:rsidRPr="0019487B">
              <w:rPr>
                <w:bCs/>
                <w:sz w:val="14"/>
                <w:szCs w:val="14"/>
              </w:rPr>
              <w:t>0.</w:t>
            </w:r>
            <w:r>
              <w:rPr>
                <w:bCs/>
                <w:sz w:val="14"/>
                <w:szCs w:val="14"/>
              </w:rPr>
              <w:t>25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5E7F60" w14:textId="77777777" w:rsidR="0045210A" w:rsidRPr="0019487B" w:rsidRDefault="0045210A" w:rsidP="00E23DB8">
            <w:pPr>
              <w:ind w:right="227"/>
              <w:jc w:val="right"/>
              <w:rPr>
                <w:bCs/>
                <w:sz w:val="14"/>
                <w:szCs w:val="14"/>
              </w:rPr>
            </w:pPr>
            <w:r w:rsidRPr="0019487B">
              <w:rPr>
                <w:bCs/>
                <w:sz w:val="14"/>
                <w:szCs w:val="14"/>
              </w:rPr>
              <w:t>6.2</w:t>
            </w:r>
            <w:r>
              <w:rPr>
                <w:bCs/>
                <w:sz w:val="14"/>
                <w:szCs w:val="14"/>
              </w:rPr>
              <w:t>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4955D4" w14:textId="77777777" w:rsidR="0045210A" w:rsidRPr="0019487B" w:rsidRDefault="0045210A" w:rsidP="00E23DB8">
            <w:pPr>
              <w:ind w:right="227"/>
              <w:jc w:val="right"/>
              <w:rPr>
                <w:bCs/>
                <w:sz w:val="14"/>
                <w:szCs w:val="14"/>
              </w:rPr>
            </w:pPr>
            <w:r>
              <w:rPr>
                <w:bCs/>
                <w:sz w:val="14"/>
                <w:szCs w:val="14"/>
              </w:rPr>
              <w:t>5</w:t>
            </w:r>
            <w:r w:rsidRPr="0019487B">
              <w:rPr>
                <w:bCs/>
                <w:sz w:val="14"/>
                <w:szCs w:val="14"/>
              </w:rPr>
              <w:t>.</w:t>
            </w:r>
            <w:r>
              <w:rPr>
                <w:bCs/>
                <w:sz w:val="14"/>
                <w:szCs w:val="14"/>
              </w:rPr>
              <w:t>02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6E523A" w14:textId="77777777" w:rsidR="0045210A" w:rsidRPr="0019487B" w:rsidRDefault="0045210A" w:rsidP="00E23DB8">
            <w:pPr>
              <w:ind w:right="227"/>
              <w:jc w:val="right"/>
              <w:rPr>
                <w:bCs/>
                <w:sz w:val="14"/>
                <w:szCs w:val="14"/>
              </w:rPr>
            </w:pPr>
            <w:r>
              <w:rPr>
                <w:bCs/>
                <w:sz w:val="14"/>
                <w:szCs w:val="14"/>
              </w:rPr>
              <w:t>6</w:t>
            </w:r>
            <w:r w:rsidRPr="0019487B">
              <w:rPr>
                <w:bCs/>
                <w:sz w:val="14"/>
                <w:szCs w:val="14"/>
              </w:rPr>
              <w:t>.</w:t>
            </w:r>
            <w:r>
              <w:rPr>
                <w:bCs/>
                <w:sz w:val="14"/>
                <w:szCs w:val="14"/>
              </w:rPr>
              <w:t>94</w:t>
            </w:r>
          </w:p>
        </w:tc>
      </w:tr>
      <w:tr w:rsidR="0045210A" w:rsidRPr="00841586" w14:paraId="6EC45D15" w14:textId="77777777" w:rsidTr="00E23DB8">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1DEB76A" w14:textId="77777777" w:rsidR="0045210A" w:rsidRPr="00841586" w:rsidRDefault="0045210A" w:rsidP="0045210A">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282F0765" w14:textId="77777777" w:rsidR="0045210A" w:rsidRPr="00A850F7" w:rsidRDefault="0045210A" w:rsidP="00E23DB8">
            <w:pPr>
              <w:ind w:right="227"/>
              <w:jc w:val="right"/>
              <w:rPr>
                <w:b/>
                <w:bCs/>
                <w:sz w:val="14"/>
                <w:szCs w:val="14"/>
              </w:rPr>
            </w:pPr>
            <w:r w:rsidRPr="0019487B">
              <w:rPr>
                <w:b/>
                <w:bCs/>
                <w:sz w:val="14"/>
                <w:szCs w:val="14"/>
              </w:rPr>
              <w:t>0.2</w:t>
            </w:r>
            <w:r>
              <w:rPr>
                <w:b/>
                <w:bCs/>
                <w:sz w:val="14"/>
                <w:szCs w:val="14"/>
              </w:rPr>
              <w:t>2</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F3B75C6"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53</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721FCBB" w14:textId="77777777" w:rsidR="0045210A" w:rsidRPr="00A850F7" w:rsidRDefault="0045210A" w:rsidP="00E23DB8">
            <w:pPr>
              <w:ind w:right="227"/>
              <w:jc w:val="right"/>
              <w:rPr>
                <w:b/>
                <w:bCs/>
                <w:sz w:val="14"/>
                <w:szCs w:val="14"/>
              </w:rPr>
            </w:pPr>
            <w:r w:rsidRPr="0019487B">
              <w:rPr>
                <w:b/>
                <w:bCs/>
                <w:sz w:val="14"/>
                <w:szCs w:val="14"/>
              </w:rPr>
              <w:t>0.</w:t>
            </w:r>
            <w:r>
              <w:rPr>
                <w:b/>
                <w:bCs/>
                <w:sz w:val="14"/>
                <w:szCs w:val="14"/>
              </w:rPr>
              <w:t>20</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0DE95692" w14:textId="77777777" w:rsidR="0045210A" w:rsidRPr="00A850F7" w:rsidRDefault="0045210A" w:rsidP="00E23DB8">
            <w:pPr>
              <w:ind w:right="227"/>
              <w:jc w:val="right"/>
              <w:rPr>
                <w:b/>
                <w:bCs/>
                <w:sz w:val="14"/>
                <w:szCs w:val="14"/>
              </w:rPr>
            </w:pPr>
            <w:r>
              <w:rPr>
                <w:b/>
                <w:bCs/>
                <w:sz w:val="14"/>
                <w:szCs w:val="14"/>
              </w:rPr>
              <w:t>3</w:t>
            </w:r>
            <w:r w:rsidRPr="0019487B">
              <w:rPr>
                <w:b/>
                <w:bCs/>
                <w:sz w:val="14"/>
                <w:szCs w:val="14"/>
              </w:rPr>
              <w:t>.</w:t>
            </w:r>
            <w:r>
              <w:rPr>
                <w:b/>
                <w:bCs/>
                <w:sz w:val="14"/>
                <w:szCs w:val="14"/>
              </w:rPr>
              <w:t>00</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BAAE133" w14:textId="77777777" w:rsidR="0045210A" w:rsidRPr="00A850F7" w:rsidRDefault="0045210A" w:rsidP="00E23DB8">
            <w:pPr>
              <w:ind w:right="227"/>
              <w:jc w:val="right"/>
              <w:rPr>
                <w:b/>
                <w:bCs/>
                <w:sz w:val="14"/>
                <w:szCs w:val="14"/>
              </w:rPr>
            </w:pPr>
            <w:r>
              <w:rPr>
                <w:b/>
                <w:bCs/>
                <w:sz w:val="14"/>
                <w:szCs w:val="14"/>
              </w:rPr>
              <w:t>3</w:t>
            </w:r>
            <w:r w:rsidRPr="0019487B">
              <w:rPr>
                <w:b/>
                <w:bCs/>
                <w:sz w:val="14"/>
                <w:szCs w:val="14"/>
              </w:rPr>
              <w:t>.</w:t>
            </w:r>
            <w:r>
              <w:rPr>
                <w:b/>
                <w:bCs/>
                <w:sz w:val="14"/>
                <w:szCs w:val="14"/>
              </w:rPr>
              <w:t>26</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58E4A46" w14:textId="77777777" w:rsidR="0045210A" w:rsidRPr="00A850F7" w:rsidRDefault="0045210A" w:rsidP="00E23DB8">
            <w:pPr>
              <w:ind w:right="227"/>
              <w:jc w:val="right"/>
              <w:rPr>
                <w:b/>
                <w:bCs/>
                <w:sz w:val="14"/>
                <w:szCs w:val="14"/>
              </w:rPr>
            </w:pPr>
            <w:r>
              <w:rPr>
                <w:b/>
                <w:bCs/>
                <w:sz w:val="14"/>
                <w:szCs w:val="14"/>
              </w:rPr>
              <w:t>5</w:t>
            </w:r>
            <w:r w:rsidRPr="0019487B">
              <w:rPr>
                <w:b/>
                <w:bCs/>
                <w:sz w:val="14"/>
                <w:szCs w:val="14"/>
              </w:rPr>
              <w:t>.</w:t>
            </w:r>
            <w:r>
              <w:rPr>
                <w:b/>
                <w:bCs/>
                <w:sz w:val="14"/>
                <w:szCs w:val="14"/>
              </w:rPr>
              <w:t>82</w:t>
            </w:r>
          </w:p>
        </w:tc>
      </w:tr>
    </w:tbl>
    <w:bookmarkEnd w:id="8"/>
    <w:p w14:paraId="48BB3D05"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23114">
        <w:rPr>
          <w:color w:val="000000"/>
          <w:sz w:val="14"/>
          <w:szCs w:val="14"/>
        </w:rPr>
        <w:t>INEGI</w:t>
      </w:r>
      <w:r w:rsidRPr="00EA1643">
        <w:rPr>
          <w:snapToGrid w:val="0"/>
          <w:sz w:val="14"/>
          <w:szCs w:val="14"/>
          <w:u w:val="single"/>
        </w:rPr>
        <w:t xml:space="preserve"> </w:t>
      </w:r>
    </w:p>
    <w:p w14:paraId="5220BDDC" w14:textId="77777777" w:rsidR="004D5C5B" w:rsidRPr="00EA1643" w:rsidRDefault="004D5C5B" w:rsidP="00D36239">
      <w:pPr>
        <w:pStyle w:val="n01"/>
        <w:keepLines w:val="0"/>
        <w:widowControl w:val="0"/>
        <w:spacing w:before="600"/>
        <w:ind w:left="0" w:firstLine="709"/>
        <w:rPr>
          <w:rFonts w:ascii="Arial" w:hAnsi="Arial"/>
          <w:b/>
          <w:snapToGrid w:val="0"/>
          <w:color w:val="000000"/>
        </w:rPr>
      </w:pPr>
      <w:r w:rsidRPr="00EA1643">
        <w:rPr>
          <w:rFonts w:ascii="Arial" w:hAnsi="Arial"/>
          <w:b/>
          <w:snapToGrid w:val="0"/>
          <w:color w:val="000000"/>
        </w:rPr>
        <w:t>Por destino de la producción</w:t>
      </w:r>
    </w:p>
    <w:p w14:paraId="11DAD343" w14:textId="061D2793" w:rsidR="00832CCE" w:rsidRPr="00832CCE" w:rsidRDefault="00832CCE" w:rsidP="00832CCE">
      <w:pPr>
        <w:widowControl w:val="0"/>
        <w:autoSpaceDE w:val="0"/>
        <w:autoSpaceDN w:val="0"/>
        <w:adjustRightInd w:val="0"/>
        <w:spacing w:before="240"/>
        <w:rPr>
          <w:snapToGrid w:val="0"/>
        </w:rPr>
      </w:pPr>
      <w:r w:rsidRPr="00832CCE">
        <w:rPr>
          <w:snapToGrid w:val="0"/>
        </w:rPr>
        <w:t xml:space="preserve">En octubre de 2022, los precios de los bienes finales de demanda interna presentaron un alza mensual de 0.12 % y anual de 8.64 por ciento. A su interior, los precios de los bienes de consumo aumentaron 0.34 % a tasa mensual y 8.42 % a tasa anual. Los destinados a la formación de capital </w:t>
      </w:r>
      <w:r w:rsidR="00952BDF">
        <w:rPr>
          <w:snapToGrid w:val="0"/>
        </w:rPr>
        <w:t>retrocedieron</w:t>
      </w:r>
      <w:r w:rsidR="00952BDF" w:rsidRPr="00832CCE">
        <w:rPr>
          <w:snapToGrid w:val="0"/>
        </w:rPr>
        <w:t xml:space="preserve"> </w:t>
      </w:r>
      <w:r w:rsidRPr="00832CCE">
        <w:rPr>
          <w:snapToGrid w:val="0"/>
        </w:rPr>
        <w:t>0.40 % mensual y subieron 9.16 % anual.</w:t>
      </w:r>
    </w:p>
    <w:p w14:paraId="7300F1C6" w14:textId="4A806D79" w:rsidR="00C963A9" w:rsidRDefault="00832CCE" w:rsidP="00832CCE">
      <w:pPr>
        <w:widowControl w:val="0"/>
        <w:autoSpaceDE w:val="0"/>
        <w:autoSpaceDN w:val="0"/>
        <w:adjustRightInd w:val="0"/>
        <w:spacing w:before="240"/>
        <w:rPr>
          <w:snapToGrid w:val="0"/>
        </w:rPr>
      </w:pPr>
      <w:r w:rsidRPr="00832CCE">
        <w:rPr>
          <w:snapToGrid w:val="0"/>
        </w:rPr>
        <w:t xml:space="preserve">Por su parte, los precios de los bienes orientados a la exportación </w:t>
      </w:r>
      <w:r>
        <w:rPr>
          <w:snapToGrid w:val="0"/>
        </w:rPr>
        <w:t>crecie</w:t>
      </w:r>
      <w:r w:rsidRPr="00832CCE">
        <w:rPr>
          <w:snapToGrid w:val="0"/>
        </w:rPr>
        <w:t>ron 0.07 % a tasa mensual y 4.05 % a tasa anual</w:t>
      </w:r>
      <w:r w:rsidR="008D4C3F" w:rsidRPr="00DE050D">
        <w:rPr>
          <w:snapToGrid w:val="0"/>
        </w:rPr>
        <w:t>.</w:t>
      </w:r>
    </w:p>
    <w:p w14:paraId="06483BE8" w14:textId="77777777"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1C2EFA3E"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5142D086" w14:textId="77777777"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0B4680C5" w14:textId="77777777" w:rsidR="00E44C01"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incluyendo petróleo, </w:t>
      </w:r>
      <w:r w:rsidR="00E44C01">
        <w:rPr>
          <w:b/>
          <w:smallCaps/>
          <w:snapToGrid w:val="0"/>
          <w:sz w:val="22"/>
          <w:szCs w:val="22"/>
        </w:rPr>
        <w:t>clasificación por destino</w:t>
      </w:r>
    </w:p>
    <w:p w14:paraId="2AC6C21C" w14:textId="6E7AC90D" w:rsidR="004D5C5B" w:rsidRPr="00E21E68" w:rsidRDefault="00832CCE" w:rsidP="00E44C01">
      <w:pPr>
        <w:keepNext/>
        <w:keepLines/>
        <w:widowControl w:val="0"/>
        <w:autoSpaceDE w:val="0"/>
        <w:autoSpaceDN w:val="0"/>
        <w:adjustRightInd w:val="0"/>
        <w:jc w:val="center"/>
        <w:rPr>
          <w:b/>
          <w:smallCaps/>
          <w:snapToGrid w:val="0"/>
          <w:sz w:val="22"/>
          <w:szCs w:val="22"/>
        </w:rPr>
      </w:pPr>
      <w:r>
        <w:rPr>
          <w:b/>
          <w:smallCaps/>
          <w:snapToGrid w:val="0"/>
          <w:sz w:val="22"/>
          <w:szCs w:val="22"/>
        </w:rPr>
        <w:t>octu</w:t>
      </w:r>
      <w:r w:rsidR="00185B5A">
        <w:rPr>
          <w:b/>
          <w:smallCaps/>
          <w:snapToGrid w:val="0"/>
          <w:sz w:val="22"/>
          <w:szCs w:val="22"/>
        </w:rPr>
        <w:t>bre</w:t>
      </w:r>
      <w:r w:rsidR="00E21E68" w:rsidRPr="00E21E68">
        <w:rPr>
          <w:b/>
          <w:bCs/>
          <w:smallCaps/>
          <w:color w:val="000000"/>
          <w:spacing w:val="1"/>
          <w:sz w:val="22"/>
          <w:szCs w:val="22"/>
        </w:rPr>
        <w:t xml:space="preserve"> de 2022</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45210A" w:rsidRPr="00A9663B" w14:paraId="44EE440D" w14:textId="77777777" w:rsidTr="00E23DB8">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C1E75FF" w14:textId="77777777" w:rsidR="0045210A" w:rsidRPr="00A9663B" w:rsidRDefault="0045210A" w:rsidP="00E23DB8">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07A16293" w14:textId="77777777" w:rsidR="0045210A" w:rsidRPr="00A9663B" w:rsidRDefault="0045210A" w:rsidP="00E23DB8">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554F57F3" w14:textId="77777777" w:rsidR="0045210A" w:rsidRPr="002B3CB0" w:rsidRDefault="0045210A" w:rsidP="00E23DB8">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FEDE81B" w14:textId="77777777" w:rsidR="0045210A" w:rsidRPr="00A9663B" w:rsidRDefault="0045210A" w:rsidP="00E23DB8">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anual</w:t>
            </w:r>
          </w:p>
        </w:tc>
      </w:tr>
      <w:tr w:rsidR="0045210A" w:rsidRPr="00A9663B" w14:paraId="4BDF00E1" w14:textId="77777777" w:rsidTr="00E23DB8">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03B58450" w14:textId="77777777" w:rsidR="0045210A" w:rsidRPr="00A9663B" w:rsidRDefault="0045210A" w:rsidP="00E23DB8">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65A19F84" w14:textId="77777777" w:rsidR="0045210A" w:rsidRPr="00A9663B" w:rsidRDefault="0045210A" w:rsidP="00E23DB8">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4717C79" w14:textId="77777777" w:rsidR="0045210A" w:rsidRPr="00A9663B" w:rsidRDefault="0045210A" w:rsidP="00E23DB8">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0C0E88E" w14:textId="77777777" w:rsidR="0045210A" w:rsidRPr="00A9663B" w:rsidRDefault="0045210A" w:rsidP="00E23DB8">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53A644B6" w14:textId="77777777" w:rsidR="0045210A" w:rsidRPr="00A9663B" w:rsidRDefault="0045210A" w:rsidP="00E23DB8">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CA6CBA4" w14:textId="77777777" w:rsidR="0045210A" w:rsidRPr="00A9663B" w:rsidRDefault="0045210A" w:rsidP="00E23DB8">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5DF1E09" w14:textId="77777777" w:rsidR="0045210A" w:rsidRPr="00A9663B" w:rsidRDefault="0045210A" w:rsidP="00E23DB8">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B8FEF60" w14:textId="77777777" w:rsidR="0045210A" w:rsidRPr="00A9663B" w:rsidRDefault="0045210A" w:rsidP="00E23DB8">
            <w:pPr>
              <w:jc w:val="center"/>
              <w:rPr>
                <w:bCs/>
                <w:color w:val="000000"/>
                <w:sz w:val="16"/>
                <w:szCs w:val="16"/>
              </w:rPr>
            </w:pPr>
            <w:r w:rsidRPr="00A9663B">
              <w:rPr>
                <w:bCs/>
                <w:color w:val="000000"/>
                <w:sz w:val="16"/>
                <w:szCs w:val="16"/>
              </w:rPr>
              <w:t>Total</w:t>
            </w:r>
          </w:p>
        </w:tc>
      </w:tr>
      <w:tr w:rsidR="0045210A" w:rsidRPr="00841586" w14:paraId="247A82E7" w14:textId="77777777" w:rsidTr="00E23DB8">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45318AC2" w14:textId="2783F7A4" w:rsidR="0045210A" w:rsidRPr="00841586" w:rsidRDefault="00E71622" w:rsidP="0045210A">
            <w:pPr>
              <w:autoSpaceDE w:val="0"/>
              <w:autoSpaceDN w:val="0"/>
              <w:adjustRightInd w:val="0"/>
              <w:jc w:val="left"/>
              <w:rPr>
                <w:b/>
                <w:bCs/>
                <w:color w:val="000000"/>
                <w:sz w:val="14"/>
                <w:szCs w:val="14"/>
              </w:rPr>
            </w:pPr>
            <w:r>
              <w:rPr>
                <w:b/>
                <w:bCs/>
                <w:color w:val="000000"/>
                <w:sz w:val="14"/>
                <w:szCs w:val="14"/>
              </w:rPr>
              <w:t>Índice general</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18A51835" w14:textId="77777777" w:rsidR="0045210A" w:rsidRPr="008A0229" w:rsidRDefault="0045210A" w:rsidP="0045210A">
            <w:pPr>
              <w:tabs>
                <w:tab w:val="decimal" w:pos="365"/>
              </w:tabs>
              <w:autoSpaceDE w:val="0"/>
              <w:autoSpaceDN w:val="0"/>
              <w:adjustRightInd w:val="0"/>
              <w:ind w:right="283"/>
              <w:jc w:val="left"/>
              <w:rPr>
                <w:b/>
                <w:bCs/>
                <w:color w:val="000000"/>
                <w:sz w:val="14"/>
                <w:szCs w:val="14"/>
              </w:rPr>
            </w:pPr>
            <w:r w:rsidRPr="00E6662D">
              <w:rPr>
                <w:b/>
                <w:bCs/>
                <w:color w:val="000000"/>
                <w:sz w:val="14"/>
                <w:szCs w:val="14"/>
              </w:rPr>
              <w:t>0.</w:t>
            </w:r>
            <w:r>
              <w:rPr>
                <w:b/>
                <w:bCs/>
                <w:color w:val="000000"/>
                <w:sz w:val="14"/>
                <w:szCs w:val="14"/>
              </w:rPr>
              <w:t>08</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09E7A08" w14:textId="77777777" w:rsidR="0045210A" w:rsidRPr="008A0229" w:rsidRDefault="0045210A" w:rsidP="0045210A">
            <w:pPr>
              <w:tabs>
                <w:tab w:val="decimal" w:pos="421"/>
              </w:tabs>
              <w:autoSpaceDE w:val="0"/>
              <w:autoSpaceDN w:val="0"/>
              <w:adjustRightInd w:val="0"/>
              <w:ind w:right="283"/>
              <w:jc w:val="left"/>
              <w:rPr>
                <w:b/>
                <w:bCs/>
                <w:color w:val="000000"/>
                <w:sz w:val="14"/>
                <w:szCs w:val="14"/>
              </w:rPr>
            </w:pPr>
            <w:r w:rsidRPr="00E6662D">
              <w:rPr>
                <w:b/>
                <w:bCs/>
                <w:color w:val="000000"/>
                <w:sz w:val="14"/>
                <w:szCs w:val="14"/>
              </w:rPr>
              <w:t>0.</w:t>
            </w:r>
            <w:r>
              <w:rPr>
                <w:b/>
                <w:bCs/>
                <w:color w:val="000000"/>
                <w:sz w:val="14"/>
                <w:szCs w:val="14"/>
              </w:rPr>
              <w:t>15</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ABC310A" w14:textId="77777777" w:rsidR="0045210A" w:rsidRPr="008A0229" w:rsidRDefault="0045210A" w:rsidP="0045210A">
            <w:pPr>
              <w:tabs>
                <w:tab w:val="decimal" w:pos="429"/>
              </w:tabs>
              <w:autoSpaceDE w:val="0"/>
              <w:autoSpaceDN w:val="0"/>
              <w:adjustRightInd w:val="0"/>
              <w:ind w:right="275"/>
              <w:jc w:val="left"/>
              <w:rPr>
                <w:b/>
                <w:bCs/>
                <w:color w:val="000000"/>
                <w:sz w:val="14"/>
                <w:szCs w:val="14"/>
              </w:rPr>
            </w:pPr>
            <w:r w:rsidRPr="00E6662D">
              <w:rPr>
                <w:b/>
                <w:bCs/>
                <w:color w:val="000000"/>
                <w:sz w:val="14"/>
                <w:szCs w:val="14"/>
              </w:rPr>
              <w:t>0.1</w:t>
            </w:r>
            <w:r>
              <w:rPr>
                <w:b/>
                <w:bCs/>
                <w:color w:val="000000"/>
                <w:sz w:val="14"/>
                <w:szCs w:val="14"/>
              </w:rPr>
              <w:t>1</w:t>
            </w:r>
          </w:p>
        </w:tc>
        <w:tc>
          <w:tcPr>
            <w:tcW w:w="1004" w:type="dxa"/>
            <w:tcBorders>
              <w:top w:val="single" w:sz="8" w:space="0" w:color="595959"/>
              <w:left w:val="single" w:sz="8" w:space="0" w:color="595959"/>
              <w:bottom w:val="dotted" w:sz="4" w:space="0" w:color="595959"/>
              <w:right w:val="single" w:sz="8" w:space="0" w:color="595959"/>
            </w:tcBorders>
            <w:vAlign w:val="center"/>
          </w:tcPr>
          <w:p w14:paraId="10B225F3" w14:textId="77777777" w:rsidR="0045210A" w:rsidRPr="008A0229" w:rsidRDefault="0045210A" w:rsidP="00E23DB8">
            <w:pPr>
              <w:autoSpaceDE w:val="0"/>
              <w:autoSpaceDN w:val="0"/>
              <w:adjustRightInd w:val="0"/>
              <w:ind w:right="283"/>
              <w:jc w:val="right"/>
              <w:rPr>
                <w:b/>
                <w:bCs/>
                <w:color w:val="000000"/>
                <w:sz w:val="14"/>
                <w:szCs w:val="14"/>
              </w:rPr>
            </w:pPr>
            <w:r w:rsidRPr="00E6662D">
              <w:rPr>
                <w:b/>
                <w:bCs/>
                <w:color w:val="000000"/>
                <w:sz w:val="14"/>
                <w:szCs w:val="14"/>
              </w:rPr>
              <w:t>0.1</w:t>
            </w:r>
            <w:r>
              <w:rPr>
                <w:b/>
                <w:bCs/>
                <w:color w:val="000000"/>
                <w:sz w:val="14"/>
                <w:szCs w:val="14"/>
              </w:rPr>
              <w:t>08</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D66A289" w14:textId="77777777" w:rsidR="0045210A" w:rsidRPr="008A0229" w:rsidRDefault="0045210A" w:rsidP="0045210A">
            <w:pPr>
              <w:tabs>
                <w:tab w:val="decimal" w:pos="396"/>
              </w:tabs>
              <w:autoSpaceDE w:val="0"/>
              <w:autoSpaceDN w:val="0"/>
              <w:adjustRightInd w:val="0"/>
              <w:ind w:right="283"/>
              <w:jc w:val="left"/>
              <w:rPr>
                <w:b/>
                <w:bCs/>
                <w:color w:val="000000"/>
                <w:sz w:val="14"/>
                <w:szCs w:val="14"/>
              </w:rPr>
            </w:pPr>
            <w:r>
              <w:rPr>
                <w:b/>
                <w:bCs/>
                <w:color w:val="000000"/>
                <w:sz w:val="14"/>
                <w:szCs w:val="14"/>
              </w:rPr>
              <w:t>7</w:t>
            </w:r>
            <w:r w:rsidRPr="00E6662D">
              <w:rPr>
                <w:b/>
                <w:bCs/>
                <w:color w:val="000000"/>
                <w:sz w:val="14"/>
                <w:szCs w:val="14"/>
              </w:rPr>
              <w:t>.</w:t>
            </w:r>
            <w:r>
              <w:rPr>
                <w:b/>
                <w:bCs/>
                <w:color w:val="000000"/>
                <w:sz w:val="14"/>
                <w:szCs w:val="14"/>
              </w:rPr>
              <w:t>99</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57631A6" w14:textId="77777777" w:rsidR="0045210A" w:rsidRPr="008A0229" w:rsidRDefault="0045210A" w:rsidP="0045210A">
            <w:pPr>
              <w:tabs>
                <w:tab w:val="decimal" w:pos="385"/>
              </w:tabs>
              <w:autoSpaceDE w:val="0"/>
              <w:autoSpaceDN w:val="0"/>
              <w:adjustRightInd w:val="0"/>
              <w:ind w:right="283"/>
              <w:jc w:val="left"/>
              <w:rPr>
                <w:b/>
                <w:bCs/>
                <w:color w:val="000000"/>
                <w:sz w:val="14"/>
                <w:szCs w:val="14"/>
              </w:rPr>
            </w:pPr>
            <w:r w:rsidRPr="00E6662D">
              <w:rPr>
                <w:b/>
                <w:bCs/>
                <w:color w:val="000000"/>
                <w:sz w:val="14"/>
                <w:szCs w:val="14"/>
              </w:rPr>
              <w:t>6.</w:t>
            </w:r>
            <w:r>
              <w:rPr>
                <w:b/>
                <w:bCs/>
                <w:color w:val="000000"/>
                <w:sz w:val="14"/>
                <w:szCs w:val="14"/>
              </w:rPr>
              <w:t>03</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25B528C" w14:textId="77777777" w:rsidR="0045210A" w:rsidRPr="008A0229" w:rsidRDefault="0045210A" w:rsidP="0045210A">
            <w:pPr>
              <w:tabs>
                <w:tab w:val="decimal" w:pos="403"/>
              </w:tabs>
              <w:autoSpaceDE w:val="0"/>
              <w:autoSpaceDN w:val="0"/>
              <w:adjustRightInd w:val="0"/>
              <w:ind w:right="283"/>
              <w:jc w:val="left"/>
              <w:rPr>
                <w:b/>
                <w:bCs/>
                <w:color w:val="000000"/>
                <w:sz w:val="14"/>
                <w:szCs w:val="14"/>
              </w:rPr>
            </w:pPr>
            <w:r>
              <w:rPr>
                <w:b/>
                <w:bCs/>
                <w:color w:val="000000"/>
                <w:sz w:val="14"/>
                <w:szCs w:val="14"/>
              </w:rPr>
              <w:t>7</w:t>
            </w:r>
            <w:r w:rsidRPr="00E6662D">
              <w:rPr>
                <w:b/>
                <w:bCs/>
                <w:color w:val="000000"/>
                <w:sz w:val="14"/>
                <w:szCs w:val="14"/>
              </w:rPr>
              <w:t>.</w:t>
            </w:r>
            <w:r>
              <w:rPr>
                <w:b/>
                <w:bCs/>
                <w:color w:val="000000"/>
                <w:sz w:val="14"/>
                <w:szCs w:val="14"/>
              </w:rPr>
              <w:t>31</w:t>
            </w:r>
          </w:p>
        </w:tc>
      </w:tr>
      <w:tr w:rsidR="0045210A" w:rsidRPr="00FF7D68" w14:paraId="079FC5B4" w14:textId="77777777" w:rsidTr="00E23DB8">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0AFC9AAF" w14:textId="77777777" w:rsidR="0045210A" w:rsidRPr="00841586" w:rsidRDefault="0045210A" w:rsidP="0045210A">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17C6D8FC" w14:textId="77777777" w:rsidR="0045210A" w:rsidRPr="008A0229" w:rsidRDefault="0045210A" w:rsidP="0045210A">
            <w:pPr>
              <w:tabs>
                <w:tab w:val="decimal" w:pos="365"/>
              </w:tabs>
              <w:autoSpaceDE w:val="0"/>
              <w:autoSpaceDN w:val="0"/>
              <w:adjustRightInd w:val="0"/>
              <w:ind w:right="283"/>
              <w:jc w:val="left"/>
              <w:rPr>
                <w:b/>
                <w:bCs/>
                <w:color w:val="000000"/>
                <w:sz w:val="14"/>
                <w:szCs w:val="14"/>
              </w:rPr>
            </w:pPr>
            <w:r w:rsidRPr="00E6662D">
              <w:rPr>
                <w:b/>
                <w:bCs/>
                <w:color w:val="000000"/>
                <w:sz w:val="14"/>
                <w:szCs w:val="14"/>
              </w:rPr>
              <w:t>0.0</w:t>
            </w:r>
            <w:r>
              <w:rPr>
                <w:b/>
                <w:bCs/>
                <w:color w:val="000000"/>
                <w:sz w:val="14"/>
                <w:szCs w:val="14"/>
              </w:rPr>
              <w:t>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7EF1DF" w14:textId="77777777" w:rsidR="0045210A" w:rsidRPr="008A0229" w:rsidRDefault="0045210A" w:rsidP="0045210A">
            <w:pPr>
              <w:tabs>
                <w:tab w:val="decimal" w:pos="421"/>
              </w:tabs>
              <w:autoSpaceDE w:val="0"/>
              <w:autoSpaceDN w:val="0"/>
              <w:adjustRightInd w:val="0"/>
              <w:ind w:right="283"/>
              <w:jc w:val="left"/>
              <w:rPr>
                <w:b/>
                <w:bCs/>
                <w:color w:val="000000"/>
                <w:sz w:val="14"/>
                <w:szCs w:val="14"/>
              </w:rPr>
            </w:pPr>
            <w:r w:rsidRPr="00E6662D">
              <w:rPr>
                <w:b/>
                <w:bCs/>
                <w:color w:val="000000"/>
                <w:sz w:val="14"/>
                <w:szCs w:val="14"/>
              </w:rPr>
              <w:t>0.</w:t>
            </w:r>
            <w:r>
              <w:rPr>
                <w:b/>
                <w:bCs/>
                <w:color w:val="000000"/>
                <w:sz w:val="14"/>
                <w:szCs w:val="14"/>
              </w:rPr>
              <w:t>16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11C5F1" w14:textId="77777777" w:rsidR="0045210A" w:rsidRPr="008A0229" w:rsidRDefault="0045210A" w:rsidP="0045210A">
            <w:pPr>
              <w:tabs>
                <w:tab w:val="decimal" w:pos="429"/>
              </w:tabs>
              <w:autoSpaceDE w:val="0"/>
              <w:autoSpaceDN w:val="0"/>
              <w:adjustRightInd w:val="0"/>
              <w:ind w:right="275"/>
              <w:jc w:val="left"/>
              <w:rPr>
                <w:b/>
                <w:bCs/>
                <w:color w:val="000000"/>
                <w:sz w:val="14"/>
                <w:szCs w:val="14"/>
              </w:rPr>
            </w:pPr>
            <w:r w:rsidRPr="00E6662D">
              <w:rPr>
                <w:b/>
                <w:bCs/>
                <w:color w:val="000000"/>
                <w:sz w:val="14"/>
                <w:szCs w:val="14"/>
              </w:rPr>
              <w:t>0.</w:t>
            </w:r>
            <w:r>
              <w:rPr>
                <w:b/>
                <w:bCs/>
                <w:color w:val="000000"/>
                <w:sz w:val="14"/>
                <w:szCs w:val="14"/>
              </w:rPr>
              <w:t>12</w:t>
            </w:r>
          </w:p>
        </w:tc>
        <w:tc>
          <w:tcPr>
            <w:tcW w:w="1004" w:type="dxa"/>
            <w:tcBorders>
              <w:top w:val="dotted" w:sz="4" w:space="0" w:color="595959"/>
              <w:left w:val="single" w:sz="8" w:space="0" w:color="595959"/>
              <w:bottom w:val="dotted" w:sz="4" w:space="0" w:color="595959"/>
              <w:right w:val="single" w:sz="8" w:space="0" w:color="595959"/>
            </w:tcBorders>
            <w:vAlign w:val="center"/>
          </w:tcPr>
          <w:p w14:paraId="13E35E6F" w14:textId="77777777" w:rsidR="0045210A" w:rsidRPr="008A0229" w:rsidRDefault="0045210A" w:rsidP="00E23DB8">
            <w:pPr>
              <w:autoSpaceDE w:val="0"/>
              <w:autoSpaceDN w:val="0"/>
              <w:adjustRightInd w:val="0"/>
              <w:ind w:right="283"/>
              <w:jc w:val="right"/>
              <w:rPr>
                <w:b/>
                <w:bCs/>
                <w:color w:val="000000"/>
                <w:sz w:val="14"/>
                <w:szCs w:val="14"/>
              </w:rPr>
            </w:pPr>
            <w:r w:rsidRPr="00E6662D">
              <w:rPr>
                <w:b/>
                <w:bCs/>
                <w:color w:val="000000"/>
                <w:sz w:val="14"/>
                <w:szCs w:val="14"/>
              </w:rPr>
              <w:t>0.</w:t>
            </w:r>
            <w:r>
              <w:rPr>
                <w:b/>
                <w:bCs/>
                <w:color w:val="000000"/>
                <w:sz w:val="14"/>
                <w:szCs w:val="14"/>
              </w:rPr>
              <w:t>088</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4AA7E6D" w14:textId="77777777" w:rsidR="0045210A" w:rsidRPr="008A0229" w:rsidRDefault="0045210A" w:rsidP="0045210A">
            <w:pPr>
              <w:tabs>
                <w:tab w:val="decimal" w:pos="396"/>
              </w:tabs>
              <w:autoSpaceDE w:val="0"/>
              <w:autoSpaceDN w:val="0"/>
              <w:adjustRightInd w:val="0"/>
              <w:ind w:right="283"/>
              <w:jc w:val="left"/>
              <w:rPr>
                <w:b/>
                <w:bCs/>
                <w:color w:val="000000"/>
                <w:sz w:val="14"/>
                <w:szCs w:val="14"/>
              </w:rPr>
            </w:pPr>
            <w:r w:rsidRPr="00E6662D">
              <w:rPr>
                <w:b/>
                <w:bCs/>
                <w:color w:val="000000"/>
                <w:sz w:val="14"/>
                <w:szCs w:val="14"/>
              </w:rPr>
              <w:t>11.</w:t>
            </w:r>
            <w:r>
              <w:rPr>
                <w:b/>
                <w:bCs/>
                <w:color w:val="000000"/>
                <w:sz w:val="14"/>
                <w:szCs w:val="14"/>
              </w:rPr>
              <w:t>02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C0D49E" w14:textId="77777777" w:rsidR="0045210A" w:rsidRPr="008A0229" w:rsidRDefault="0045210A" w:rsidP="0045210A">
            <w:pPr>
              <w:tabs>
                <w:tab w:val="decimal" w:pos="385"/>
              </w:tabs>
              <w:autoSpaceDE w:val="0"/>
              <w:autoSpaceDN w:val="0"/>
              <w:adjustRightInd w:val="0"/>
              <w:ind w:right="283"/>
              <w:jc w:val="left"/>
              <w:rPr>
                <w:b/>
                <w:bCs/>
                <w:color w:val="000000"/>
                <w:sz w:val="14"/>
                <w:szCs w:val="14"/>
              </w:rPr>
            </w:pPr>
            <w:r>
              <w:rPr>
                <w:b/>
                <w:bCs/>
                <w:color w:val="000000"/>
                <w:sz w:val="14"/>
                <w:szCs w:val="14"/>
              </w:rPr>
              <w:t>5</w:t>
            </w:r>
            <w:r w:rsidRPr="00E6662D">
              <w:rPr>
                <w:b/>
                <w:bCs/>
                <w:color w:val="000000"/>
                <w:sz w:val="14"/>
                <w:szCs w:val="14"/>
              </w:rPr>
              <w:t>.</w:t>
            </w:r>
            <w:r>
              <w:rPr>
                <w:b/>
                <w:bCs/>
                <w:color w:val="000000"/>
                <w:sz w:val="14"/>
                <w:szCs w:val="14"/>
              </w:rPr>
              <w:t>97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A99401" w14:textId="77777777" w:rsidR="0045210A" w:rsidRPr="008A0229" w:rsidRDefault="0045210A" w:rsidP="0045210A">
            <w:pPr>
              <w:tabs>
                <w:tab w:val="decimal" w:pos="403"/>
              </w:tabs>
              <w:autoSpaceDE w:val="0"/>
              <w:autoSpaceDN w:val="0"/>
              <w:adjustRightInd w:val="0"/>
              <w:ind w:right="283"/>
              <w:jc w:val="left"/>
              <w:rPr>
                <w:b/>
                <w:bCs/>
                <w:color w:val="000000"/>
                <w:sz w:val="14"/>
                <w:szCs w:val="14"/>
              </w:rPr>
            </w:pPr>
            <w:r>
              <w:rPr>
                <w:b/>
                <w:bCs/>
                <w:color w:val="000000"/>
                <w:sz w:val="14"/>
                <w:szCs w:val="14"/>
              </w:rPr>
              <w:t>8</w:t>
            </w:r>
            <w:r w:rsidRPr="00E6662D">
              <w:rPr>
                <w:b/>
                <w:bCs/>
                <w:color w:val="000000"/>
                <w:sz w:val="14"/>
                <w:szCs w:val="14"/>
              </w:rPr>
              <w:t>.</w:t>
            </w:r>
            <w:r>
              <w:rPr>
                <w:b/>
                <w:bCs/>
                <w:color w:val="000000"/>
                <w:sz w:val="14"/>
                <w:szCs w:val="14"/>
              </w:rPr>
              <w:t>64</w:t>
            </w:r>
          </w:p>
        </w:tc>
      </w:tr>
      <w:tr w:rsidR="0045210A" w:rsidRPr="00FF7D68" w14:paraId="284E6578" w14:textId="77777777" w:rsidTr="00E23DB8">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7704DFB" w14:textId="77777777" w:rsidR="0045210A" w:rsidRPr="00841586" w:rsidRDefault="0045210A" w:rsidP="0045210A">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4A6C4384" w14:textId="77777777" w:rsidR="0045210A" w:rsidRPr="00E6662D" w:rsidRDefault="0045210A" w:rsidP="0045210A">
            <w:pPr>
              <w:tabs>
                <w:tab w:val="decimal" w:pos="365"/>
              </w:tabs>
              <w:autoSpaceDE w:val="0"/>
              <w:autoSpaceDN w:val="0"/>
              <w:adjustRightInd w:val="0"/>
              <w:ind w:right="283"/>
              <w:jc w:val="left"/>
              <w:rPr>
                <w:bCs/>
                <w:color w:val="000000"/>
                <w:sz w:val="14"/>
                <w:szCs w:val="14"/>
              </w:rPr>
            </w:pPr>
            <w:r w:rsidRPr="00E6662D">
              <w:rPr>
                <w:bCs/>
                <w:color w:val="000000"/>
                <w:sz w:val="14"/>
                <w:szCs w:val="14"/>
              </w:rPr>
              <w:t>0.</w:t>
            </w:r>
            <w:r>
              <w:rPr>
                <w:bCs/>
                <w:color w:val="000000"/>
                <w:sz w:val="14"/>
                <w:szCs w:val="14"/>
              </w:rPr>
              <w:t>52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66F4AC" w14:textId="77777777" w:rsidR="0045210A" w:rsidRPr="00E6662D" w:rsidRDefault="0045210A" w:rsidP="0045210A">
            <w:pPr>
              <w:tabs>
                <w:tab w:val="decimal" w:pos="421"/>
              </w:tabs>
              <w:autoSpaceDE w:val="0"/>
              <w:autoSpaceDN w:val="0"/>
              <w:adjustRightInd w:val="0"/>
              <w:ind w:right="283"/>
              <w:jc w:val="left"/>
              <w:rPr>
                <w:bCs/>
                <w:color w:val="000000"/>
                <w:sz w:val="14"/>
                <w:szCs w:val="14"/>
              </w:rPr>
            </w:pPr>
            <w:r w:rsidRPr="00E6662D">
              <w:rPr>
                <w:bCs/>
                <w:color w:val="000000"/>
                <w:sz w:val="14"/>
                <w:szCs w:val="14"/>
              </w:rPr>
              <w:t>0.</w:t>
            </w:r>
            <w:r>
              <w:rPr>
                <w:bCs/>
                <w:color w:val="000000"/>
                <w:sz w:val="14"/>
                <w:szCs w:val="14"/>
              </w:rPr>
              <w:t>21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6C53C88" w14:textId="77777777" w:rsidR="0045210A" w:rsidRPr="00E6662D" w:rsidRDefault="0045210A" w:rsidP="0045210A">
            <w:pPr>
              <w:tabs>
                <w:tab w:val="decimal" w:pos="429"/>
              </w:tabs>
              <w:autoSpaceDE w:val="0"/>
              <w:autoSpaceDN w:val="0"/>
              <w:adjustRightInd w:val="0"/>
              <w:ind w:right="275"/>
              <w:jc w:val="left"/>
              <w:rPr>
                <w:bCs/>
                <w:color w:val="000000"/>
                <w:sz w:val="14"/>
                <w:szCs w:val="14"/>
              </w:rPr>
            </w:pPr>
            <w:r w:rsidRPr="00E6662D">
              <w:rPr>
                <w:bCs/>
                <w:color w:val="000000"/>
                <w:sz w:val="14"/>
                <w:szCs w:val="14"/>
              </w:rPr>
              <w:t>0.</w:t>
            </w:r>
            <w:r>
              <w:rPr>
                <w:bCs/>
                <w:color w:val="000000"/>
                <w:sz w:val="14"/>
                <w:szCs w:val="14"/>
              </w:rPr>
              <w:t>34</w:t>
            </w:r>
          </w:p>
        </w:tc>
        <w:tc>
          <w:tcPr>
            <w:tcW w:w="1004" w:type="dxa"/>
            <w:tcBorders>
              <w:top w:val="dotted" w:sz="4" w:space="0" w:color="595959"/>
              <w:left w:val="single" w:sz="8" w:space="0" w:color="595959"/>
              <w:bottom w:val="dotted" w:sz="4" w:space="0" w:color="595959"/>
              <w:right w:val="single" w:sz="8" w:space="0" w:color="595959"/>
            </w:tcBorders>
            <w:vAlign w:val="center"/>
          </w:tcPr>
          <w:p w14:paraId="77B00345" w14:textId="77777777" w:rsidR="0045210A" w:rsidRPr="00E6662D" w:rsidRDefault="0045210A" w:rsidP="00E23DB8">
            <w:pPr>
              <w:autoSpaceDE w:val="0"/>
              <w:autoSpaceDN w:val="0"/>
              <w:adjustRightInd w:val="0"/>
              <w:ind w:right="283"/>
              <w:jc w:val="right"/>
              <w:rPr>
                <w:bCs/>
                <w:color w:val="000000"/>
                <w:sz w:val="14"/>
                <w:szCs w:val="14"/>
              </w:rPr>
            </w:pPr>
            <w:r w:rsidRPr="00E6662D">
              <w:rPr>
                <w:bCs/>
                <w:color w:val="000000"/>
                <w:sz w:val="14"/>
                <w:szCs w:val="14"/>
              </w:rPr>
              <w:t>0.</w:t>
            </w:r>
            <w:r>
              <w:rPr>
                <w:bCs/>
                <w:color w:val="000000"/>
                <w:sz w:val="14"/>
                <w:szCs w:val="14"/>
              </w:rPr>
              <w:t>173</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7A746A" w14:textId="77777777" w:rsidR="0045210A" w:rsidRPr="00E6662D" w:rsidRDefault="0045210A" w:rsidP="0045210A">
            <w:pPr>
              <w:tabs>
                <w:tab w:val="decimal" w:pos="396"/>
              </w:tabs>
              <w:autoSpaceDE w:val="0"/>
              <w:autoSpaceDN w:val="0"/>
              <w:adjustRightInd w:val="0"/>
              <w:ind w:right="283"/>
              <w:jc w:val="left"/>
              <w:rPr>
                <w:bCs/>
                <w:color w:val="000000"/>
                <w:sz w:val="14"/>
                <w:szCs w:val="14"/>
              </w:rPr>
            </w:pPr>
            <w:r w:rsidRPr="00E6662D">
              <w:rPr>
                <w:bCs/>
                <w:color w:val="000000"/>
                <w:sz w:val="14"/>
                <w:szCs w:val="14"/>
              </w:rPr>
              <w:t>12.</w:t>
            </w:r>
            <w:r>
              <w:rPr>
                <w:bCs/>
                <w:color w:val="000000"/>
                <w:sz w:val="14"/>
                <w:szCs w:val="14"/>
              </w:rPr>
              <w:t>41</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D0D436" w14:textId="77777777" w:rsidR="0045210A" w:rsidRPr="00E6662D" w:rsidRDefault="0045210A" w:rsidP="0045210A">
            <w:pPr>
              <w:tabs>
                <w:tab w:val="decimal" w:pos="385"/>
              </w:tabs>
              <w:autoSpaceDE w:val="0"/>
              <w:autoSpaceDN w:val="0"/>
              <w:adjustRightInd w:val="0"/>
              <w:ind w:right="283"/>
              <w:jc w:val="left"/>
              <w:rPr>
                <w:bCs/>
                <w:color w:val="000000"/>
                <w:sz w:val="14"/>
                <w:szCs w:val="14"/>
              </w:rPr>
            </w:pPr>
            <w:r>
              <w:rPr>
                <w:bCs/>
                <w:color w:val="000000"/>
                <w:sz w:val="14"/>
                <w:szCs w:val="14"/>
              </w:rPr>
              <w:t>5</w:t>
            </w:r>
            <w:r w:rsidRPr="00E6662D">
              <w:rPr>
                <w:bCs/>
                <w:color w:val="000000"/>
                <w:sz w:val="14"/>
                <w:szCs w:val="14"/>
              </w:rPr>
              <w:t>.</w:t>
            </w:r>
            <w:r>
              <w:rPr>
                <w:bCs/>
                <w:color w:val="000000"/>
                <w:sz w:val="14"/>
                <w:szCs w:val="14"/>
              </w:rPr>
              <w:t>71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69DCF4" w14:textId="77777777" w:rsidR="0045210A" w:rsidRPr="00E6662D" w:rsidRDefault="0045210A" w:rsidP="0045210A">
            <w:pPr>
              <w:tabs>
                <w:tab w:val="decimal" w:pos="403"/>
              </w:tabs>
              <w:autoSpaceDE w:val="0"/>
              <w:autoSpaceDN w:val="0"/>
              <w:adjustRightInd w:val="0"/>
              <w:ind w:right="283"/>
              <w:jc w:val="left"/>
              <w:rPr>
                <w:bCs/>
                <w:color w:val="000000"/>
                <w:sz w:val="14"/>
                <w:szCs w:val="14"/>
              </w:rPr>
            </w:pPr>
            <w:r w:rsidRPr="00E6662D">
              <w:rPr>
                <w:bCs/>
                <w:color w:val="000000"/>
                <w:sz w:val="14"/>
                <w:szCs w:val="14"/>
              </w:rPr>
              <w:t>8.</w:t>
            </w:r>
            <w:r>
              <w:rPr>
                <w:bCs/>
                <w:color w:val="000000"/>
                <w:sz w:val="14"/>
                <w:szCs w:val="14"/>
              </w:rPr>
              <w:t>42</w:t>
            </w:r>
          </w:p>
        </w:tc>
      </w:tr>
      <w:tr w:rsidR="0045210A" w:rsidRPr="00FF7D68" w14:paraId="72553B9D" w14:textId="77777777" w:rsidTr="00E23DB8">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62976490" w14:textId="77777777" w:rsidR="0045210A" w:rsidRPr="00841586" w:rsidRDefault="0045210A" w:rsidP="0045210A">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4F9DC73" w14:textId="77777777" w:rsidR="0045210A" w:rsidRPr="00E6662D" w:rsidRDefault="0045210A" w:rsidP="0045210A">
            <w:pPr>
              <w:tabs>
                <w:tab w:val="decimal" w:pos="365"/>
              </w:tabs>
              <w:autoSpaceDE w:val="0"/>
              <w:autoSpaceDN w:val="0"/>
              <w:adjustRightInd w:val="0"/>
              <w:ind w:right="283"/>
              <w:jc w:val="left"/>
              <w:rPr>
                <w:bCs/>
                <w:color w:val="000000"/>
                <w:sz w:val="14"/>
                <w:szCs w:val="14"/>
              </w:rPr>
            </w:pPr>
            <w:r w:rsidRPr="00E6662D">
              <w:rPr>
                <w:bCs/>
                <w:color w:val="000000"/>
                <w:sz w:val="14"/>
                <w:szCs w:val="14"/>
              </w:rPr>
              <w:t>-0.</w:t>
            </w:r>
            <w:r>
              <w:rPr>
                <w:bCs/>
                <w:color w:val="000000"/>
                <w:sz w:val="14"/>
                <w:szCs w:val="14"/>
              </w:rPr>
              <w:t>42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8B1672" w14:textId="77777777" w:rsidR="0045210A" w:rsidRPr="00E6662D" w:rsidRDefault="0045210A" w:rsidP="0045210A">
            <w:pPr>
              <w:tabs>
                <w:tab w:val="decimal" w:pos="421"/>
              </w:tabs>
              <w:autoSpaceDE w:val="0"/>
              <w:autoSpaceDN w:val="0"/>
              <w:adjustRightInd w:val="0"/>
              <w:ind w:right="283"/>
              <w:jc w:val="left"/>
              <w:rPr>
                <w:bCs/>
                <w:color w:val="000000"/>
                <w:sz w:val="14"/>
                <w:szCs w:val="14"/>
              </w:rPr>
            </w:pPr>
            <w:r w:rsidRPr="00E6662D">
              <w:rPr>
                <w:bCs/>
                <w:color w:val="000000"/>
                <w:sz w:val="14"/>
                <w:szCs w:val="14"/>
              </w:rPr>
              <w:t>-0.3</w:t>
            </w:r>
            <w:r>
              <w:rPr>
                <w:bCs/>
                <w:color w:val="000000"/>
                <w:sz w:val="14"/>
                <w:szCs w:val="14"/>
              </w:rPr>
              <w:t>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2E8F81E" w14:textId="77777777" w:rsidR="0045210A" w:rsidRPr="00E6662D" w:rsidRDefault="0045210A" w:rsidP="0045210A">
            <w:pPr>
              <w:tabs>
                <w:tab w:val="decimal" w:pos="429"/>
              </w:tabs>
              <w:autoSpaceDE w:val="0"/>
              <w:autoSpaceDN w:val="0"/>
              <w:adjustRightInd w:val="0"/>
              <w:ind w:right="275"/>
              <w:jc w:val="left"/>
              <w:rPr>
                <w:bCs/>
                <w:color w:val="000000"/>
                <w:sz w:val="14"/>
                <w:szCs w:val="14"/>
              </w:rPr>
            </w:pPr>
            <w:r w:rsidRPr="00E6662D">
              <w:rPr>
                <w:bCs/>
                <w:color w:val="000000"/>
                <w:sz w:val="14"/>
                <w:szCs w:val="14"/>
              </w:rPr>
              <w:t>-0.</w:t>
            </w:r>
            <w:r>
              <w:rPr>
                <w:bCs/>
                <w:color w:val="000000"/>
                <w:sz w:val="14"/>
                <w:szCs w:val="14"/>
              </w:rPr>
              <w:t>40</w:t>
            </w:r>
          </w:p>
        </w:tc>
        <w:tc>
          <w:tcPr>
            <w:tcW w:w="1004" w:type="dxa"/>
            <w:tcBorders>
              <w:top w:val="dotted" w:sz="4" w:space="0" w:color="595959"/>
              <w:left w:val="single" w:sz="8" w:space="0" w:color="595959"/>
              <w:bottom w:val="dotted" w:sz="4" w:space="0" w:color="595959"/>
              <w:right w:val="single" w:sz="8" w:space="0" w:color="595959"/>
            </w:tcBorders>
            <w:vAlign w:val="center"/>
          </w:tcPr>
          <w:p w14:paraId="4E837588" w14:textId="77777777" w:rsidR="0045210A" w:rsidRPr="00E6662D" w:rsidRDefault="0045210A" w:rsidP="00E23DB8">
            <w:pPr>
              <w:autoSpaceDE w:val="0"/>
              <w:autoSpaceDN w:val="0"/>
              <w:adjustRightInd w:val="0"/>
              <w:ind w:right="283"/>
              <w:jc w:val="right"/>
              <w:rPr>
                <w:bCs/>
                <w:color w:val="000000"/>
                <w:sz w:val="14"/>
                <w:szCs w:val="14"/>
              </w:rPr>
            </w:pPr>
            <w:r w:rsidRPr="00E6662D">
              <w:rPr>
                <w:bCs/>
                <w:color w:val="000000"/>
                <w:sz w:val="14"/>
                <w:szCs w:val="14"/>
              </w:rPr>
              <w:t>-0.</w:t>
            </w:r>
            <w:r>
              <w:rPr>
                <w:bCs/>
                <w:color w:val="000000"/>
                <w:sz w:val="14"/>
                <w:szCs w:val="14"/>
              </w:rPr>
              <w:t>085</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440CC0F" w14:textId="77777777" w:rsidR="0045210A" w:rsidRPr="00E6662D" w:rsidRDefault="0045210A" w:rsidP="0045210A">
            <w:pPr>
              <w:tabs>
                <w:tab w:val="decimal" w:pos="396"/>
              </w:tabs>
              <w:autoSpaceDE w:val="0"/>
              <w:autoSpaceDN w:val="0"/>
              <w:adjustRightInd w:val="0"/>
              <w:ind w:right="283"/>
              <w:jc w:val="left"/>
              <w:rPr>
                <w:bCs/>
                <w:color w:val="000000"/>
                <w:sz w:val="14"/>
                <w:szCs w:val="14"/>
              </w:rPr>
            </w:pPr>
            <w:r>
              <w:rPr>
                <w:bCs/>
                <w:color w:val="000000"/>
                <w:sz w:val="14"/>
                <w:szCs w:val="14"/>
              </w:rPr>
              <w:t>9</w:t>
            </w:r>
            <w:r w:rsidRPr="00E6662D">
              <w:rPr>
                <w:bCs/>
                <w:color w:val="000000"/>
                <w:sz w:val="14"/>
                <w:szCs w:val="14"/>
              </w:rPr>
              <w:t>.</w:t>
            </w:r>
            <w:r>
              <w:rPr>
                <w:bCs/>
                <w:color w:val="000000"/>
                <w:sz w:val="14"/>
                <w:szCs w:val="14"/>
              </w:rPr>
              <w:t>37</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4E11345" w14:textId="77777777" w:rsidR="0045210A" w:rsidRPr="00E6662D" w:rsidRDefault="0045210A" w:rsidP="0045210A">
            <w:pPr>
              <w:tabs>
                <w:tab w:val="decimal" w:pos="385"/>
              </w:tabs>
              <w:autoSpaceDE w:val="0"/>
              <w:autoSpaceDN w:val="0"/>
              <w:adjustRightInd w:val="0"/>
              <w:ind w:right="283"/>
              <w:jc w:val="left"/>
              <w:rPr>
                <w:bCs/>
                <w:color w:val="000000"/>
                <w:sz w:val="14"/>
                <w:szCs w:val="14"/>
              </w:rPr>
            </w:pPr>
            <w:r>
              <w:rPr>
                <w:bCs/>
                <w:color w:val="000000"/>
                <w:sz w:val="14"/>
                <w:szCs w:val="14"/>
              </w:rPr>
              <w:t>8</w:t>
            </w:r>
            <w:r w:rsidRPr="00E6662D">
              <w:rPr>
                <w:bCs/>
                <w:color w:val="000000"/>
                <w:sz w:val="14"/>
                <w:szCs w:val="14"/>
              </w:rPr>
              <w:t>.</w:t>
            </w:r>
            <w:r>
              <w:rPr>
                <w:bCs/>
                <w:color w:val="000000"/>
                <w:sz w:val="14"/>
                <w:szCs w:val="14"/>
              </w:rPr>
              <w:t>15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9AD2445" w14:textId="77777777" w:rsidR="0045210A" w:rsidRPr="00E6662D" w:rsidRDefault="0045210A" w:rsidP="0045210A">
            <w:pPr>
              <w:tabs>
                <w:tab w:val="decimal" w:pos="403"/>
              </w:tabs>
              <w:autoSpaceDE w:val="0"/>
              <w:autoSpaceDN w:val="0"/>
              <w:adjustRightInd w:val="0"/>
              <w:ind w:right="283"/>
              <w:jc w:val="left"/>
              <w:rPr>
                <w:bCs/>
                <w:color w:val="000000"/>
                <w:sz w:val="14"/>
                <w:szCs w:val="14"/>
              </w:rPr>
            </w:pPr>
            <w:r>
              <w:rPr>
                <w:bCs/>
                <w:color w:val="000000"/>
                <w:sz w:val="14"/>
                <w:szCs w:val="14"/>
              </w:rPr>
              <w:t>9</w:t>
            </w:r>
            <w:r w:rsidRPr="00E6662D">
              <w:rPr>
                <w:bCs/>
                <w:color w:val="000000"/>
                <w:sz w:val="14"/>
                <w:szCs w:val="14"/>
              </w:rPr>
              <w:t>.</w:t>
            </w:r>
            <w:r>
              <w:rPr>
                <w:bCs/>
                <w:color w:val="000000"/>
                <w:sz w:val="14"/>
                <w:szCs w:val="14"/>
              </w:rPr>
              <w:t>16</w:t>
            </w:r>
          </w:p>
        </w:tc>
      </w:tr>
      <w:tr w:rsidR="0045210A" w:rsidRPr="00FF7D68" w14:paraId="264B08DB" w14:textId="77777777" w:rsidTr="00E23DB8">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4ADCD9FD" w14:textId="77777777" w:rsidR="0045210A" w:rsidRPr="00841586" w:rsidRDefault="0045210A" w:rsidP="0045210A">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15A3A4BE" w14:textId="77777777" w:rsidR="0045210A" w:rsidRPr="008A0229" w:rsidRDefault="0045210A" w:rsidP="0045210A">
            <w:pPr>
              <w:tabs>
                <w:tab w:val="decimal" w:pos="365"/>
              </w:tabs>
              <w:autoSpaceDE w:val="0"/>
              <w:autoSpaceDN w:val="0"/>
              <w:adjustRightInd w:val="0"/>
              <w:ind w:right="283"/>
              <w:jc w:val="left"/>
              <w:rPr>
                <w:b/>
                <w:bCs/>
                <w:color w:val="000000"/>
                <w:sz w:val="14"/>
                <w:szCs w:val="14"/>
              </w:rPr>
            </w:pPr>
            <w:r>
              <w:rPr>
                <w:b/>
                <w:bCs/>
                <w:color w:val="000000"/>
                <w:sz w:val="14"/>
                <w:szCs w:val="14"/>
              </w:rPr>
              <w:t>0</w:t>
            </w:r>
            <w:r w:rsidRPr="00E6662D">
              <w:rPr>
                <w:b/>
                <w:bCs/>
                <w:color w:val="000000"/>
                <w:sz w:val="14"/>
                <w:szCs w:val="14"/>
              </w:rPr>
              <w:t>.</w:t>
            </w:r>
            <w:r>
              <w:rPr>
                <w:b/>
                <w:bCs/>
                <w:color w:val="000000"/>
                <w:sz w:val="14"/>
                <w:szCs w:val="14"/>
              </w:rPr>
              <w:t>07</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1F3BABB" w14:textId="77777777" w:rsidR="0045210A" w:rsidRPr="008A0229" w:rsidRDefault="0045210A" w:rsidP="0045210A">
            <w:pPr>
              <w:tabs>
                <w:tab w:val="decimal" w:pos="421"/>
              </w:tabs>
              <w:autoSpaceDE w:val="0"/>
              <w:autoSpaceDN w:val="0"/>
              <w:adjustRightInd w:val="0"/>
              <w:ind w:right="283"/>
              <w:jc w:val="left"/>
              <w:rPr>
                <w:b/>
                <w:bCs/>
                <w:color w:val="000000"/>
                <w:sz w:val="14"/>
                <w:szCs w:val="14"/>
              </w:rPr>
            </w:pPr>
            <w:r w:rsidRPr="00E6662D">
              <w:rPr>
                <w:b/>
                <w:bCs/>
                <w:color w:val="000000"/>
                <w:sz w:val="14"/>
                <w:szCs w:val="14"/>
              </w:rPr>
              <w:t>0.</w:t>
            </w:r>
            <w:r>
              <w:rPr>
                <w:b/>
                <w:bCs/>
                <w:color w:val="000000"/>
                <w:sz w:val="14"/>
                <w:szCs w:val="14"/>
              </w:rPr>
              <w:t>03</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E4F6A21" w14:textId="77777777" w:rsidR="0045210A" w:rsidRPr="008A0229" w:rsidRDefault="0045210A" w:rsidP="0045210A">
            <w:pPr>
              <w:tabs>
                <w:tab w:val="decimal" w:pos="429"/>
              </w:tabs>
              <w:autoSpaceDE w:val="0"/>
              <w:autoSpaceDN w:val="0"/>
              <w:adjustRightInd w:val="0"/>
              <w:ind w:right="275"/>
              <w:jc w:val="left"/>
              <w:rPr>
                <w:b/>
                <w:bCs/>
                <w:color w:val="000000"/>
                <w:sz w:val="14"/>
                <w:szCs w:val="14"/>
              </w:rPr>
            </w:pPr>
            <w:r w:rsidRPr="00E6662D">
              <w:rPr>
                <w:b/>
                <w:bCs/>
                <w:color w:val="000000"/>
                <w:sz w:val="14"/>
                <w:szCs w:val="14"/>
              </w:rPr>
              <w:t>0.</w:t>
            </w:r>
            <w:r>
              <w:rPr>
                <w:b/>
                <w:bCs/>
                <w:color w:val="000000"/>
                <w:sz w:val="14"/>
                <w:szCs w:val="14"/>
              </w:rPr>
              <w:t>07</w:t>
            </w:r>
          </w:p>
        </w:tc>
        <w:tc>
          <w:tcPr>
            <w:tcW w:w="1004" w:type="dxa"/>
            <w:tcBorders>
              <w:top w:val="dotted" w:sz="4" w:space="0" w:color="595959"/>
              <w:left w:val="single" w:sz="8" w:space="0" w:color="595959"/>
              <w:bottom w:val="single" w:sz="8" w:space="0" w:color="595959"/>
              <w:right w:val="single" w:sz="8" w:space="0" w:color="595959"/>
            </w:tcBorders>
            <w:vAlign w:val="center"/>
          </w:tcPr>
          <w:p w14:paraId="07A757CC" w14:textId="77777777" w:rsidR="0045210A" w:rsidRPr="008A0229" w:rsidRDefault="0045210A" w:rsidP="00E23DB8">
            <w:pPr>
              <w:autoSpaceDE w:val="0"/>
              <w:autoSpaceDN w:val="0"/>
              <w:adjustRightInd w:val="0"/>
              <w:ind w:right="283"/>
              <w:jc w:val="right"/>
              <w:rPr>
                <w:b/>
                <w:bCs/>
                <w:color w:val="000000"/>
                <w:sz w:val="14"/>
                <w:szCs w:val="14"/>
              </w:rPr>
            </w:pPr>
            <w:r w:rsidRPr="00E6662D">
              <w:rPr>
                <w:b/>
                <w:bCs/>
                <w:color w:val="000000"/>
                <w:sz w:val="14"/>
                <w:szCs w:val="14"/>
              </w:rPr>
              <w:t>0.</w:t>
            </w:r>
            <w:r>
              <w:rPr>
                <w:b/>
                <w:bCs/>
                <w:color w:val="000000"/>
                <w:sz w:val="14"/>
                <w:szCs w:val="14"/>
              </w:rPr>
              <w:t>020</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9DFDE7D" w14:textId="77777777" w:rsidR="0045210A" w:rsidRPr="008A0229" w:rsidRDefault="0045210A" w:rsidP="0045210A">
            <w:pPr>
              <w:tabs>
                <w:tab w:val="decimal" w:pos="396"/>
              </w:tabs>
              <w:autoSpaceDE w:val="0"/>
              <w:autoSpaceDN w:val="0"/>
              <w:adjustRightInd w:val="0"/>
              <w:ind w:right="283"/>
              <w:jc w:val="left"/>
              <w:rPr>
                <w:b/>
                <w:bCs/>
                <w:color w:val="000000"/>
                <w:sz w:val="14"/>
                <w:szCs w:val="14"/>
              </w:rPr>
            </w:pPr>
            <w:r>
              <w:rPr>
                <w:b/>
                <w:bCs/>
                <w:color w:val="000000"/>
                <w:sz w:val="14"/>
                <w:szCs w:val="14"/>
              </w:rPr>
              <w:t>3</w:t>
            </w:r>
            <w:r w:rsidRPr="00E6662D">
              <w:rPr>
                <w:b/>
                <w:bCs/>
                <w:color w:val="000000"/>
                <w:sz w:val="14"/>
                <w:szCs w:val="14"/>
              </w:rPr>
              <w:t>.</w:t>
            </w:r>
            <w:r>
              <w:rPr>
                <w:b/>
                <w:bCs/>
                <w:color w:val="000000"/>
                <w:sz w:val="14"/>
                <w:szCs w:val="14"/>
              </w:rPr>
              <w:t>91</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C672FC9" w14:textId="77777777" w:rsidR="0045210A" w:rsidRPr="008A0229" w:rsidRDefault="0045210A" w:rsidP="0045210A">
            <w:pPr>
              <w:tabs>
                <w:tab w:val="decimal" w:pos="385"/>
              </w:tabs>
              <w:autoSpaceDE w:val="0"/>
              <w:autoSpaceDN w:val="0"/>
              <w:adjustRightInd w:val="0"/>
              <w:ind w:right="283"/>
              <w:jc w:val="left"/>
              <w:rPr>
                <w:b/>
                <w:bCs/>
                <w:color w:val="000000"/>
                <w:sz w:val="14"/>
                <w:szCs w:val="14"/>
              </w:rPr>
            </w:pPr>
            <w:r>
              <w:rPr>
                <w:b/>
                <w:bCs/>
                <w:color w:val="000000"/>
                <w:sz w:val="14"/>
                <w:szCs w:val="14"/>
              </w:rPr>
              <w:t>7</w:t>
            </w:r>
            <w:r w:rsidRPr="00E6662D">
              <w:rPr>
                <w:b/>
                <w:bCs/>
                <w:color w:val="000000"/>
                <w:sz w:val="14"/>
                <w:szCs w:val="14"/>
              </w:rPr>
              <w:t>.</w:t>
            </w:r>
            <w:r>
              <w:rPr>
                <w:b/>
                <w:bCs/>
                <w:color w:val="000000"/>
                <w:sz w:val="14"/>
                <w:szCs w:val="14"/>
              </w:rPr>
              <w:t>89</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DA10BB5" w14:textId="77777777" w:rsidR="0045210A" w:rsidRPr="008A0229" w:rsidRDefault="0045210A" w:rsidP="0045210A">
            <w:pPr>
              <w:tabs>
                <w:tab w:val="decimal" w:pos="403"/>
              </w:tabs>
              <w:autoSpaceDE w:val="0"/>
              <w:autoSpaceDN w:val="0"/>
              <w:adjustRightInd w:val="0"/>
              <w:ind w:right="283"/>
              <w:jc w:val="left"/>
              <w:rPr>
                <w:b/>
                <w:bCs/>
                <w:color w:val="000000"/>
                <w:sz w:val="14"/>
                <w:szCs w:val="14"/>
              </w:rPr>
            </w:pPr>
            <w:r>
              <w:rPr>
                <w:b/>
                <w:bCs/>
                <w:color w:val="000000"/>
                <w:sz w:val="14"/>
                <w:szCs w:val="14"/>
              </w:rPr>
              <w:t>4</w:t>
            </w:r>
            <w:r w:rsidRPr="00E6662D">
              <w:rPr>
                <w:b/>
                <w:bCs/>
                <w:color w:val="000000"/>
                <w:sz w:val="14"/>
                <w:szCs w:val="14"/>
              </w:rPr>
              <w:t>.</w:t>
            </w:r>
            <w:r>
              <w:rPr>
                <w:b/>
                <w:bCs/>
                <w:color w:val="000000"/>
                <w:sz w:val="14"/>
                <w:szCs w:val="14"/>
              </w:rPr>
              <w:t>05</w:t>
            </w:r>
          </w:p>
        </w:tc>
      </w:tr>
    </w:tbl>
    <w:p w14:paraId="37DC80EB" w14:textId="77777777"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 xml:space="preserve">La incidencia se refiere a la contribución en puntos porcentuales de cada componente del INPP en la variación porcentual del índice general. </w:t>
      </w:r>
      <w:r w:rsidR="00533681">
        <w:rPr>
          <w:sz w:val="14"/>
          <w:szCs w:val="14"/>
        </w:rPr>
        <w:t>E</w:t>
      </w:r>
      <w:r w:rsidR="00B074FC" w:rsidRPr="00395990">
        <w:rPr>
          <w:sz w:val="14"/>
          <w:szCs w:val="14"/>
        </w:rPr>
        <w:t>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214A7C9B" w14:textId="77777777" w:rsidR="0054304E"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r w:rsidR="0072686D">
        <w:rPr>
          <w:sz w:val="14"/>
          <w:szCs w:val="16"/>
        </w:rPr>
        <w:t>,</w:t>
      </w:r>
      <w:r w:rsidR="006165EF">
        <w:rPr>
          <w:sz w:val="14"/>
          <w:szCs w:val="16"/>
        </w:rPr>
        <w:t xml:space="preserve"> </w:t>
      </w:r>
      <w:r w:rsidR="00D41319">
        <w:rPr>
          <w:sz w:val="14"/>
          <w:szCs w:val="16"/>
        </w:rPr>
        <w:t>es decir</w:t>
      </w:r>
      <w:r w:rsidR="00D41319" w:rsidRPr="00AC55E9">
        <w:rPr>
          <w:sz w:val="14"/>
          <w:szCs w:val="16"/>
        </w:rPr>
        <w:t>,</w:t>
      </w:r>
      <w:r w:rsidR="00D402A8" w:rsidRPr="00AC55E9">
        <w:rPr>
          <w:sz w:val="14"/>
          <w:szCs w:val="16"/>
        </w:rPr>
        <w:t xml:space="preserve"> gastos incurridos en beneficio de los hogares</w:t>
      </w:r>
      <w:r w:rsidR="008A743A" w:rsidRPr="00AC55E9">
        <w:rPr>
          <w:sz w:val="14"/>
          <w:szCs w:val="16"/>
        </w:rPr>
        <w:t xml:space="preserve"> (atención de la salud, vivienda, educación, etc</w:t>
      </w:r>
      <w:r w:rsidR="00E64B5E">
        <w:rPr>
          <w:sz w:val="14"/>
          <w:szCs w:val="16"/>
        </w:rPr>
        <w:t>.</w:t>
      </w:r>
      <w:r w:rsidR="008A743A" w:rsidRPr="00AC55E9">
        <w:rPr>
          <w:sz w:val="14"/>
          <w:szCs w:val="16"/>
        </w:rPr>
        <w:t>)</w:t>
      </w:r>
      <w:r w:rsidR="00D402A8" w:rsidRPr="00AC55E9">
        <w:rPr>
          <w:sz w:val="14"/>
          <w:szCs w:val="16"/>
        </w:rPr>
        <w:t>.</w:t>
      </w:r>
    </w:p>
    <w:p w14:paraId="419B19DB"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2A4D1E">
        <w:rPr>
          <w:color w:val="000000"/>
          <w:sz w:val="14"/>
          <w:szCs w:val="14"/>
        </w:rPr>
        <w:t>INEGI</w:t>
      </w:r>
      <w:r w:rsidRPr="00EA1643">
        <w:rPr>
          <w:snapToGrid w:val="0"/>
          <w:sz w:val="14"/>
          <w:szCs w:val="14"/>
          <w:u w:val="single"/>
        </w:rPr>
        <w:t xml:space="preserve"> </w:t>
      </w:r>
    </w:p>
    <w:p w14:paraId="763BAE56" w14:textId="77777777" w:rsidR="0017655C" w:rsidRDefault="0017655C">
      <w:pPr>
        <w:jc w:val="left"/>
        <w:rPr>
          <w:b/>
          <w:snapToGrid w:val="0"/>
        </w:rPr>
      </w:pPr>
      <w:r>
        <w:rPr>
          <w:b/>
          <w:snapToGrid w:val="0"/>
        </w:rPr>
        <w:br w:type="page"/>
      </w:r>
    </w:p>
    <w:p w14:paraId="6A9C19E4" w14:textId="77777777" w:rsidR="004D5C5B" w:rsidRPr="007D6777" w:rsidRDefault="004D5C5B" w:rsidP="00C963A9">
      <w:pPr>
        <w:autoSpaceDE w:val="0"/>
        <w:autoSpaceDN w:val="0"/>
        <w:adjustRightInd w:val="0"/>
        <w:spacing w:before="240"/>
        <w:rPr>
          <w:b/>
          <w:smallCaps/>
          <w:snapToGrid w:val="0"/>
        </w:rPr>
      </w:pPr>
      <w:r w:rsidRPr="007D6777">
        <w:rPr>
          <w:b/>
          <w:smallCaps/>
          <w:snapToGrid w:val="0"/>
        </w:rPr>
        <w:lastRenderedPageBreak/>
        <w:t xml:space="preserve">Genéricos que más influyeron en el resultado del </w:t>
      </w:r>
      <w:r w:rsidR="00EA1643" w:rsidRPr="007D6777">
        <w:rPr>
          <w:b/>
          <w:smallCaps/>
          <w:snapToGrid w:val="0"/>
        </w:rPr>
        <w:t>Índice Nacional de Precios Productor</w:t>
      </w:r>
      <w:r w:rsidRPr="007D6777">
        <w:rPr>
          <w:b/>
          <w:smallCaps/>
          <w:snapToGrid w:val="0"/>
        </w:rPr>
        <w:t xml:space="preserve"> </w:t>
      </w:r>
      <w:r w:rsidR="00EA1643" w:rsidRPr="007D6777">
        <w:rPr>
          <w:b/>
          <w:smallCaps/>
          <w:snapToGrid w:val="0"/>
        </w:rPr>
        <w:t>t</w:t>
      </w:r>
      <w:r w:rsidRPr="007D6777">
        <w:rPr>
          <w:b/>
          <w:smallCaps/>
          <w:snapToGrid w:val="0"/>
        </w:rPr>
        <w:t>otal</w:t>
      </w:r>
    </w:p>
    <w:p w14:paraId="019A3B64" w14:textId="5D6B9FFA" w:rsidR="004D5C5B" w:rsidRPr="00875DDC" w:rsidRDefault="00832CCE" w:rsidP="004D5C5B">
      <w:pPr>
        <w:widowControl w:val="0"/>
        <w:autoSpaceDE w:val="0"/>
        <w:autoSpaceDN w:val="0"/>
        <w:adjustRightInd w:val="0"/>
        <w:spacing w:before="120"/>
        <w:rPr>
          <w:snapToGrid w:val="0"/>
        </w:rPr>
      </w:pPr>
      <w:r w:rsidRPr="00832CCE">
        <w:rPr>
          <w:snapToGrid w:val="0"/>
        </w:rPr>
        <w:t>El siguiente cuadro muestra las variaciones en los precios de productos genéricos que destacaron por su contribución en el comportamiento mensual del INPP total, incluyendo petróleo, durante el décimo mes de 2022</w:t>
      </w:r>
      <w:r w:rsidR="0068287A">
        <w:rPr>
          <w:snapToGrid w:val="0"/>
        </w:rPr>
        <w:t>.</w:t>
      </w:r>
      <w:r w:rsidR="00915F1F">
        <w:rPr>
          <w:snapToGrid w:val="0"/>
        </w:rPr>
        <w:t xml:space="preserve"> </w:t>
      </w:r>
    </w:p>
    <w:p w14:paraId="14E50C99" w14:textId="77777777"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322115F0"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3A535AB0" w14:textId="3D9C8754"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incluyendo petróleo, </w:t>
      </w:r>
      <w:r w:rsidR="00866F61">
        <w:rPr>
          <w:b/>
          <w:smallCaps/>
          <w:snapToGrid w:val="0"/>
          <w:sz w:val="22"/>
          <w:szCs w:val="22"/>
        </w:rPr>
        <w:t>en</w:t>
      </w:r>
      <w:r w:rsidR="00866F61" w:rsidRPr="00E21E68">
        <w:rPr>
          <w:b/>
          <w:bCs/>
          <w:smallCaps/>
          <w:color w:val="000000"/>
          <w:spacing w:val="1"/>
          <w:sz w:val="22"/>
          <w:szCs w:val="22"/>
        </w:rPr>
        <w:t xml:space="preserve"> </w:t>
      </w:r>
      <w:r w:rsidR="00832CCE">
        <w:rPr>
          <w:b/>
          <w:bCs/>
          <w:smallCaps/>
          <w:color w:val="000000"/>
          <w:spacing w:val="1"/>
          <w:sz w:val="22"/>
          <w:szCs w:val="22"/>
        </w:rPr>
        <w:t>octu</w:t>
      </w:r>
      <w:r w:rsidR="00185B5A">
        <w:rPr>
          <w:b/>
          <w:bCs/>
          <w:smallCaps/>
          <w:color w:val="000000"/>
          <w:spacing w:val="1"/>
          <w:sz w:val="22"/>
          <w:szCs w:val="22"/>
        </w:rPr>
        <w:t>bre</w:t>
      </w:r>
      <w:r w:rsidRPr="00E21E68">
        <w:rPr>
          <w:b/>
          <w:bCs/>
          <w:smallCaps/>
          <w:color w:val="000000"/>
          <w:spacing w:val="1"/>
          <w:sz w:val="22"/>
          <w:szCs w:val="22"/>
        </w:rPr>
        <w:t xml:space="preserve"> de 2022</w:t>
      </w:r>
    </w:p>
    <w:p w14:paraId="2ACAE080" w14:textId="77777777" w:rsidR="004D5C5B" w:rsidRPr="00E21E68" w:rsidRDefault="00E21E68" w:rsidP="004D5C5B">
      <w:pPr>
        <w:widowControl w:val="0"/>
        <w:tabs>
          <w:tab w:val="left" w:pos="1220"/>
        </w:tabs>
        <w:autoSpaceDE w:val="0"/>
        <w:autoSpaceDN w:val="0"/>
        <w:adjustRightInd w:val="0"/>
        <w:jc w:val="center"/>
        <w:rPr>
          <w:b/>
          <w:bCs/>
          <w:smallCaps/>
          <w:color w:val="000000"/>
          <w:sz w:val="22"/>
          <w:szCs w:val="22"/>
        </w:rPr>
      </w:pPr>
      <w:r w:rsidRPr="00E21E68">
        <w:rPr>
          <w:b/>
          <w:bCs/>
          <w:smallCap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45210A" w:rsidRPr="00A9663B" w14:paraId="6B636FC1" w14:textId="77777777" w:rsidTr="00E23DB8">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149A8BA7" w14:textId="77777777" w:rsidR="0045210A" w:rsidRPr="00A9663B" w:rsidRDefault="0045210A" w:rsidP="00E23DB8">
            <w:pPr>
              <w:autoSpaceDE w:val="0"/>
              <w:autoSpaceDN w:val="0"/>
              <w:adjustRightInd w:val="0"/>
              <w:ind w:left="227"/>
              <w:rPr>
                <w:bCs/>
                <w:color w:val="000000"/>
                <w:sz w:val="16"/>
                <w:szCs w:val="16"/>
              </w:rPr>
            </w:pPr>
            <w:bookmarkStart w:id="9"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07EC5492" w14:textId="77777777" w:rsidR="0045210A" w:rsidRPr="00A9663B" w:rsidRDefault="0045210A" w:rsidP="00E23DB8">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107522C9" w14:textId="77777777" w:rsidR="0045210A" w:rsidRPr="00A9663B" w:rsidRDefault="0045210A" w:rsidP="00E23DB8">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78C41FE7" w14:textId="77777777" w:rsidR="0045210A" w:rsidRPr="00A9663B" w:rsidRDefault="0045210A" w:rsidP="00E23DB8">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1708EB8A" w14:textId="77777777" w:rsidR="0045210A" w:rsidRPr="00A9663B" w:rsidRDefault="0045210A" w:rsidP="00E23DB8">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C40C21B" w14:textId="77777777" w:rsidR="0045210A" w:rsidRPr="00A9663B" w:rsidRDefault="0045210A" w:rsidP="00E23DB8">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45210A" w:rsidRPr="00841586" w14:paraId="7D722749" w14:textId="77777777" w:rsidTr="0045210A">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60C3392B" w14:textId="77777777" w:rsidR="0045210A" w:rsidRPr="008A0229" w:rsidRDefault="0045210A" w:rsidP="0045210A">
            <w:pPr>
              <w:ind w:left="57"/>
              <w:jc w:val="left"/>
              <w:rPr>
                <w:color w:val="000000"/>
                <w:sz w:val="14"/>
                <w:szCs w:val="14"/>
              </w:rPr>
            </w:pPr>
            <w:r>
              <w:rPr>
                <w:color w:val="000000"/>
                <w:sz w:val="14"/>
                <w:szCs w:val="14"/>
              </w:rPr>
              <w:t>Electricidad residencial</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3C7522C7"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17.4</w:t>
            </w:r>
            <w:r w:rsidRPr="00DA7E51">
              <w:rPr>
                <w:color w:val="000000"/>
                <w:sz w:val="14"/>
                <w:szCs w:val="14"/>
              </w:rPr>
              <w:t>6</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74C4054E"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43</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1F0C7973" w14:textId="77777777" w:rsidR="0045210A" w:rsidRPr="008A0229" w:rsidRDefault="0045210A" w:rsidP="0045210A">
            <w:pPr>
              <w:ind w:left="57"/>
              <w:jc w:val="left"/>
              <w:rPr>
                <w:color w:val="000000"/>
                <w:sz w:val="14"/>
                <w:szCs w:val="14"/>
              </w:rPr>
            </w:pPr>
            <w:r>
              <w:rPr>
                <w:color w:val="000000"/>
                <w:sz w:val="14"/>
                <w:szCs w:val="14"/>
              </w:rPr>
              <w:t>Gas natural</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3C9BEAD9"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3</w:t>
            </w:r>
            <w:r w:rsidRPr="00DA7E51">
              <w:rPr>
                <w:color w:val="000000"/>
                <w:sz w:val="14"/>
                <w:szCs w:val="14"/>
              </w:rPr>
              <w:t>8.</w:t>
            </w:r>
            <w:r>
              <w:rPr>
                <w:color w:val="000000"/>
                <w:sz w:val="14"/>
                <w:szCs w:val="14"/>
              </w:rPr>
              <w:t>65</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448D57E8"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w:t>
            </w:r>
            <w:r>
              <w:rPr>
                <w:color w:val="000000"/>
                <w:sz w:val="14"/>
                <w:szCs w:val="14"/>
              </w:rPr>
              <w:t>184</w:t>
            </w:r>
          </w:p>
        </w:tc>
      </w:tr>
      <w:tr w:rsidR="0045210A" w:rsidRPr="00841586" w14:paraId="1025F404"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5A0AB7" w14:textId="77777777" w:rsidR="0045210A" w:rsidRPr="008A0229" w:rsidRDefault="0045210A" w:rsidP="0045210A">
            <w:pPr>
              <w:ind w:left="57"/>
              <w:jc w:val="left"/>
              <w:rPr>
                <w:color w:val="000000"/>
                <w:sz w:val="14"/>
                <w:szCs w:val="14"/>
              </w:rPr>
            </w:pPr>
            <w:r w:rsidRPr="00DA7E51">
              <w:rPr>
                <w:color w:val="000000"/>
                <w:sz w:val="14"/>
                <w:szCs w:val="14"/>
              </w:rPr>
              <w:t>Jitomate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59D73C"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21</w:t>
            </w:r>
            <w:r w:rsidRPr="00DA7E51">
              <w:rPr>
                <w:color w:val="000000"/>
                <w:sz w:val="14"/>
                <w:szCs w:val="14"/>
              </w:rPr>
              <w:t>.</w:t>
            </w:r>
            <w:r>
              <w:rPr>
                <w:color w:val="000000"/>
                <w:sz w:val="14"/>
                <w:szCs w:val="14"/>
              </w:rPr>
              <w:t>26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A300F2"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26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168302F" w14:textId="77777777" w:rsidR="0045210A" w:rsidRPr="008A0229" w:rsidRDefault="0045210A" w:rsidP="0045210A">
            <w:pPr>
              <w:ind w:left="57"/>
              <w:jc w:val="left"/>
              <w:rPr>
                <w:color w:val="000000"/>
                <w:sz w:val="14"/>
                <w:szCs w:val="14"/>
              </w:rPr>
            </w:pPr>
            <w:r>
              <w:rPr>
                <w:color w:val="000000"/>
                <w:sz w:val="14"/>
                <w:szCs w:val="14"/>
              </w:rPr>
              <w:t>Lámina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0D670C"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-10.</w:t>
            </w:r>
            <w:r>
              <w:rPr>
                <w:color w:val="000000"/>
                <w:sz w:val="14"/>
                <w:szCs w:val="14"/>
              </w:rPr>
              <w:t>54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370776"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62</w:t>
            </w:r>
          </w:p>
        </w:tc>
      </w:tr>
      <w:tr w:rsidR="0045210A" w:rsidRPr="00841586" w14:paraId="3DC0CBA7"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0EEF22" w14:textId="77777777" w:rsidR="0045210A" w:rsidRPr="008A0229" w:rsidRDefault="0045210A" w:rsidP="0045210A">
            <w:pPr>
              <w:ind w:left="57"/>
              <w:jc w:val="left"/>
              <w:rPr>
                <w:color w:val="000000"/>
                <w:sz w:val="14"/>
                <w:szCs w:val="14"/>
              </w:rPr>
            </w:pPr>
            <w:r>
              <w:rPr>
                <w:color w:val="000000"/>
                <w:sz w:val="14"/>
                <w:szCs w:val="14"/>
              </w:rPr>
              <w:t>Gasolina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F8AF3D"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4</w:t>
            </w:r>
            <w:r w:rsidRPr="00DA7E51">
              <w:rPr>
                <w:color w:val="000000"/>
                <w:sz w:val="14"/>
                <w:szCs w:val="14"/>
              </w:rPr>
              <w:t>.</w:t>
            </w:r>
            <w:r>
              <w:rPr>
                <w:color w:val="000000"/>
                <w:sz w:val="14"/>
                <w:szCs w:val="14"/>
              </w:rPr>
              <w:t>11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67805E"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0.02</w:t>
            </w:r>
            <w:r>
              <w:rPr>
                <w:color w:val="000000"/>
                <w:sz w:val="14"/>
                <w:szCs w:val="14"/>
              </w:rPr>
              <w:t>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B45B61" w14:textId="77777777" w:rsidR="0045210A" w:rsidRPr="008A0229" w:rsidRDefault="0045210A" w:rsidP="0045210A">
            <w:pPr>
              <w:ind w:left="57"/>
              <w:jc w:val="left"/>
              <w:rPr>
                <w:color w:val="000000"/>
                <w:sz w:val="14"/>
                <w:szCs w:val="14"/>
              </w:rPr>
            </w:pPr>
            <w:r>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229227"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7</w:t>
            </w:r>
            <w:r w:rsidRPr="00DA7E51">
              <w:rPr>
                <w:color w:val="000000"/>
                <w:sz w:val="14"/>
                <w:szCs w:val="14"/>
              </w:rPr>
              <w:t>.</w:t>
            </w:r>
            <w:r>
              <w:rPr>
                <w:color w:val="000000"/>
                <w:sz w:val="14"/>
                <w:szCs w:val="14"/>
              </w:rPr>
              <w:t>00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4D83A9"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59</w:t>
            </w:r>
          </w:p>
        </w:tc>
      </w:tr>
      <w:tr w:rsidR="0045210A" w:rsidRPr="00841586" w14:paraId="77EEC75E"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51A50E" w14:textId="77777777" w:rsidR="0045210A" w:rsidRPr="008A0229" w:rsidRDefault="0045210A" w:rsidP="0045210A">
            <w:pPr>
              <w:ind w:left="57"/>
              <w:jc w:val="left"/>
              <w:rPr>
                <w:color w:val="000000"/>
                <w:sz w:val="14"/>
                <w:szCs w:val="14"/>
              </w:rPr>
            </w:pPr>
            <w:r>
              <w:rPr>
                <w:color w:val="000000"/>
                <w:sz w:val="14"/>
                <w:szCs w:val="14"/>
              </w:rPr>
              <w:t>Azúcar</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F35C654"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8</w:t>
            </w:r>
            <w:r w:rsidRPr="00DA7E51">
              <w:rPr>
                <w:color w:val="000000"/>
                <w:sz w:val="14"/>
                <w:szCs w:val="14"/>
              </w:rPr>
              <w:t>.</w:t>
            </w:r>
            <w:r>
              <w:rPr>
                <w:color w:val="000000"/>
                <w:sz w:val="14"/>
                <w:szCs w:val="14"/>
              </w:rPr>
              <w:t>41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065FDB"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0.02</w:t>
            </w:r>
            <w:r>
              <w:rPr>
                <w:color w:val="000000"/>
                <w:sz w:val="14"/>
                <w:szCs w:val="14"/>
              </w:rPr>
              <w:t>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981824" w14:textId="77777777" w:rsidR="0045210A" w:rsidRPr="008A0229" w:rsidRDefault="0045210A" w:rsidP="0045210A">
            <w:pPr>
              <w:ind w:left="57"/>
              <w:jc w:val="left"/>
              <w:rPr>
                <w:color w:val="000000"/>
                <w:sz w:val="14"/>
                <w:szCs w:val="14"/>
              </w:rPr>
            </w:pPr>
            <w:r>
              <w:rPr>
                <w:color w:val="000000"/>
                <w:sz w:val="14"/>
                <w:szCs w:val="14"/>
              </w:rPr>
              <w:t>Petróleo crudo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E31723"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1</w:t>
            </w:r>
            <w:r w:rsidRPr="00DA7E51">
              <w:rPr>
                <w:color w:val="000000"/>
                <w:sz w:val="14"/>
                <w:szCs w:val="14"/>
              </w:rPr>
              <w:t>.</w:t>
            </w:r>
            <w:r>
              <w:rPr>
                <w:color w:val="000000"/>
                <w:sz w:val="14"/>
                <w:szCs w:val="14"/>
              </w:rPr>
              <w:t>34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FB6F6E"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43</w:t>
            </w:r>
          </w:p>
        </w:tc>
      </w:tr>
      <w:tr w:rsidR="0045210A" w:rsidRPr="00841586" w14:paraId="7691E4E8"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635D75" w14:textId="77777777" w:rsidR="0045210A" w:rsidRPr="008A0229" w:rsidRDefault="0045210A" w:rsidP="0045210A">
            <w:pPr>
              <w:ind w:left="57"/>
              <w:jc w:val="left"/>
              <w:rPr>
                <w:color w:val="000000"/>
                <w:sz w:val="14"/>
                <w:szCs w:val="14"/>
              </w:rPr>
            </w:pPr>
            <w:r>
              <w:rPr>
                <w:color w:val="000000"/>
                <w:sz w:val="14"/>
                <w:szCs w:val="14"/>
              </w:rPr>
              <w:t>Plata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05122A"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2</w:t>
            </w:r>
            <w:r w:rsidRPr="00DA7E51">
              <w:rPr>
                <w:color w:val="000000"/>
                <w:sz w:val="14"/>
                <w:szCs w:val="14"/>
              </w:rPr>
              <w:t>.</w:t>
            </w:r>
            <w:r>
              <w:rPr>
                <w:color w:val="000000"/>
                <w:sz w:val="14"/>
                <w:szCs w:val="14"/>
              </w:rPr>
              <w:t>96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96CC19"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2091B4" w14:textId="77777777" w:rsidR="0045210A" w:rsidRPr="008A0229" w:rsidRDefault="0045210A" w:rsidP="0045210A">
            <w:pPr>
              <w:ind w:left="57"/>
              <w:jc w:val="left"/>
              <w:rPr>
                <w:color w:val="000000"/>
                <w:sz w:val="14"/>
                <w:szCs w:val="14"/>
              </w:rPr>
            </w:pPr>
            <w:r>
              <w:rPr>
                <w:color w:val="000000"/>
                <w:sz w:val="14"/>
                <w:szCs w:val="14"/>
              </w:rPr>
              <w:t>Aguacate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829030"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14</w:t>
            </w:r>
            <w:r w:rsidRPr="00DA7E51">
              <w:rPr>
                <w:color w:val="000000"/>
                <w:sz w:val="14"/>
                <w:szCs w:val="14"/>
              </w:rPr>
              <w:t>.</w:t>
            </w:r>
            <w:r>
              <w:rPr>
                <w:color w:val="000000"/>
                <w:sz w:val="14"/>
                <w:szCs w:val="14"/>
              </w:rPr>
              <w:t>81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E26D8F"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28</w:t>
            </w:r>
          </w:p>
        </w:tc>
      </w:tr>
      <w:tr w:rsidR="0045210A" w:rsidRPr="00841586" w14:paraId="400A5DA7"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078FF1" w14:textId="77777777" w:rsidR="0045210A" w:rsidRPr="008A0229" w:rsidRDefault="0045210A" w:rsidP="0045210A">
            <w:pPr>
              <w:ind w:left="57"/>
              <w:jc w:val="left"/>
              <w:rPr>
                <w:color w:val="000000"/>
                <w:sz w:val="14"/>
                <w:szCs w:val="14"/>
              </w:rPr>
            </w:pPr>
            <w:r>
              <w:rPr>
                <w:color w:val="000000"/>
                <w:sz w:val="14"/>
                <w:szCs w:val="14"/>
              </w:rPr>
              <w:t>Tortilla de 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29ED89"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1</w:t>
            </w:r>
            <w:r w:rsidRPr="00DA7E51">
              <w:rPr>
                <w:color w:val="000000"/>
                <w:sz w:val="14"/>
                <w:szCs w:val="14"/>
              </w:rPr>
              <w:t>.</w:t>
            </w:r>
            <w:r>
              <w:rPr>
                <w:color w:val="000000"/>
                <w:sz w:val="14"/>
                <w:szCs w:val="14"/>
              </w:rPr>
              <w:t>63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8A8A92"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0.017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F2C8CC" w14:textId="77777777" w:rsidR="0045210A" w:rsidRPr="008A0229" w:rsidRDefault="0045210A" w:rsidP="0045210A">
            <w:pPr>
              <w:ind w:left="57"/>
              <w:jc w:val="left"/>
              <w:rPr>
                <w:color w:val="000000"/>
                <w:sz w:val="14"/>
                <w:szCs w:val="14"/>
              </w:rPr>
            </w:pPr>
            <w:r>
              <w:rPr>
                <w:color w:val="000000"/>
                <w:sz w:val="14"/>
                <w:szCs w:val="14"/>
              </w:rPr>
              <w:t>Construcción de obras viales y para el autotransporte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0E1811"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2</w:t>
            </w:r>
            <w:r w:rsidRPr="00DA7E51">
              <w:rPr>
                <w:color w:val="000000"/>
                <w:sz w:val="14"/>
                <w:szCs w:val="14"/>
              </w:rPr>
              <w:t>.</w:t>
            </w:r>
            <w:r>
              <w:rPr>
                <w:color w:val="000000"/>
                <w:sz w:val="14"/>
                <w:szCs w:val="14"/>
              </w:rPr>
              <w:t>68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BE3BD5"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26</w:t>
            </w:r>
          </w:p>
        </w:tc>
      </w:tr>
      <w:tr w:rsidR="0045210A" w:rsidRPr="00841586" w14:paraId="79C04879"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B7B27F" w14:textId="77777777" w:rsidR="0045210A" w:rsidRPr="008A0229" w:rsidRDefault="0045210A" w:rsidP="0045210A">
            <w:pPr>
              <w:ind w:left="57"/>
              <w:jc w:val="left"/>
              <w:rPr>
                <w:color w:val="000000"/>
                <w:sz w:val="14"/>
                <w:szCs w:val="14"/>
              </w:rPr>
            </w:pPr>
            <w:r>
              <w:rPr>
                <w:color w:val="000000"/>
                <w:sz w:val="14"/>
                <w:szCs w:val="14"/>
              </w:rPr>
              <w:t>Hoteles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47A261"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1</w:t>
            </w:r>
            <w:r w:rsidRPr="00DA7E51">
              <w:rPr>
                <w:color w:val="000000"/>
                <w:sz w:val="14"/>
                <w:szCs w:val="14"/>
              </w:rPr>
              <w:t>.</w:t>
            </w:r>
            <w:r>
              <w:rPr>
                <w:color w:val="000000"/>
                <w:sz w:val="14"/>
                <w:szCs w:val="14"/>
              </w:rPr>
              <w:t>45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2D40D3"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1CB379" w14:textId="77777777" w:rsidR="0045210A" w:rsidRPr="008A0229" w:rsidRDefault="0045210A" w:rsidP="0045210A">
            <w:pPr>
              <w:ind w:left="57"/>
              <w:jc w:val="left"/>
              <w:rPr>
                <w:color w:val="000000"/>
                <w:sz w:val="14"/>
                <w:szCs w:val="14"/>
              </w:rPr>
            </w:pPr>
            <w:r>
              <w:rPr>
                <w:color w:val="000000"/>
                <w:sz w:val="14"/>
                <w:szCs w:val="14"/>
              </w:rPr>
              <w:t>Telefonía celular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1DF41C"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-4.</w:t>
            </w:r>
            <w:r>
              <w:rPr>
                <w:color w:val="000000"/>
                <w:sz w:val="14"/>
                <w:szCs w:val="14"/>
              </w:rPr>
              <w:t>17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2AB721"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-0.02</w:t>
            </w:r>
            <w:r>
              <w:rPr>
                <w:color w:val="000000"/>
                <w:sz w:val="14"/>
                <w:szCs w:val="14"/>
              </w:rPr>
              <w:t>0</w:t>
            </w:r>
          </w:p>
        </w:tc>
      </w:tr>
      <w:tr w:rsidR="0045210A" w:rsidRPr="00841586" w14:paraId="7DEA452D"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60A941D7" w14:textId="77777777" w:rsidR="0045210A" w:rsidRPr="008A0229" w:rsidRDefault="0045210A" w:rsidP="0045210A">
            <w:pPr>
              <w:ind w:left="57"/>
              <w:jc w:val="left"/>
              <w:rPr>
                <w:color w:val="000000"/>
                <w:sz w:val="14"/>
                <w:szCs w:val="14"/>
              </w:rPr>
            </w:pPr>
            <w:r>
              <w:rPr>
                <w:color w:val="000000"/>
                <w:sz w:val="14"/>
                <w:szCs w:val="14"/>
              </w:rPr>
              <w:t>Bujías y otras partes para sistema eléctrico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4FC6EC"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1</w:t>
            </w:r>
            <w:r w:rsidRPr="00DA7E51">
              <w:rPr>
                <w:color w:val="000000"/>
                <w:sz w:val="14"/>
                <w:szCs w:val="14"/>
              </w:rPr>
              <w:t>.</w:t>
            </w:r>
            <w:r>
              <w:rPr>
                <w:color w:val="000000"/>
                <w:sz w:val="14"/>
                <w:szCs w:val="14"/>
              </w:rPr>
              <w:t>7</w:t>
            </w:r>
            <w:r w:rsidRPr="00DA7E51">
              <w:rPr>
                <w:color w:val="000000"/>
                <w:sz w:val="14"/>
                <w:szCs w:val="14"/>
              </w:rPr>
              <w:t>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8F2235"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1FEFE6" w14:textId="77777777" w:rsidR="0045210A" w:rsidRPr="008A0229" w:rsidRDefault="0045210A" w:rsidP="0045210A">
            <w:pPr>
              <w:ind w:left="57"/>
              <w:jc w:val="left"/>
              <w:rPr>
                <w:color w:val="000000"/>
                <w:sz w:val="14"/>
                <w:szCs w:val="14"/>
              </w:rPr>
            </w:pPr>
            <w:r>
              <w:rPr>
                <w:color w:val="000000"/>
                <w:sz w:val="14"/>
                <w:szCs w:val="14"/>
              </w:rPr>
              <w:t>Papa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42F735"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-1</w:t>
            </w:r>
            <w:r>
              <w:rPr>
                <w:color w:val="000000"/>
                <w:sz w:val="14"/>
                <w:szCs w:val="14"/>
              </w:rPr>
              <w:t>8</w:t>
            </w:r>
            <w:r w:rsidRPr="00DA7E51">
              <w:rPr>
                <w:color w:val="000000"/>
                <w:sz w:val="14"/>
                <w:szCs w:val="14"/>
              </w:rPr>
              <w:t>.</w:t>
            </w:r>
            <w:r>
              <w:rPr>
                <w:color w:val="000000"/>
                <w:sz w:val="14"/>
                <w:szCs w:val="14"/>
              </w:rPr>
              <w:t>11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12B659"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18</w:t>
            </w:r>
          </w:p>
        </w:tc>
      </w:tr>
      <w:tr w:rsidR="0045210A" w:rsidRPr="00841586" w14:paraId="7FBBA20D"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6CCF2D" w14:textId="77777777" w:rsidR="0045210A" w:rsidRPr="008A0229" w:rsidRDefault="0045210A" w:rsidP="0045210A">
            <w:pPr>
              <w:ind w:left="57"/>
              <w:jc w:val="left"/>
              <w:rPr>
                <w:color w:val="000000"/>
                <w:sz w:val="14"/>
                <w:szCs w:val="14"/>
              </w:rPr>
            </w:pPr>
            <w:r>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54C6B1"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2</w:t>
            </w:r>
            <w:r w:rsidRPr="00DA7E51">
              <w:rPr>
                <w:color w:val="000000"/>
                <w:sz w:val="14"/>
                <w:szCs w:val="14"/>
              </w:rPr>
              <w:t>.</w:t>
            </w:r>
            <w:r>
              <w:rPr>
                <w:color w:val="000000"/>
                <w:sz w:val="14"/>
                <w:szCs w:val="14"/>
              </w:rPr>
              <w:t>04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5749DE"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EB9B41E" w14:textId="77777777" w:rsidR="0045210A" w:rsidRPr="008A0229" w:rsidRDefault="0045210A" w:rsidP="0045210A">
            <w:pPr>
              <w:ind w:left="57"/>
              <w:jc w:val="left"/>
              <w:rPr>
                <w:color w:val="000000"/>
                <w:sz w:val="14"/>
                <w:szCs w:val="14"/>
              </w:rPr>
            </w:pPr>
            <w:r>
              <w:rPr>
                <w:color w:val="000000"/>
                <w:sz w:val="14"/>
                <w:szCs w:val="14"/>
              </w:rPr>
              <w:t>Gas licuado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3FE75F"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11</w:t>
            </w:r>
            <w:r w:rsidRPr="00DA7E51">
              <w:rPr>
                <w:color w:val="000000"/>
                <w:sz w:val="14"/>
                <w:szCs w:val="14"/>
              </w:rPr>
              <w:t>.</w:t>
            </w:r>
            <w:r>
              <w:rPr>
                <w:color w:val="000000"/>
                <w:sz w:val="14"/>
                <w:szCs w:val="14"/>
              </w:rPr>
              <w:t>35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9C06BE"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16</w:t>
            </w:r>
          </w:p>
        </w:tc>
      </w:tr>
      <w:tr w:rsidR="0045210A" w:rsidRPr="00841586" w14:paraId="311C8961"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44D6AA" w14:textId="77777777" w:rsidR="0045210A" w:rsidRPr="008A0229" w:rsidRDefault="0045210A" w:rsidP="0045210A">
            <w:pPr>
              <w:ind w:left="57"/>
              <w:jc w:val="left"/>
              <w:rPr>
                <w:color w:val="000000"/>
                <w:sz w:val="14"/>
                <w:szCs w:val="14"/>
              </w:rPr>
            </w:pPr>
            <w:r>
              <w:rPr>
                <w:color w:val="000000"/>
                <w:sz w:val="14"/>
                <w:szCs w:val="14"/>
              </w:rPr>
              <w:t>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EC2108"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2</w:t>
            </w:r>
            <w:r w:rsidRPr="00DA7E51">
              <w:rPr>
                <w:color w:val="000000"/>
                <w:sz w:val="14"/>
                <w:szCs w:val="14"/>
              </w:rPr>
              <w:t>.</w:t>
            </w:r>
            <w:r>
              <w:rPr>
                <w:color w:val="000000"/>
                <w:sz w:val="14"/>
                <w:szCs w:val="14"/>
              </w:rPr>
              <w:t>16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BC119E"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10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1FC887C" w14:textId="77777777" w:rsidR="0045210A" w:rsidRPr="008A0229" w:rsidRDefault="0045210A" w:rsidP="0045210A">
            <w:pPr>
              <w:ind w:left="57"/>
              <w:jc w:val="left"/>
              <w:rPr>
                <w:color w:val="000000"/>
                <w:sz w:val="14"/>
                <w:szCs w:val="14"/>
              </w:rPr>
            </w:pPr>
            <w:r>
              <w:rPr>
                <w:color w:val="000000"/>
                <w:sz w:val="14"/>
                <w:szCs w:val="14"/>
              </w:rPr>
              <w:t>Láminas de acero galvanizado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0CA55C"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8</w:t>
            </w:r>
            <w:r w:rsidRPr="00DA7E51">
              <w:rPr>
                <w:color w:val="000000"/>
                <w:sz w:val="14"/>
                <w:szCs w:val="14"/>
              </w:rPr>
              <w:t>.9</w:t>
            </w:r>
            <w:r>
              <w:rPr>
                <w:color w:val="000000"/>
                <w:sz w:val="14"/>
                <w:szCs w:val="14"/>
              </w:rPr>
              <w:t>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3089A0"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15</w:t>
            </w:r>
          </w:p>
        </w:tc>
      </w:tr>
      <w:tr w:rsidR="0045210A" w:rsidRPr="00841586" w14:paraId="424072AA"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CF284E" w14:textId="77777777" w:rsidR="0045210A" w:rsidRPr="008A0229" w:rsidRDefault="0045210A" w:rsidP="0045210A">
            <w:pPr>
              <w:ind w:left="57"/>
              <w:jc w:val="left"/>
              <w:rPr>
                <w:color w:val="000000"/>
                <w:sz w:val="14"/>
                <w:szCs w:val="14"/>
              </w:rPr>
            </w:pPr>
            <w:r>
              <w:rPr>
                <w:color w:val="000000"/>
                <w:sz w:val="14"/>
                <w:szCs w:val="14"/>
              </w:rPr>
              <w:t>Vivienda propia y rentada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49F88C"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w:t>
            </w:r>
            <w:r>
              <w:rPr>
                <w:color w:val="000000"/>
                <w:sz w:val="14"/>
                <w:szCs w:val="14"/>
              </w:rPr>
              <w:t>21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CD10640"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10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E9949A" w14:textId="77777777" w:rsidR="0045210A" w:rsidRPr="008A0229" w:rsidRDefault="0045210A" w:rsidP="0045210A">
            <w:pPr>
              <w:ind w:left="57"/>
              <w:jc w:val="left"/>
              <w:rPr>
                <w:color w:val="000000"/>
                <w:sz w:val="14"/>
                <w:szCs w:val="14"/>
              </w:rPr>
            </w:pPr>
            <w:r>
              <w:rPr>
                <w:color w:val="000000"/>
                <w:sz w:val="14"/>
                <w:szCs w:val="14"/>
              </w:rPr>
              <w:t>Edificación de inmuebles comerciales y de servicios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0F69922"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0</w:t>
            </w:r>
            <w:r w:rsidRPr="00DA7E51">
              <w:rPr>
                <w:color w:val="000000"/>
                <w:sz w:val="14"/>
                <w:szCs w:val="14"/>
              </w:rPr>
              <w:t>.</w:t>
            </w:r>
            <w:r>
              <w:rPr>
                <w:color w:val="000000"/>
                <w:sz w:val="14"/>
                <w:szCs w:val="14"/>
              </w:rPr>
              <w:t>67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5D883C"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5</w:t>
            </w:r>
          </w:p>
        </w:tc>
      </w:tr>
      <w:tr w:rsidR="0045210A" w:rsidRPr="00841586" w14:paraId="360BB369"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7BA9D1" w14:textId="77777777" w:rsidR="0045210A" w:rsidRPr="008A0229" w:rsidRDefault="0045210A" w:rsidP="0045210A">
            <w:pPr>
              <w:ind w:left="57"/>
              <w:jc w:val="left"/>
              <w:rPr>
                <w:color w:val="000000"/>
                <w:sz w:val="14"/>
                <w:szCs w:val="14"/>
              </w:rPr>
            </w:pPr>
            <w:r>
              <w:rPr>
                <w:color w:val="000000"/>
                <w:sz w:val="14"/>
                <w:szCs w:val="14"/>
              </w:rPr>
              <w:t>Sorgo y otros cultivos de leguminosas y cereales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2E8A65"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8</w:t>
            </w:r>
            <w:r w:rsidRPr="00DA7E51">
              <w:rPr>
                <w:color w:val="000000"/>
                <w:sz w:val="14"/>
                <w:szCs w:val="14"/>
              </w:rPr>
              <w:t>.</w:t>
            </w:r>
            <w:r>
              <w:rPr>
                <w:color w:val="000000"/>
                <w:sz w:val="14"/>
                <w:szCs w:val="14"/>
              </w:rPr>
              <w:t>26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802BDE"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0.00</w:t>
            </w:r>
            <w:r>
              <w:rPr>
                <w:color w:val="000000"/>
                <w:sz w:val="14"/>
                <w:szCs w:val="14"/>
              </w:rPr>
              <w:t>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1FC20F" w14:textId="77777777" w:rsidR="0045210A" w:rsidRPr="008A0229" w:rsidRDefault="0045210A" w:rsidP="0045210A">
            <w:pPr>
              <w:ind w:left="57"/>
              <w:jc w:val="left"/>
              <w:rPr>
                <w:color w:val="000000"/>
                <w:sz w:val="14"/>
                <w:szCs w:val="14"/>
              </w:rPr>
            </w:pPr>
            <w:r>
              <w:rPr>
                <w:color w:val="000000"/>
                <w:sz w:val="14"/>
                <w:szCs w:val="14"/>
              </w:rPr>
              <w:t>Edificación residencial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D648E32"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0</w:t>
            </w:r>
            <w:r w:rsidRPr="00DA7E51">
              <w:rPr>
                <w:color w:val="000000"/>
                <w:sz w:val="14"/>
                <w:szCs w:val="14"/>
              </w:rPr>
              <w:t>.</w:t>
            </w:r>
            <w:r>
              <w:rPr>
                <w:color w:val="000000"/>
                <w:sz w:val="14"/>
                <w:szCs w:val="14"/>
              </w:rPr>
              <w:t>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5AFD85A"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5</w:t>
            </w:r>
          </w:p>
        </w:tc>
      </w:tr>
      <w:tr w:rsidR="0045210A" w:rsidRPr="00841586" w14:paraId="059AB6DB"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EE9E41" w14:textId="77777777" w:rsidR="0045210A" w:rsidRPr="008A0229" w:rsidRDefault="0045210A" w:rsidP="0045210A">
            <w:pPr>
              <w:ind w:left="57"/>
              <w:jc w:val="left"/>
              <w:rPr>
                <w:color w:val="000000"/>
                <w:sz w:val="14"/>
                <w:szCs w:val="14"/>
              </w:rPr>
            </w:pPr>
            <w:r>
              <w:rPr>
                <w:color w:val="000000"/>
                <w:sz w:val="14"/>
                <w:szCs w:val="14"/>
              </w:rPr>
              <w:t>Restaurantes y cafeterías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3A1F05"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w:t>
            </w:r>
            <w:r>
              <w:rPr>
                <w:color w:val="000000"/>
                <w:sz w:val="14"/>
                <w:szCs w:val="14"/>
              </w:rPr>
              <w:t>77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C4E2F4"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0.00</w:t>
            </w:r>
            <w:r>
              <w:rPr>
                <w:color w:val="000000"/>
                <w:sz w:val="14"/>
                <w:szCs w:val="14"/>
              </w:rPr>
              <w:t>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E435FD8" w14:textId="77777777" w:rsidR="0045210A" w:rsidRPr="008A0229" w:rsidRDefault="0045210A" w:rsidP="0045210A">
            <w:pPr>
              <w:ind w:left="57"/>
              <w:jc w:val="left"/>
              <w:rPr>
                <w:color w:val="000000"/>
                <w:sz w:val="14"/>
                <w:szCs w:val="14"/>
              </w:rPr>
            </w:pPr>
            <w:r w:rsidRPr="00DA7E51">
              <w:rPr>
                <w:color w:val="000000"/>
                <w:sz w:val="14"/>
                <w:szCs w:val="14"/>
              </w:rPr>
              <w:t>Co</w:t>
            </w:r>
            <w:r>
              <w:rPr>
                <w:color w:val="000000"/>
                <w:sz w:val="14"/>
                <w:szCs w:val="14"/>
              </w:rPr>
              <w:t>mbustóleo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9C09398"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-1</w:t>
            </w:r>
            <w:r>
              <w:rPr>
                <w:color w:val="000000"/>
                <w:sz w:val="14"/>
                <w:szCs w:val="14"/>
              </w:rPr>
              <w:t>1</w:t>
            </w:r>
            <w:r w:rsidRPr="00DA7E51">
              <w:rPr>
                <w:color w:val="000000"/>
                <w:sz w:val="14"/>
                <w:szCs w:val="14"/>
              </w:rPr>
              <w:t>.2</w:t>
            </w:r>
            <w:r>
              <w:rPr>
                <w:color w:val="000000"/>
                <w:sz w:val="14"/>
                <w:szCs w:val="14"/>
              </w:rPr>
              <w:t>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EB1BE9"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3</w:t>
            </w:r>
          </w:p>
        </w:tc>
      </w:tr>
      <w:tr w:rsidR="0045210A" w:rsidRPr="00841586" w14:paraId="7D1FFE4E" w14:textId="77777777" w:rsidTr="0045210A">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6590C1" w14:textId="77777777" w:rsidR="0045210A" w:rsidRPr="008A0229" w:rsidRDefault="0045210A" w:rsidP="0045210A">
            <w:pPr>
              <w:ind w:left="57"/>
              <w:jc w:val="left"/>
              <w:rPr>
                <w:color w:val="000000"/>
                <w:sz w:val="14"/>
                <w:szCs w:val="14"/>
              </w:rPr>
            </w:pPr>
            <w:r w:rsidRPr="00DA7E51">
              <w:rPr>
                <w:color w:val="000000"/>
                <w:sz w:val="14"/>
                <w:szCs w:val="14"/>
              </w:rPr>
              <w:t>Agencias de empleo y suministro de personal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6F0180"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0.3</w:t>
            </w:r>
            <w:r>
              <w:rPr>
                <w:color w:val="000000"/>
                <w:sz w:val="14"/>
                <w:szCs w:val="14"/>
              </w:rPr>
              <w:t>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99469F"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0.007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E37014C" w14:textId="77777777" w:rsidR="0045210A" w:rsidRPr="008A0229" w:rsidRDefault="0045210A" w:rsidP="0045210A">
            <w:pPr>
              <w:ind w:left="57"/>
              <w:jc w:val="left"/>
              <w:rPr>
                <w:color w:val="000000"/>
                <w:sz w:val="14"/>
                <w:szCs w:val="14"/>
              </w:rPr>
            </w:pPr>
            <w:r>
              <w:rPr>
                <w:color w:val="000000"/>
                <w:sz w:val="14"/>
                <w:szCs w:val="14"/>
              </w:rPr>
              <w:t>Leche sin pasteurizar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39C203"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2</w:t>
            </w:r>
            <w:r w:rsidRPr="00DA7E51">
              <w:rPr>
                <w:color w:val="000000"/>
                <w:sz w:val="14"/>
                <w:szCs w:val="14"/>
              </w:rPr>
              <w:t>.</w:t>
            </w:r>
            <w:r>
              <w:rPr>
                <w:color w:val="000000"/>
                <w:sz w:val="14"/>
                <w:szCs w:val="14"/>
              </w:rPr>
              <w:t>72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D4BB3D"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-0.01</w:t>
            </w:r>
            <w:r>
              <w:rPr>
                <w:color w:val="000000"/>
                <w:sz w:val="14"/>
                <w:szCs w:val="14"/>
              </w:rPr>
              <w:t>2</w:t>
            </w:r>
          </w:p>
        </w:tc>
      </w:tr>
      <w:tr w:rsidR="0045210A" w:rsidRPr="00841586" w14:paraId="77FF0B43" w14:textId="77777777" w:rsidTr="0045210A">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4F6BECF2" w14:textId="77777777" w:rsidR="0045210A" w:rsidRPr="008A0229" w:rsidRDefault="0045210A" w:rsidP="0045210A">
            <w:pPr>
              <w:ind w:left="57"/>
              <w:jc w:val="left"/>
              <w:rPr>
                <w:color w:val="000000"/>
                <w:sz w:val="14"/>
                <w:szCs w:val="14"/>
              </w:rPr>
            </w:pPr>
            <w:r>
              <w:rPr>
                <w:color w:val="000000"/>
                <w:sz w:val="14"/>
                <w:szCs w:val="14"/>
              </w:rPr>
              <w:t>Automóviles</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7A6DEE6E" w14:textId="77777777" w:rsidR="0045210A" w:rsidRPr="003C590F" w:rsidRDefault="0045210A" w:rsidP="00E23DB8">
            <w:pPr>
              <w:autoSpaceDE w:val="0"/>
              <w:autoSpaceDN w:val="0"/>
              <w:adjustRightInd w:val="0"/>
              <w:ind w:right="283"/>
              <w:jc w:val="right"/>
              <w:rPr>
                <w:color w:val="000000"/>
                <w:sz w:val="14"/>
                <w:szCs w:val="14"/>
              </w:rPr>
            </w:pPr>
            <w:r>
              <w:rPr>
                <w:color w:val="000000"/>
                <w:sz w:val="14"/>
                <w:szCs w:val="14"/>
              </w:rPr>
              <w:t>0.20</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6660EF17" w14:textId="77777777" w:rsidR="0045210A" w:rsidRPr="003C590F" w:rsidRDefault="0045210A" w:rsidP="00E23DB8">
            <w:pPr>
              <w:autoSpaceDE w:val="0"/>
              <w:autoSpaceDN w:val="0"/>
              <w:adjustRightInd w:val="0"/>
              <w:ind w:right="283"/>
              <w:jc w:val="right"/>
              <w:rPr>
                <w:color w:val="000000"/>
                <w:sz w:val="14"/>
                <w:szCs w:val="14"/>
              </w:rPr>
            </w:pPr>
            <w:r w:rsidRPr="00DA7E51">
              <w:rPr>
                <w:color w:val="000000"/>
                <w:sz w:val="14"/>
                <w:szCs w:val="14"/>
              </w:rPr>
              <w:t>0.007</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2FC12C62" w14:textId="77777777" w:rsidR="0045210A" w:rsidRPr="008A0229" w:rsidRDefault="0045210A" w:rsidP="0045210A">
            <w:pPr>
              <w:ind w:left="57"/>
              <w:jc w:val="left"/>
              <w:rPr>
                <w:color w:val="000000"/>
                <w:sz w:val="14"/>
                <w:szCs w:val="14"/>
              </w:rPr>
            </w:pPr>
            <w:r>
              <w:rPr>
                <w:color w:val="000000"/>
                <w:sz w:val="14"/>
                <w:szCs w:val="14"/>
              </w:rPr>
              <w:t>Aves</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20D07C14"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w:t>
            </w:r>
            <w:r>
              <w:rPr>
                <w:color w:val="000000"/>
                <w:sz w:val="14"/>
                <w:szCs w:val="14"/>
              </w:rPr>
              <w:t>0</w:t>
            </w:r>
            <w:r w:rsidRPr="00DA7E51">
              <w:rPr>
                <w:color w:val="000000"/>
                <w:sz w:val="14"/>
                <w:szCs w:val="14"/>
              </w:rPr>
              <w:t>.</w:t>
            </w:r>
            <w:r>
              <w:rPr>
                <w:color w:val="000000"/>
                <w:sz w:val="14"/>
                <w:szCs w:val="14"/>
              </w:rPr>
              <w:t>93</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7934C1E3" w14:textId="77777777" w:rsidR="0045210A" w:rsidRPr="00A87A41" w:rsidRDefault="0045210A" w:rsidP="00E23DB8">
            <w:pPr>
              <w:autoSpaceDE w:val="0"/>
              <w:autoSpaceDN w:val="0"/>
              <w:adjustRightInd w:val="0"/>
              <w:ind w:right="283"/>
              <w:jc w:val="right"/>
              <w:rPr>
                <w:color w:val="000000"/>
                <w:sz w:val="14"/>
                <w:szCs w:val="14"/>
              </w:rPr>
            </w:pPr>
            <w:r w:rsidRPr="00DA7E51">
              <w:rPr>
                <w:color w:val="000000"/>
                <w:sz w:val="14"/>
                <w:szCs w:val="14"/>
              </w:rPr>
              <w:t>-0.0</w:t>
            </w:r>
            <w:r>
              <w:rPr>
                <w:color w:val="000000"/>
                <w:sz w:val="14"/>
                <w:szCs w:val="14"/>
              </w:rPr>
              <w:t>09</w:t>
            </w:r>
          </w:p>
        </w:tc>
      </w:tr>
    </w:tbl>
    <w:bookmarkEnd w:id="9"/>
    <w:p w14:paraId="54F02A41"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 xml:space="preserve">La incidencia se refiere a la contribución en puntos porcentuales de cada componente del INPP en la variación porcentual del índice general. </w:t>
      </w:r>
      <w:r w:rsidR="00533681">
        <w:rPr>
          <w:sz w:val="14"/>
          <w:szCs w:val="16"/>
        </w:rPr>
        <w:t>E</w:t>
      </w:r>
      <w:r w:rsidRPr="001E4D9A">
        <w:rPr>
          <w:sz w:val="14"/>
          <w:szCs w:val="16"/>
        </w:rPr>
        <w:t>sta se calcula utilizando los ponderadores de cada subíndice, así como los precios relativos y sus respectivas variaciones.</w:t>
      </w:r>
    </w:p>
    <w:p w14:paraId="1C91F0D6" w14:textId="77777777" w:rsidR="004445E5" w:rsidRPr="00EA1643" w:rsidRDefault="004445E5" w:rsidP="004445E5">
      <w:pPr>
        <w:autoSpaceDE w:val="0"/>
        <w:autoSpaceDN w:val="0"/>
        <w:adjustRightInd w:val="0"/>
        <w:ind w:left="210" w:hanging="140"/>
        <w:jc w:val="left"/>
        <w:rPr>
          <w:snapToGrid w:val="0"/>
          <w:sz w:val="14"/>
          <w:szCs w:val="14"/>
          <w:u w:val="single"/>
        </w:rPr>
      </w:pPr>
      <w:r w:rsidRPr="004445E5">
        <w:rPr>
          <w:color w:val="000000"/>
          <w:sz w:val="14"/>
          <w:szCs w:val="14"/>
        </w:rPr>
        <w:t xml:space="preserve">Fuente: </w:t>
      </w:r>
      <w:r w:rsidRPr="002A4D1E">
        <w:rPr>
          <w:color w:val="000000"/>
          <w:sz w:val="14"/>
          <w:szCs w:val="14"/>
        </w:rPr>
        <w:t>INEGI</w:t>
      </w:r>
      <w:r w:rsidRPr="00EA1643">
        <w:rPr>
          <w:snapToGrid w:val="0"/>
          <w:sz w:val="14"/>
          <w:szCs w:val="14"/>
          <w:u w:val="single"/>
        </w:rPr>
        <w:t xml:space="preserve"> </w:t>
      </w:r>
    </w:p>
    <w:p w14:paraId="25D0F778" w14:textId="77777777" w:rsidR="00DE0B7A" w:rsidRPr="00782827" w:rsidRDefault="00B074FC" w:rsidP="00EA1643">
      <w:pPr>
        <w:spacing w:before="480"/>
        <w:rPr>
          <w:b/>
          <w:snapToGrid w:val="0"/>
        </w:rPr>
      </w:pPr>
      <w:r w:rsidRPr="00782827">
        <w:rPr>
          <w:b/>
          <w:snapToGrid w:val="0"/>
        </w:rPr>
        <w:t xml:space="preserve">Nota metodológica </w:t>
      </w:r>
    </w:p>
    <w:p w14:paraId="5CB27322" w14:textId="77777777" w:rsidR="00B074FC" w:rsidRPr="00B074FC" w:rsidRDefault="00B26CBE" w:rsidP="00B074FC">
      <w:pPr>
        <w:spacing w:before="240"/>
        <w:rPr>
          <w:b/>
          <w:snapToGrid w:val="0"/>
        </w:rPr>
      </w:pPr>
      <w:r w:rsidRPr="00B26CBE">
        <w:rPr>
          <w:snapToGrid w:val="0"/>
        </w:rPr>
        <w:t xml:space="preserve">El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004F2B">
        <w:rPr>
          <w:snapToGrid w:val="0"/>
        </w:rPr>
        <w:t>con</w:t>
      </w:r>
      <w:r w:rsidR="00764008">
        <w:rPr>
          <w:snapToGrid w:val="0"/>
        </w:rPr>
        <w:t xml:space="preserve"> </w:t>
      </w:r>
      <w:r w:rsidRPr="00B26CBE">
        <w:rPr>
          <w:snapToGrid w:val="0"/>
        </w:rPr>
        <w:t>su destino, en cuanto a bienes intermedios y finales</w:t>
      </w:r>
      <w:r w:rsidR="002F553E">
        <w:rPr>
          <w:snapToGrid w:val="0"/>
        </w:rPr>
        <w:t>. E</w:t>
      </w:r>
      <w:r w:rsidRPr="00B26CBE">
        <w:rPr>
          <w:snapToGrid w:val="0"/>
        </w:rPr>
        <w:t>stos últimos para el consumo, la formación de capital y las exportaciones</w:t>
      </w:r>
      <w:r w:rsidR="00B074FC" w:rsidRPr="00B074FC">
        <w:rPr>
          <w:snapToGrid w:val="0"/>
        </w:rPr>
        <w:t>.</w:t>
      </w:r>
    </w:p>
    <w:p w14:paraId="44F7D690"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72EF2BC6"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5C6F467C" w14:textId="77777777" w:rsidR="006A5582" w:rsidRDefault="00737A95" w:rsidP="00F348C7">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se</w:t>
      </w:r>
      <w:r w:rsidR="00E44C01">
        <w:rPr>
          <w:snapToGrid w:val="0"/>
          <w:lang w:val="es-MX"/>
        </w:rPr>
        <w:t xml:space="preserve"> comparan </w:t>
      </w:r>
      <w:r w:rsidRPr="0041700C">
        <w:rPr>
          <w:snapToGrid w:val="0"/>
          <w:lang w:val="es-MX"/>
        </w:rPr>
        <w:t>los precios, por lo que se l</w:t>
      </w:r>
      <w:r w:rsidR="003458EC">
        <w:rPr>
          <w:snapToGrid w:val="0"/>
          <w:lang w:val="es-MX"/>
        </w:rPr>
        <w:t>o</w:t>
      </w:r>
      <w:r w:rsidRPr="0041700C">
        <w:rPr>
          <w:snapToGrid w:val="0"/>
          <w:lang w:val="es-MX"/>
        </w:rPr>
        <w:t xml:space="preserve"> denomina </w:t>
      </w:r>
      <w:r w:rsidRPr="000B297C">
        <w:rPr>
          <w:i/>
          <w:iCs/>
          <w:snapToGrid w:val="0"/>
          <w:lang w:val="es-MX"/>
        </w:rPr>
        <w:t>periodo base de comparación de los precios</w:t>
      </w:r>
      <w:r w:rsidR="00B074FC" w:rsidRPr="00B074FC">
        <w:rPr>
          <w:snapToGrid w:val="0"/>
        </w:rPr>
        <w:t xml:space="preserve">. </w:t>
      </w:r>
      <w:r w:rsidR="006A5582">
        <w:rPr>
          <w:snapToGrid w:val="0"/>
        </w:rPr>
        <w:br w:type="page"/>
      </w:r>
    </w:p>
    <w:p w14:paraId="33EFF11E"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lastRenderedPageBreak/>
        <w:t>Canasta de bienes y servicios</w:t>
      </w:r>
    </w:p>
    <w:p w14:paraId="1701DF39" w14:textId="77777777" w:rsidR="00B074F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00D73123">
        <w:rPr>
          <w:snapToGrid w:val="0"/>
          <w:lang w:val="es-MX"/>
        </w:rPr>
        <w:t>,</w:t>
      </w:r>
      <w:r w:rsidRPr="00134108">
        <w:rPr>
          <w:snapToGrid w:val="0"/>
          <w:vertAlign w:val="superscript"/>
          <w:lang w:val="es-MX"/>
        </w:rPr>
        <w:footnoteReference w:id="1"/>
      </w:r>
      <w:r w:rsidRPr="0041700C">
        <w:rPr>
          <w:snapToGrid w:val="0"/>
          <w:lang w:val="es-MX"/>
        </w:rPr>
        <w:t xml:space="preserve"> de los cuales 68 corresponden al sector </w:t>
      </w:r>
      <w:r w:rsidR="00E44C01">
        <w:rPr>
          <w:snapToGrid w:val="0"/>
          <w:lang w:val="es-MX"/>
        </w:rPr>
        <w:t>p</w:t>
      </w:r>
      <w:r w:rsidRPr="0041700C">
        <w:rPr>
          <w:snapToGrid w:val="0"/>
          <w:lang w:val="es-MX"/>
        </w:rPr>
        <w:t xml:space="preserve">rimario, 382 al </w:t>
      </w:r>
      <w:r w:rsidR="00E44C01">
        <w:rPr>
          <w:snapToGrid w:val="0"/>
          <w:lang w:val="es-MX"/>
        </w:rPr>
        <w:t>s</w:t>
      </w:r>
      <w:r w:rsidRPr="0041700C">
        <w:rPr>
          <w:snapToGrid w:val="0"/>
          <w:lang w:val="es-MX"/>
        </w:rPr>
        <w:t xml:space="preserve">ecundario y 110 al sector </w:t>
      </w:r>
      <w:r w:rsidR="00E44C01">
        <w:rPr>
          <w:snapToGrid w:val="0"/>
          <w:lang w:val="es-MX"/>
        </w:rPr>
        <w:t>t</w:t>
      </w:r>
      <w:r w:rsidRPr="0041700C">
        <w:rPr>
          <w:snapToGrid w:val="0"/>
          <w:lang w:val="es-MX"/>
        </w:rPr>
        <w:t>erciario. Su contenido se define con base en las participaciones de los bienes y servicios en los valores de la producción nacional de los sectores económicos considerados por el índice. Para que un producto se integre en la canasta</w:t>
      </w:r>
      <w:r w:rsidR="002C00AE">
        <w:rPr>
          <w:snapToGrid w:val="0"/>
          <w:lang w:val="es-MX"/>
        </w:rPr>
        <w:t>,</w:t>
      </w:r>
      <w:r w:rsidRPr="0041700C">
        <w:rPr>
          <w:snapToGrid w:val="0"/>
          <w:lang w:val="es-MX"/>
        </w:rPr>
        <w:t xml:space="preserve"> su participación debe ser igual o mayor a 0.005</w:t>
      </w:r>
      <w:r w:rsidR="00D73123">
        <w:rPr>
          <w:snapToGrid w:val="0"/>
          <w:lang w:val="es-MX"/>
        </w:rPr>
        <w:t xml:space="preserve"> por ciento</w:t>
      </w:r>
      <w:r>
        <w:rPr>
          <w:snapToGrid w:val="0"/>
          <w:lang w:val="es-MX"/>
        </w:rPr>
        <w:t>.</w:t>
      </w:r>
    </w:p>
    <w:p w14:paraId="3DDD4095"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6C037AC7" w14:textId="77777777" w:rsidR="008B1D81" w:rsidRDefault="00737A95" w:rsidP="006260AF">
      <w:pPr>
        <w:spacing w:before="60"/>
        <w:ind w:left="357"/>
        <w:rPr>
          <w:snapToGrid w:val="0"/>
          <w:lang w:val="es-ES"/>
        </w:rPr>
      </w:pPr>
      <w:r w:rsidRPr="0041700C">
        <w:rPr>
          <w:snapToGrid w:val="0"/>
          <w:lang w:val="es-MX"/>
        </w:rPr>
        <w:t>La estructura de ponderación del INPP con base en julio de 2019 se determinó a partir de los valores de producción de los Cuadros de Oferta y Utilización 2017 y la Matriz de Insumo-Producto de 2013 del Sistema de Cuentas Nacionales de México</w:t>
      </w:r>
      <w:r w:rsidR="00382A2C">
        <w:rPr>
          <w:snapToGrid w:val="0"/>
          <w:lang w:val="es-MX"/>
        </w:rPr>
        <w:t xml:space="preserve"> (SCNM)</w:t>
      </w:r>
      <w:r w:rsidR="002F04AD">
        <w:rPr>
          <w:snapToGrid w:val="0"/>
          <w:lang w:val="es-MX"/>
        </w:rPr>
        <w:t>. También se incluyó</w:t>
      </w:r>
      <w:r w:rsidRPr="0041700C">
        <w:rPr>
          <w:snapToGrid w:val="0"/>
          <w:lang w:val="es-MX"/>
        </w:rPr>
        <w:t xml:space="preserve"> información de los Censos Económicos 2014, registros administrativos proporcionados por Petróleos Mexicanos</w:t>
      </w:r>
      <w:r w:rsidR="00BF2EC8">
        <w:rPr>
          <w:snapToGrid w:val="0"/>
          <w:lang w:val="es-MX"/>
        </w:rPr>
        <w:t xml:space="preserve"> (PEMEX)</w:t>
      </w:r>
      <w:r w:rsidRPr="0041700C">
        <w:rPr>
          <w:snapToGrid w:val="0"/>
          <w:lang w:val="es-MX"/>
        </w:rPr>
        <w:t xml:space="preserve">, el Sistema de Información Agropecuaria y Pesquera </w:t>
      </w:r>
      <w:r>
        <w:rPr>
          <w:snapToGrid w:val="0"/>
          <w:lang w:val="es-MX"/>
        </w:rPr>
        <w:t xml:space="preserve">y </w:t>
      </w:r>
      <w:r w:rsidRPr="0041700C">
        <w:rPr>
          <w:snapToGrid w:val="0"/>
          <w:lang w:val="es-MX"/>
        </w:rPr>
        <w:t>la Encuesta Mensual de la Industria Manufacturera</w:t>
      </w:r>
      <w:r w:rsidR="00382A2C">
        <w:rPr>
          <w:snapToGrid w:val="0"/>
          <w:lang w:val="es-MX"/>
        </w:rPr>
        <w:t xml:space="preserve"> (EMIM)</w:t>
      </w:r>
      <w:r w:rsidRPr="0041700C">
        <w:rPr>
          <w:snapToGrid w:val="0"/>
          <w:lang w:val="es-MX"/>
        </w:rPr>
        <w:t xml:space="preserve"> 2017, entre otros</w:t>
      </w:r>
      <w:r w:rsidR="00B074FC" w:rsidRPr="00B074FC">
        <w:rPr>
          <w:snapToGrid w:val="0"/>
          <w:lang w:val="es-ES"/>
        </w:rPr>
        <w:t xml:space="preserve">. </w:t>
      </w:r>
    </w:p>
    <w:p w14:paraId="5C8A1EA6"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Cobertura Sectorial del INPP</w:t>
      </w:r>
    </w:p>
    <w:p w14:paraId="39C6B7F9" w14:textId="77777777"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w:t>
      </w:r>
      <w:r w:rsidR="00104C54">
        <w:rPr>
          <w:snapToGrid w:val="0"/>
        </w:rPr>
        <w:t>Sistema de Clasificación Industrial de América del Norte (</w:t>
      </w:r>
      <w:r w:rsidRPr="00B074FC">
        <w:rPr>
          <w:snapToGrid w:val="0"/>
        </w:rPr>
        <w:t xml:space="preserve">SCIAN </w:t>
      </w:r>
      <w:r>
        <w:rPr>
          <w:snapToGrid w:val="0"/>
        </w:rPr>
        <w:t>2013</w:t>
      </w:r>
      <w:r w:rsidR="00104C54">
        <w:rPr>
          <w:snapToGrid w:val="0"/>
        </w:rPr>
        <w:t>)</w:t>
      </w:r>
      <w:r>
        <w:rPr>
          <w:snapToGrid w:val="0"/>
        </w:rPr>
        <w:t>, 62 subsectores, 168 ramas, 268 s</w:t>
      </w:r>
      <w:r w:rsidRPr="00B074FC">
        <w:rPr>
          <w:snapToGrid w:val="0"/>
        </w:rPr>
        <w:t xml:space="preserve">ubramas y 344 </w:t>
      </w:r>
      <w:r>
        <w:rPr>
          <w:snapToGrid w:val="0"/>
        </w:rPr>
        <w:t>c</w:t>
      </w:r>
      <w:r w:rsidRPr="00B074FC">
        <w:rPr>
          <w:snapToGrid w:val="0"/>
        </w:rPr>
        <w:t>lases de actividad económica</w:t>
      </w:r>
      <w:r w:rsidR="00DA035D">
        <w:rPr>
          <w:snapToGrid w:val="0"/>
        </w:rPr>
        <w:t>. Esto</w:t>
      </w:r>
      <w:r w:rsidRPr="00B074FC">
        <w:rPr>
          <w:snapToGrid w:val="0"/>
        </w:rPr>
        <w:t xml:space="preserve"> representa 79.2</w:t>
      </w:r>
      <w:r w:rsidR="00D73123">
        <w:rPr>
          <w:snapToGrid w:val="0"/>
        </w:rPr>
        <w:t xml:space="preserve"> </w:t>
      </w:r>
      <w:r w:rsidR="009E3630">
        <w:rPr>
          <w:snapToGrid w:val="0"/>
        </w:rPr>
        <w:t xml:space="preserve">% </w:t>
      </w:r>
      <w:r w:rsidRPr="00B074FC">
        <w:rPr>
          <w:snapToGrid w:val="0"/>
        </w:rPr>
        <w:t>del valor de la producción nacional registrada en los Cuadros de Oferta y Utilización de 2017</w:t>
      </w:r>
      <w:r w:rsidR="00B074FC" w:rsidRPr="00B074FC">
        <w:rPr>
          <w:snapToGrid w:val="0"/>
        </w:rPr>
        <w:t>.</w:t>
      </w:r>
    </w:p>
    <w:p w14:paraId="178C93F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07162429" w14:textId="77777777" w:rsidR="00C72408"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w:t>
      </w:r>
      <w:r w:rsidR="00FB414E">
        <w:rPr>
          <w:snapToGrid w:val="0"/>
        </w:rPr>
        <w:t>hay</w:t>
      </w:r>
      <w:r w:rsidRPr="00B074FC">
        <w:rPr>
          <w:snapToGrid w:val="0"/>
        </w:rPr>
        <w:t xml:space="preserve">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w:t>
      </w:r>
      <w:r w:rsidR="00382A2C">
        <w:rPr>
          <w:snapToGrid w:val="0"/>
        </w:rPr>
        <w:t xml:space="preserve"> Índice Nacional de Precios al Consumidor</w:t>
      </w:r>
      <w:r w:rsidRPr="00B074FC">
        <w:rPr>
          <w:snapToGrid w:val="0"/>
        </w:rPr>
        <w:t xml:space="preserve"> </w:t>
      </w:r>
      <w:r w:rsidR="00382A2C">
        <w:rPr>
          <w:snapToGrid w:val="0"/>
        </w:rPr>
        <w:t>(</w:t>
      </w:r>
      <w:r w:rsidRPr="00B074FC">
        <w:rPr>
          <w:snapToGrid w:val="0"/>
        </w:rPr>
        <w:t>INPC</w:t>
      </w:r>
      <w:r w:rsidR="00382A2C">
        <w:rPr>
          <w:snapToGrid w:val="0"/>
        </w:rPr>
        <w:t>)</w:t>
      </w:r>
      <w:r w:rsidR="00D2167E">
        <w:rPr>
          <w:snapToGrid w:val="0"/>
        </w:rPr>
        <w:t>.</w:t>
      </w:r>
      <w:r w:rsidRPr="00B074FC">
        <w:rPr>
          <w:snapToGrid w:val="0"/>
        </w:rPr>
        <w:t xml:space="preserve"> </w:t>
      </w:r>
      <w:r w:rsidR="00D2167E">
        <w:rPr>
          <w:snapToGrid w:val="0"/>
        </w:rPr>
        <w:t>L</w:t>
      </w:r>
      <w:r w:rsidRPr="00B074FC">
        <w:rPr>
          <w:snapToGrid w:val="0"/>
        </w:rPr>
        <w:t>os demás genéricos</w:t>
      </w:r>
      <w:r w:rsidR="00D2167E">
        <w:rPr>
          <w:snapToGrid w:val="0"/>
        </w:rPr>
        <w:t xml:space="preserve"> lo hacen</w:t>
      </w:r>
      <w:r w:rsidR="00F444FE">
        <w:rPr>
          <w:snapToGrid w:val="0"/>
        </w:rPr>
        <w:t xml:space="preserve"> mediante </w:t>
      </w:r>
      <w:r w:rsidRPr="00B074FC">
        <w:rPr>
          <w:snapToGrid w:val="0"/>
        </w:rPr>
        <w:t>registros administrativos del Sistema Nacional de Información e Integración de Mercados (SNIIM), la C</w:t>
      </w:r>
      <w:r w:rsidR="00BF2EC8">
        <w:rPr>
          <w:snapToGrid w:val="0"/>
        </w:rPr>
        <w:t xml:space="preserve">omisión </w:t>
      </w:r>
      <w:r w:rsidRPr="00B074FC">
        <w:rPr>
          <w:snapToGrid w:val="0"/>
        </w:rPr>
        <w:t>F</w:t>
      </w:r>
      <w:r w:rsidR="00BF2EC8">
        <w:rPr>
          <w:snapToGrid w:val="0"/>
        </w:rPr>
        <w:t xml:space="preserve">ederal de </w:t>
      </w:r>
      <w:r w:rsidRPr="00B074FC">
        <w:rPr>
          <w:snapToGrid w:val="0"/>
        </w:rPr>
        <w:t>E</w:t>
      </w:r>
      <w:r w:rsidR="00BF2EC8">
        <w:rPr>
          <w:snapToGrid w:val="0"/>
        </w:rPr>
        <w:t>lectricidad (CFE)</w:t>
      </w:r>
      <w:r w:rsidRPr="00B074FC">
        <w:rPr>
          <w:snapToGrid w:val="0"/>
        </w:rPr>
        <w:t xml:space="preserve"> y PEMEX, entre otros</w:t>
      </w:r>
      <w:r w:rsidR="00B074FC" w:rsidRPr="00B074FC">
        <w:rPr>
          <w:snapToGrid w:val="0"/>
        </w:rPr>
        <w:t>.</w:t>
      </w:r>
    </w:p>
    <w:p w14:paraId="7775E4CD" w14:textId="77777777" w:rsidR="00C72408" w:rsidRDefault="00C72408">
      <w:pPr>
        <w:jc w:val="left"/>
        <w:rPr>
          <w:snapToGrid w:val="0"/>
        </w:rPr>
      </w:pPr>
      <w:r>
        <w:rPr>
          <w:snapToGrid w:val="0"/>
        </w:rPr>
        <w:br w:type="page"/>
      </w:r>
    </w:p>
    <w:p w14:paraId="00D77740"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Cálculo del INPP</w:t>
      </w:r>
    </w:p>
    <w:p w14:paraId="65067F94" w14:textId="77777777"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w:t>
      </w:r>
      <w:r w:rsidR="00DA035D">
        <w:rPr>
          <w:snapToGrid w:val="0"/>
        </w:rPr>
        <w:t>.</w:t>
      </w:r>
      <w:r w:rsidRPr="00B074FC">
        <w:rPr>
          <w:snapToGrid w:val="0"/>
        </w:rPr>
        <w:t xml:space="preserve"> </w:t>
      </w:r>
      <w:r w:rsidR="00DA035D">
        <w:rPr>
          <w:snapToGrid w:val="0"/>
        </w:rPr>
        <w:t>L</w:t>
      </w:r>
      <w:r w:rsidRPr="00B074FC">
        <w:rPr>
          <w:snapToGrid w:val="0"/>
        </w:rPr>
        <w:t>a primera considera el cálculo de los índices elementales o índices de genéricos</w:t>
      </w:r>
      <w:r w:rsidR="00323CA3">
        <w:rPr>
          <w:snapToGrid w:val="0"/>
        </w:rPr>
        <w:t>.</w:t>
      </w:r>
      <w:r w:rsidRPr="00B074FC">
        <w:rPr>
          <w:snapToGrid w:val="0"/>
        </w:rPr>
        <w:t xml:space="preserve"> </w:t>
      </w:r>
      <w:r w:rsidR="00323CA3">
        <w:rPr>
          <w:snapToGrid w:val="0"/>
        </w:rPr>
        <w:t>Estos</w:t>
      </w:r>
      <w:r w:rsidRPr="00B074FC">
        <w:rPr>
          <w:snapToGrid w:val="0"/>
        </w:rPr>
        <w:t xml:space="preserve"> constituyen los agregados de menor nivel para los </w:t>
      </w:r>
      <w:r w:rsidR="00954FC4">
        <w:rPr>
          <w:snapToGrid w:val="0"/>
        </w:rPr>
        <w:t>que</w:t>
      </w:r>
      <w:r w:rsidR="00954FC4" w:rsidRPr="00B074FC">
        <w:rPr>
          <w:snapToGrid w:val="0"/>
        </w:rPr>
        <w:t xml:space="preserve"> </w:t>
      </w:r>
      <w:r w:rsidRPr="00B074FC">
        <w:rPr>
          <w:snapToGrid w:val="0"/>
        </w:rPr>
        <w:t xml:space="preserve">se dispone de información de los valores de la producción y que </w:t>
      </w:r>
      <w:r w:rsidR="00954FC4">
        <w:rPr>
          <w:snapToGrid w:val="0"/>
        </w:rPr>
        <w:t>se</w:t>
      </w:r>
      <w:r w:rsidR="00954FC4" w:rsidRPr="00B074FC">
        <w:rPr>
          <w:snapToGrid w:val="0"/>
        </w:rPr>
        <w:t xml:space="preserve"> </w:t>
      </w:r>
      <w:r w:rsidRPr="00B074FC">
        <w:rPr>
          <w:snapToGrid w:val="0"/>
        </w:rPr>
        <w:t>comp</w:t>
      </w:r>
      <w:r w:rsidR="00954FC4">
        <w:rPr>
          <w:snapToGrid w:val="0"/>
        </w:rPr>
        <w:t>onen</w:t>
      </w:r>
      <w:r w:rsidRPr="00B074FC">
        <w:rPr>
          <w:snapToGrid w:val="0"/>
        </w:rPr>
        <w:t xml:space="preserve"> por bienes y servicios relativamente homogéneos denominados </w:t>
      </w:r>
      <w:r w:rsidRPr="000B297C">
        <w:rPr>
          <w:i/>
          <w:iCs/>
          <w:snapToGrid w:val="0"/>
        </w:rPr>
        <w:t>productos específicos</w:t>
      </w:r>
      <w:r w:rsidRPr="00B074FC">
        <w:rPr>
          <w:snapToGrid w:val="0"/>
        </w:rPr>
        <w:t>. En la segunda etapa, los índices elementales de los productos genéricos se promedian de forma ponderada</w:t>
      </w:r>
      <w:r w:rsidR="0099096F">
        <w:rPr>
          <w:snapToGrid w:val="0"/>
        </w:rPr>
        <w:t>,</w:t>
      </w:r>
      <w:r w:rsidRPr="00B074FC">
        <w:rPr>
          <w:snapToGrid w:val="0"/>
        </w:rPr>
        <w:t xml:space="preserve"> mediante el Índice de Laspeyres, para construir los índices agregados de nivel superior</w:t>
      </w:r>
      <w:r w:rsidR="00B074FC" w:rsidRPr="00B074FC">
        <w:rPr>
          <w:snapToGrid w:val="0"/>
        </w:rPr>
        <w:t xml:space="preserve">. </w:t>
      </w:r>
    </w:p>
    <w:p w14:paraId="45594CD9" w14:textId="77777777"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0DE5FE59" w14:textId="77777777" w:rsidR="00737A95" w:rsidRPr="00FA4ADD" w:rsidRDefault="00737A95" w:rsidP="00737A95">
      <w:pPr>
        <w:spacing w:before="60"/>
        <w:ind w:left="357"/>
      </w:pPr>
      <w:r w:rsidRPr="00FA4ADD">
        <w:t>El cálculo y divulgación del INPP es mensual</w:t>
      </w:r>
      <w:r w:rsidR="006E7C8E">
        <w:t>.</w:t>
      </w:r>
      <w:r w:rsidRPr="00FA4ADD">
        <w:t xml:space="preserve"> </w:t>
      </w:r>
      <w:r w:rsidR="006E7C8E">
        <w:t>S</w:t>
      </w:r>
      <w:r w:rsidRPr="00FA4ADD">
        <w:t xml:space="preserve">e publica los días 10 de cada mes en el </w:t>
      </w:r>
      <w:r w:rsidRPr="007F60BF">
        <w:rPr>
          <w:i/>
          <w:iCs/>
        </w:rPr>
        <w:t>Diario Oficial de la Federación</w:t>
      </w:r>
      <w:r w:rsidR="0007428D" w:rsidRPr="007F60BF">
        <w:t xml:space="preserve"> (</w:t>
      </w:r>
      <w:r w:rsidR="0007428D">
        <w:t>DOF</w:t>
      </w:r>
      <w:r w:rsidR="0007428D" w:rsidRPr="007F60BF">
        <w:t>)</w:t>
      </w:r>
      <w:r w:rsidRPr="00FA4ADD">
        <w:t xml:space="preserve">, o el día hábil anterior en caso de que esta fecha sea sábado, domingo o día festivo. </w:t>
      </w:r>
      <w:r w:rsidR="006E7C8E">
        <w:t>U</w:t>
      </w:r>
      <w:r w:rsidR="006E7C8E" w:rsidRPr="00FA4ADD">
        <w:t>n día antes de su publicación en el DO</w:t>
      </w:r>
      <w:r w:rsidR="0007428D">
        <w:t>F</w:t>
      </w:r>
      <w:r w:rsidR="006E7C8E">
        <w:t>,</w:t>
      </w:r>
      <w:r w:rsidR="006E7C8E" w:rsidRPr="00FA4ADD">
        <w:t xml:space="preserve"> </w:t>
      </w:r>
      <w:r w:rsidRPr="00FA4ADD">
        <w:t>se difunde en la página del</w:t>
      </w:r>
      <w:r w:rsidR="009D1E2B">
        <w:t xml:space="preserve"> Instituto Nacional de Estadística y Geografía</w:t>
      </w:r>
      <w:r w:rsidRPr="00FA4ADD">
        <w:t xml:space="preserve"> </w:t>
      </w:r>
      <w:r w:rsidR="009D1E2B">
        <w:t>(</w:t>
      </w:r>
      <w:r w:rsidRPr="00FA4ADD">
        <w:t>INEGI</w:t>
      </w:r>
      <w:r w:rsidR="009D1E2B">
        <w:t>)</w:t>
      </w:r>
      <w:r w:rsidRPr="00FA4ADD">
        <w:t xml:space="preserve"> junto con un </w:t>
      </w:r>
      <w:r w:rsidR="007B3E59">
        <w:t>c</w:t>
      </w:r>
      <w:r w:rsidRPr="00FA4ADD">
        <w:t>omunicado de prensa.</w:t>
      </w:r>
    </w:p>
    <w:p w14:paraId="4B5B43D2" w14:textId="77777777" w:rsidR="00DC58B9" w:rsidRPr="00E45F62" w:rsidRDefault="00F3182F" w:rsidP="007B3E59">
      <w:pPr>
        <w:pStyle w:val="Texto"/>
        <w:autoSpaceDE w:val="0"/>
        <w:autoSpaceDN w:val="0"/>
        <w:adjustRightInd w:val="0"/>
        <w:spacing w:before="120" w:after="0" w:line="240" w:lineRule="auto"/>
        <w:ind w:left="357" w:firstLine="0"/>
        <w:rPr>
          <w:sz w:val="24"/>
          <w:szCs w:val="24"/>
          <w:lang w:val="es-ES_tradnl"/>
        </w:rPr>
      </w:pPr>
      <w:r>
        <w:rPr>
          <w:sz w:val="24"/>
          <w:szCs w:val="28"/>
        </w:rPr>
        <w:t>Y</w:t>
      </w:r>
      <w:r w:rsidR="007B3E59" w:rsidRPr="00FA4ADD">
        <w:rPr>
          <w:sz w:val="24"/>
          <w:szCs w:val="28"/>
        </w:rPr>
        <w:t>a que algunas fuentes de información pueden actualizar sus cifras</w:t>
      </w:r>
      <w:r w:rsidR="00D67F3F">
        <w:rPr>
          <w:sz w:val="24"/>
          <w:szCs w:val="28"/>
        </w:rPr>
        <w:t xml:space="preserve"> después de haberse publicado el índice</w:t>
      </w:r>
      <w:r w:rsidR="007B3E59" w:rsidRPr="00FA4ADD">
        <w:rPr>
          <w:sz w:val="24"/>
          <w:szCs w:val="28"/>
        </w:rPr>
        <w:t>, los resultados del INPP son preliminares</w:t>
      </w:r>
      <w:r w:rsidR="00D67F3F">
        <w:rPr>
          <w:sz w:val="24"/>
          <w:szCs w:val="28"/>
        </w:rPr>
        <w:t xml:space="preserve"> y</w:t>
      </w:r>
      <w:r w:rsidR="007B3E59" w:rsidRPr="00FA4ADD">
        <w:rPr>
          <w:sz w:val="24"/>
          <w:szCs w:val="28"/>
        </w:rPr>
        <w:t xml:space="preserve"> susceptibles de actualización hasta </w:t>
      </w:r>
      <w:r w:rsidR="007B3E59">
        <w:rPr>
          <w:sz w:val="24"/>
          <w:szCs w:val="28"/>
        </w:rPr>
        <w:t>cinco</w:t>
      </w:r>
      <w:r w:rsidR="007B3E59" w:rsidRPr="00FA4ADD">
        <w:rPr>
          <w:sz w:val="24"/>
          <w:szCs w:val="28"/>
        </w:rPr>
        <w:t xml:space="preserve"> meses </w:t>
      </w:r>
      <w:r w:rsidR="007B3E59">
        <w:rPr>
          <w:sz w:val="24"/>
          <w:szCs w:val="28"/>
        </w:rPr>
        <w:t>después de su publicación</w:t>
      </w:r>
      <w:r w:rsidR="00E30E89">
        <w:rPr>
          <w:sz w:val="24"/>
          <w:szCs w:val="28"/>
        </w:rPr>
        <w:t xml:space="preserve"> (por ejemplo</w:t>
      </w:r>
      <w:r w:rsidR="00E75F63">
        <w:rPr>
          <w:sz w:val="24"/>
          <w:szCs w:val="28"/>
        </w:rPr>
        <w:t>,</w:t>
      </w:r>
      <w:r w:rsidR="00E30E89">
        <w:rPr>
          <w:sz w:val="24"/>
          <w:szCs w:val="28"/>
        </w:rPr>
        <w:t xml:space="preserve">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07459E91" w14:textId="77777777" w:rsidR="00F361F9" w:rsidRDefault="0010445E" w:rsidP="00521B4F">
      <w:pPr>
        <w:spacing w:before="240"/>
        <w:rPr>
          <w:snapToGrid w:val="0"/>
        </w:rPr>
      </w:pPr>
      <w:r>
        <w:t xml:space="preserve">Mediante </w:t>
      </w:r>
      <w:r w:rsidRPr="00636E0F">
        <w:t xml:space="preserve">los </w:t>
      </w:r>
      <w:r w:rsidR="00FD7309">
        <w:t>í</w:t>
      </w:r>
      <w:r w:rsidRPr="00636E0F">
        <w:t xml:space="preserve">ndices de </w:t>
      </w:r>
      <w:r w:rsidR="00FD7309">
        <w:t>p</w:t>
      </w:r>
      <w:r w:rsidRPr="00636E0F">
        <w:t>recios</w:t>
      </w:r>
      <w:r>
        <w:t>, e</w:t>
      </w:r>
      <w:r w:rsidRPr="00636E0F">
        <w:t>l INEGI</w:t>
      </w:r>
      <w:r>
        <w:t xml:space="preserve"> genera l</w:t>
      </w:r>
      <w:r w:rsidRPr="00636E0F">
        <w:t xml:space="preserve">a información contenida en este documento </w:t>
      </w:r>
      <w:r>
        <w:t xml:space="preserve">y la </w:t>
      </w:r>
      <w:r w:rsidRPr="00636E0F">
        <w:t xml:space="preserve">da a conocer </w:t>
      </w:r>
      <w:r>
        <w:t xml:space="preserve">con base </w:t>
      </w:r>
      <w:r w:rsidRPr="00636E0F">
        <w:t xml:space="preserve">en el Calendario de </w:t>
      </w:r>
      <w:r>
        <w:rPr>
          <w:snapToGrid w:val="0"/>
        </w:rPr>
        <w:t>D</w:t>
      </w:r>
      <w:r w:rsidRPr="00636E0F">
        <w:rPr>
          <w:snapToGrid w:val="0"/>
        </w:rPr>
        <w:t xml:space="preserve">ifusión de </w:t>
      </w:r>
      <w:r>
        <w:rPr>
          <w:snapToGrid w:val="0"/>
        </w:rPr>
        <w:t>I</w:t>
      </w:r>
      <w:r w:rsidRPr="00636E0F">
        <w:rPr>
          <w:snapToGrid w:val="0"/>
        </w:rPr>
        <w:t xml:space="preserve">nformación </w:t>
      </w:r>
      <w:r>
        <w:rPr>
          <w:snapToGrid w:val="0"/>
        </w:rPr>
        <w:t>E</w:t>
      </w:r>
      <w:r w:rsidRPr="00636E0F">
        <w:rPr>
          <w:snapToGrid w:val="0"/>
        </w:rPr>
        <w:t xml:space="preserve">stadística y </w:t>
      </w:r>
      <w:r>
        <w:rPr>
          <w:snapToGrid w:val="0"/>
        </w:rPr>
        <w:t>G</w:t>
      </w:r>
      <w:r w:rsidRPr="00636E0F">
        <w:rPr>
          <w:snapToGrid w:val="0"/>
        </w:rPr>
        <w:t>eográfica y de Interés Nacional</w:t>
      </w:r>
      <w:r w:rsidR="00521B4F">
        <w:rPr>
          <w:snapToGrid w:val="0"/>
        </w:rPr>
        <w:t>.</w:t>
      </w:r>
    </w:p>
    <w:p w14:paraId="14E0DAE6" w14:textId="77777777" w:rsidR="00B074FC" w:rsidRDefault="00737A95" w:rsidP="000C2F9E">
      <w:pPr>
        <w:keepNext/>
        <w:keepLines/>
        <w:spacing w:before="240"/>
        <w:rPr>
          <w:snapToGrid w:val="0"/>
        </w:rPr>
      </w:pPr>
      <w:r w:rsidRPr="00B074FC">
        <w:rPr>
          <w:snapToGrid w:val="0"/>
        </w:rPr>
        <w:t>Para mayor detalle del diseño conceptual y metodológico del INPP</w:t>
      </w:r>
      <w:r w:rsidR="007606ED">
        <w:rPr>
          <w:snapToGrid w:val="0"/>
        </w:rPr>
        <w:t>,</w:t>
      </w:r>
      <w:r w:rsidRPr="00B074FC">
        <w:rPr>
          <w:snapToGrid w:val="0"/>
        </w:rPr>
        <w:t xml:space="preserve"> cons</w:t>
      </w:r>
      <w:r w:rsidR="0010445E">
        <w:rPr>
          <w:snapToGrid w:val="0"/>
        </w:rPr>
        <w:t>últese</w:t>
      </w:r>
      <w:r w:rsidRPr="00B074FC">
        <w:rPr>
          <w:snapToGrid w:val="0"/>
        </w:rPr>
        <w:t xml:space="preserve"> la página del INEGI: </w:t>
      </w:r>
      <w:hyperlink r:id="rId24" w:history="1">
        <w:r w:rsidRPr="00B074FC">
          <w:rPr>
            <w:rStyle w:val="Hipervnculo"/>
            <w:snapToGrid w:val="0"/>
          </w:rPr>
          <w:t>https://www.inegi.org.mx/programas/inpp/2019/</w:t>
        </w:r>
      </w:hyperlink>
      <w:r w:rsidRPr="00B074FC">
        <w:rPr>
          <w:snapToGrid w:val="0"/>
        </w:rPr>
        <w:t xml:space="preserve">. </w:t>
      </w:r>
      <w:r w:rsidR="0010445E" w:rsidRPr="00A16DEB">
        <w:t xml:space="preserve">En </w:t>
      </w:r>
      <w:r w:rsidR="0010445E">
        <w:t xml:space="preserve">la misma liga </w:t>
      </w:r>
      <w:r w:rsidR="0010445E" w:rsidRPr="00A16DEB">
        <w:t>se puede</w:t>
      </w:r>
      <w:r w:rsidR="0010445E">
        <w:t>n</w:t>
      </w:r>
      <w:r w:rsidR="0010445E" w:rsidRPr="00A16DEB">
        <w:t xml:space="preserve"> consultar </w:t>
      </w:r>
      <w:r w:rsidRPr="00B074FC">
        <w:rPr>
          <w:snapToGrid w:val="0"/>
        </w:rPr>
        <w:t>los tabulados de resultados del índice, las series históricas y herramientas de análisis del indicador</w:t>
      </w:r>
      <w:r w:rsidR="00B074FC" w:rsidRPr="00B074FC">
        <w:rPr>
          <w:snapToGrid w:val="0"/>
        </w:rPr>
        <w:t>.</w:t>
      </w:r>
    </w:p>
    <w:p w14:paraId="113A6234" w14:textId="77777777" w:rsidR="006408D1" w:rsidRPr="00472632" w:rsidRDefault="006408D1" w:rsidP="006408D1">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07D624A9" w14:textId="77777777" w:rsidR="00A6567C" w:rsidRPr="00B074FC" w:rsidRDefault="00F649A9" w:rsidP="008D7942">
      <w:pPr>
        <w:keepNext/>
        <w:keepLines/>
        <w:jc w:val="center"/>
        <w:rPr>
          <w:b/>
          <w:snapToGrid w:val="0"/>
        </w:rPr>
      </w:pPr>
      <w:r>
        <w:rPr>
          <w:rFonts w:ascii="Times New Roman" w:hAnsi="Times New Roman" w:cs="Times New Roman"/>
          <w:noProof/>
          <w:lang w:val="es-MX" w:eastAsia="es-MX"/>
        </w:rPr>
        <w:drawing>
          <wp:inline distT="0" distB="0" distL="0" distR="0" wp14:anchorId="6315B63F" wp14:editId="52FD722A">
            <wp:extent cx="3600000" cy="1677600"/>
            <wp:effectExtent l="0" t="0" r="635" b="0"/>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02CC" w14:textId="77777777" w:rsidR="00264996" w:rsidRDefault="00264996">
      <w:r>
        <w:separator/>
      </w:r>
    </w:p>
  </w:endnote>
  <w:endnote w:type="continuationSeparator" w:id="0">
    <w:p w14:paraId="4384A5A7" w14:textId="77777777" w:rsidR="00264996" w:rsidRDefault="0026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4E4A" w14:textId="77777777" w:rsidR="00A039DC" w:rsidRPr="00975B1E" w:rsidRDefault="00A039DC" w:rsidP="00DA04F3">
    <w:pPr>
      <w:pStyle w:val="Piedepgina"/>
      <w:jc w:val="center"/>
      <w:rPr>
        <w:b/>
        <w:bCs/>
        <w:color w:val="002060"/>
        <w:sz w:val="20"/>
        <w:szCs w:val="20"/>
      </w:rPr>
    </w:pPr>
    <w:r w:rsidRPr="00975B1E">
      <w:rPr>
        <w:b/>
        <w:bCs/>
        <w:color w:val="002060"/>
        <w:sz w:val="20"/>
        <w:szCs w:val="20"/>
      </w:rPr>
      <w:t>COMUNICACIÓN SOCIAL</w:t>
    </w:r>
  </w:p>
  <w:p w14:paraId="3CF752B6" w14:textId="77777777" w:rsidR="00A039DC" w:rsidRPr="007B4B63" w:rsidRDefault="00A039DC" w:rsidP="00DA04F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D9A5" w14:textId="77777777" w:rsidR="008C14BD" w:rsidRPr="00F46C91" w:rsidRDefault="008C14BD" w:rsidP="003076C4">
    <w:pPr>
      <w:pStyle w:val="Piedepgina"/>
      <w:jc w:val="center"/>
      <w:rPr>
        <w:b/>
        <w:color w:val="002060"/>
        <w:sz w:val="20"/>
        <w:szCs w:val="20"/>
        <w:lang w:val="es-MX"/>
      </w:rPr>
    </w:pPr>
    <w:r w:rsidRPr="00F46C9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57D5" w14:textId="77777777" w:rsidR="00264996" w:rsidRDefault="00264996">
      <w:r>
        <w:separator/>
      </w:r>
    </w:p>
  </w:footnote>
  <w:footnote w:type="continuationSeparator" w:id="0">
    <w:p w14:paraId="2E7D67EC" w14:textId="77777777" w:rsidR="00264996" w:rsidRDefault="00264996">
      <w:r>
        <w:continuationSeparator/>
      </w:r>
    </w:p>
  </w:footnote>
  <w:footnote w:id="1">
    <w:p w14:paraId="7F50447E" w14:textId="77777777" w:rsidR="008C14BD" w:rsidRDefault="008C14BD" w:rsidP="003101BD">
      <w:pPr>
        <w:pStyle w:val="Textonotapie"/>
        <w:ind w:left="170" w:hanging="170"/>
      </w:pPr>
      <w:r>
        <w:rPr>
          <w:rStyle w:val="Refdenotaalpie"/>
        </w:rPr>
        <w:footnoteRef/>
      </w:r>
      <w:r>
        <w:tab/>
      </w:r>
      <w:r w:rsidRPr="006301B8">
        <w:rPr>
          <w:sz w:val="16"/>
          <w:szCs w:val="16"/>
        </w:rPr>
        <w:t xml:space="preserve">Producto </w:t>
      </w:r>
      <w:r>
        <w:rPr>
          <w:sz w:val="16"/>
          <w:szCs w:val="16"/>
        </w:rPr>
        <w:t>g</w:t>
      </w:r>
      <w:r w:rsidRPr="006301B8">
        <w:rPr>
          <w:sz w:val="16"/>
          <w:szCs w:val="16"/>
        </w:rPr>
        <w:t>enérico</w:t>
      </w:r>
      <w:r>
        <w:rPr>
          <w:color w:val="000000"/>
          <w:sz w:val="16"/>
          <w:szCs w:val="16"/>
        </w:rPr>
        <w:t>: c</w:t>
      </w:r>
      <w:r w:rsidRPr="006301B8">
        <w:rPr>
          <w:color w:val="000000"/>
          <w:sz w:val="16"/>
          <w:szCs w:val="16"/>
        </w:rPr>
        <w:t>onjunto de bienes y servicios de la canasta del INP</w:t>
      </w:r>
      <w:r>
        <w:rPr>
          <w:color w:val="000000"/>
          <w:sz w:val="16"/>
          <w:szCs w:val="16"/>
        </w:rPr>
        <w:t>P</w:t>
      </w:r>
      <w:r w:rsidRPr="006301B8">
        <w:rPr>
          <w:color w:val="000000"/>
          <w:sz w:val="16"/>
          <w:szCs w:val="16"/>
        </w:rPr>
        <w:t xml:space="preserve"> que poseen alto grado de homogeneidad</w:t>
      </w:r>
      <w:r>
        <w:rPr>
          <w:color w:val="000000"/>
          <w:sz w:val="16"/>
          <w:szCs w:val="16"/>
        </w:rPr>
        <w:t>.</w:t>
      </w:r>
      <w:r w:rsidRPr="006301B8">
        <w:rPr>
          <w:color w:val="000000"/>
          <w:sz w:val="16"/>
          <w:szCs w:val="16"/>
        </w:rPr>
        <w:t xml:space="preserve"> </w:t>
      </w:r>
      <w:r>
        <w:rPr>
          <w:color w:val="000000"/>
          <w:sz w:val="16"/>
          <w:szCs w:val="16"/>
        </w:rPr>
        <w:t>S</w:t>
      </w:r>
      <w:r w:rsidRPr="006301B8">
        <w:rPr>
          <w:color w:val="000000"/>
          <w:sz w:val="16"/>
          <w:szCs w:val="16"/>
        </w:rPr>
        <w:t xml:space="preserve">e compone de productos específicos o variedades con características similares. </w:t>
      </w:r>
      <w:r>
        <w:rPr>
          <w:color w:val="000000"/>
          <w:sz w:val="16"/>
          <w:szCs w:val="16"/>
        </w:rPr>
        <w:t>Se trata de</w:t>
      </w:r>
      <w:r w:rsidRPr="006301B8">
        <w:rPr>
          <w:color w:val="000000"/>
          <w:sz w:val="16"/>
          <w:szCs w:val="16"/>
        </w:rPr>
        <w:t xml:space="preserve"> la categoría primaria o agregado elemental para </w:t>
      </w:r>
      <w:r>
        <w:rPr>
          <w:color w:val="000000"/>
          <w:sz w:val="16"/>
          <w:szCs w:val="16"/>
        </w:rPr>
        <w:t>la</w:t>
      </w:r>
      <w:r w:rsidRPr="006301B8">
        <w:rPr>
          <w:color w:val="000000"/>
          <w:sz w:val="16"/>
          <w:szCs w:val="16"/>
        </w:rPr>
        <w:t xml:space="preserve"> cual se dispone de datos de </w:t>
      </w:r>
      <w:r>
        <w:rPr>
          <w:color w:val="000000"/>
          <w:sz w:val="16"/>
          <w:szCs w:val="16"/>
        </w:rPr>
        <w:t xml:space="preserve">producción </w:t>
      </w:r>
      <w:r w:rsidRPr="006301B8">
        <w:rPr>
          <w:color w:val="000000"/>
          <w:sz w:val="16"/>
          <w:szCs w:val="16"/>
        </w:rPr>
        <w:t xml:space="preserve">y ponderación propia con la que se calculan los índices de acuerdo </w:t>
      </w:r>
      <w:r>
        <w:rPr>
          <w:color w:val="000000"/>
          <w:sz w:val="16"/>
          <w:szCs w:val="16"/>
        </w:rPr>
        <w:t>con</w:t>
      </w:r>
      <w:r w:rsidRPr="006301B8">
        <w:rPr>
          <w:color w:val="000000"/>
          <w:sz w:val="16"/>
          <w:szCs w:val="16"/>
        </w:rPr>
        <w:t xml:space="preserve">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22AD" w14:textId="0A687DAF" w:rsidR="00A039DC" w:rsidRPr="00306ECD" w:rsidRDefault="00A039DC" w:rsidP="00DA04F3">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03AD7A3" wp14:editId="3C6F45BB">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FE7BAD">
      <w:rPr>
        <w:b/>
        <w:color w:val="002060"/>
      </w:rPr>
      <w:t>654</w:t>
    </w:r>
    <w:r w:rsidRPr="00306ECD">
      <w:rPr>
        <w:b/>
        <w:color w:val="002060"/>
      </w:rPr>
      <w:t>/2</w:t>
    </w:r>
    <w:r>
      <w:rPr>
        <w:b/>
        <w:color w:val="002060"/>
      </w:rPr>
      <w:t>2</w:t>
    </w:r>
  </w:p>
  <w:p w14:paraId="3482F754" w14:textId="77777777" w:rsidR="00A039DC" w:rsidRPr="00306ECD" w:rsidRDefault="00A039DC" w:rsidP="00DA04F3">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NOVIEMBRE </w:t>
    </w:r>
    <w:r w:rsidRPr="00306ECD">
      <w:rPr>
        <w:b/>
        <w:color w:val="002060"/>
        <w:lang w:val="pt-BR"/>
      </w:rPr>
      <w:t>DE 202</w:t>
    </w:r>
    <w:r>
      <w:rPr>
        <w:b/>
        <w:color w:val="002060"/>
        <w:lang w:val="pt-BR"/>
      </w:rPr>
      <w:t>2</w:t>
    </w:r>
  </w:p>
  <w:p w14:paraId="1F571900" w14:textId="77777777" w:rsidR="00A039DC" w:rsidRPr="00306ECD" w:rsidRDefault="00A039DC" w:rsidP="00DA04F3">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11</w:t>
    </w:r>
  </w:p>
  <w:p w14:paraId="6B66D36A" w14:textId="77777777" w:rsidR="00A039DC" w:rsidRDefault="00A039DC" w:rsidP="00DA04F3">
    <w:pPr>
      <w:pStyle w:val="Encabezado"/>
      <w:ind w:right="49"/>
      <w:jc w:val="center"/>
    </w:pPr>
  </w:p>
  <w:p w14:paraId="62C96F1C" w14:textId="77777777" w:rsidR="00A039DC" w:rsidRDefault="00A039DC"/>
  <w:p w14:paraId="64B86AB3" w14:textId="77777777" w:rsidR="00A039DC" w:rsidRDefault="00A039DC"/>
  <w:p w14:paraId="11E23397" w14:textId="77777777" w:rsidR="00A039DC" w:rsidRDefault="00A039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1439" w14:textId="3C23B40F" w:rsidR="008C14BD" w:rsidRDefault="008C14BD" w:rsidP="00A039DC">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11F4D197" wp14:editId="4FABC14D">
          <wp:extent cx="828000" cy="828000"/>
          <wp:effectExtent l="0" t="0" r="0" b="0"/>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4941"/>
    <w:rsid w:val="00004F2B"/>
    <w:rsid w:val="000050C6"/>
    <w:rsid w:val="00005940"/>
    <w:rsid w:val="000059E8"/>
    <w:rsid w:val="00006B5A"/>
    <w:rsid w:val="00006DFC"/>
    <w:rsid w:val="000078B1"/>
    <w:rsid w:val="00007A1A"/>
    <w:rsid w:val="00010671"/>
    <w:rsid w:val="00010A59"/>
    <w:rsid w:val="000112A7"/>
    <w:rsid w:val="0001151F"/>
    <w:rsid w:val="00011733"/>
    <w:rsid w:val="00011840"/>
    <w:rsid w:val="00011AC0"/>
    <w:rsid w:val="00011BD3"/>
    <w:rsid w:val="0001200E"/>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C89"/>
    <w:rsid w:val="00016D3A"/>
    <w:rsid w:val="0001718D"/>
    <w:rsid w:val="000176AC"/>
    <w:rsid w:val="00020377"/>
    <w:rsid w:val="00021432"/>
    <w:rsid w:val="00021492"/>
    <w:rsid w:val="000216A3"/>
    <w:rsid w:val="00022562"/>
    <w:rsid w:val="000228C4"/>
    <w:rsid w:val="00022CA3"/>
    <w:rsid w:val="000243B5"/>
    <w:rsid w:val="00024469"/>
    <w:rsid w:val="00024CC1"/>
    <w:rsid w:val="000260EE"/>
    <w:rsid w:val="00026B3C"/>
    <w:rsid w:val="00026B52"/>
    <w:rsid w:val="00026C14"/>
    <w:rsid w:val="000301E7"/>
    <w:rsid w:val="00030480"/>
    <w:rsid w:val="0003065F"/>
    <w:rsid w:val="00030D10"/>
    <w:rsid w:val="00030F2F"/>
    <w:rsid w:val="00031231"/>
    <w:rsid w:val="000314D3"/>
    <w:rsid w:val="0003162E"/>
    <w:rsid w:val="00031BCF"/>
    <w:rsid w:val="00031CA9"/>
    <w:rsid w:val="000328B5"/>
    <w:rsid w:val="000328D5"/>
    <w:rsid w:val="00032B16"/>
    <w:rsid w:val="00033603"/>
    <w:rsid w:val="00033A14"/>
    <w:rsid w:val="0003447A"/>
    <w:rsid w:val="00034732"/>
    <w:rsid w:val="000347D8"/>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37EF5"/>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96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797"/>
    <w:rsid w:val="00057F37"/>
    <w:rsid w:val="000602B0"/>
    <w:rsid w:val="000603F1"/>
    <w:rsid w:val="0006056C"/>
    <w:rsid w:val="00061B60"/>
    <w:rsid w:val="00061EE0"/>
    <w:rsid w:val="0006211B"/>
    <w:rsid w:val="0006228A"/>
    <w:rsid w:val="00062696"/>
    <w:rsid w:val="000626F8"/>
    <w:rsid w:val="00063614"/>
    <w:rsid w:val="00063838"/>
    <w:rsid w:val="0006433F"/>
    <w:rsid w:val="000646BA"/>
    <w:rsid w:val="00064BBC"/>
    <w:rsid w:val="00064C03"/>
    <w:rsid w:val="00064E9D"/>
    <w:rsid w:val="00064FDB"/>
    <w:rsid w:val="00065106"/>
    <w:rsid w:val="000651F1"/>
    <w:rsid w:val="00065708"/>
    <w:rsid w:val="00065A07"/>
    <w:rsid w:val="00065BC1"/>
    <w:rsid w:val="00066413"/>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2FC4"/>
    <w:rsid w:val="000730F3"/>
    <w:rsid w:val="00073491"/>
    <w:rsid w:val="000736DB"/>
    <w:rsid w:val="000739D2"/>
    <w:rsid w:val="00073EF4"/>
    <w:rsid w:val="0007428D"/>
    <w:rsid w:val="000744A7"/>
    <w:rsid w:val="000753EC"/>
    <w:rsid w:val="0007567F"/>
    <w:rsid w:val="000756C1"/>
    <w:rsid w:val="00075B3A"/>
    <w:rsid w:val="00075DEC"/>
    <w:rsid w:val="00076234"/>
    <w:rsid w:val="00076600"/>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5EB"/>
    <w:rsid w:val="00090B9C"/>
    <w:rsid w:val="00090D7B"/>
    <w:rsid w:val="00090DDF"/>
    <w:rsid w:val="00090E32"/>
    <w:rsid w:val="00091474"/>
    <w:rsid w:val="000915F7"/>
    <w:rsid w:val="00092764"/>
    <w:rsid w:val="0009292F"/>
    <w:rsid w:val="00092F4C"/>
    <w:rsid w:val="00093BF0"/>
    <w:rsid w:val="00094496"/>
    <w:rsid w:val="00094AE9"/>
    <w:rsid w:val="00094D88"/>
    <w:rsid w:val="000950E7"/>
    <w:rsid w:val="00095360"/>
    <w:rsid w:val="000955AA"/>
    <w:rsid w:val="000957BC"/>
    <w:rsid w:val="00096737"/>
    <w:rsid w:val="00097594"/>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A7CF5"/>
    <w:rsid w:val="000B0710"/>
    <w:rsid w:val="000B09B5"/>
    <w:rsid w:val="000B0D5A"/>
    <w:rsid w:val="000B1C11"/>
    <w:rsid w:val="000B1D13"/>
    <w:rsid w:val="000B2189"/>
    <w:rsid w:val="000B2412"/>
    <w:rsid w:val="000B26AB"/>
    <w:rsid w:val="000B297C"/>
    <w:rsid w:val="000B29B8"/>
    <w:rsid w:val="000B2A27"/>
    <w:rsid w:val="000B42D9"/>
    <w:rsid w:val="000B45DD"/>
    <w:rsid w:val="000B4A6A"/>
    <w:rsid w:val="000B4E7D"/>
    <w:rsid w:val="000B50FB"/>
    <w:rsid w:val="000B515D"/>
    <w:rsid w:val="000B5A74"/>
    <w:rsid w:val="000B5FA3"/>
    <w:rsid w:val="000B6904"/>
    <w:rsid w:val="000B6AF6"/>
    <w:rsid w:val="000B6C67"/>
    <w:rsid w:val="000B7827"/>
    <w:rsid w:val="000C044D"/>
    <w:rsid w:val="000C1051"/>
    <w:rsid w:val="000C1F04"/>
    <w:rsid w:val="000C2892"/>
    <w:rsid w:val="000C2B3C"/>
    <w:rsid w:val="000C2F9E"/>
    <w:rsid w:val="000C30D7"/>
    <w:rsid w:val="000C3105"/>
    <w:rsid w:val="000C34DD"/>
    <w:rsid w:val="000C37BC"/>
    <w:rsid w:val="000C3983"/>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31C1"/>
    <w:rsid w:val="000D36B2"/>
    <w:rsid w:val="000D39FD"/>
    <w:rsid w:val="000D3C34"/>
    <w:rsid w:val="000D451F"/>
    <w:rsid w:val="000D4833"/>
    <w:rsid w:val="000D49D2"/>
    <w:rsid w:val="000D4A88"/>
    <w:rsid w:val="000D4BBC"/>
    <w:rsid w:val="000D4D90"/>
    <w:rsid w:val="000D4E26"/>
    <w:rsid w:val="000D50DE"/>
    <w:rsid w:val="000D5176"/>
    <w:rsid w:val="000D572D"/>
    <w:rsid w:val="000D5EDB"/>
    <w:rsid w:val="000D64C0"/>
    <w:rsid w:val="000D6718"/>
    <w:rsid w:val="000D6C0F"/>
    <w:rsid w:val="000D6F1E"/>
    <w:rsid w:val="000D7A95"/>
    <w:rsid w:val="000D7B5B"/>
    <w:rsid w:val="000D7BBD"/>
    <w:rsid w:val="000E03C0"/>
    <w:rsid w:val="000E0654"/>
    <w:rsid w:val="000E08DB"/>
    <w:rsid w:val="000E14F3"/>
    <w:rsid w:val="000E19B3"/>
    <w:rsid w:val="000E28A6"/>
    <w:rsid w:val="000E2970"/>
    <w:rsid w:val="000E318F"/>
    <w:rsid w:val="000E3CC1"/>
    <w:rsid w:val="000E412A"/>
    <w:rsid w:val="000E4FE7"/>
    <w:rsid w:val="000E5331"/>
    <w:rsid w:val="000E5526"/>
    <w:rsid w:val="000E5D6B"/>
    <w:rsid w:val="000E5FE0"/>
    <w:rsid w:val="000E62E2"/>
    <w:rsid w:val="000E6D5D"/>
    <w:rsid w:val="000E75C3"/>
    <w:rsid w:val="000E7AFC"/>
    <w:rsid w:val="000F05BF"/>
    <w:rsid w:val="000F05D5"/>
    <w:rsid w:val="000F08E7"/>
    <w:rsid w:val="000F17E0"/>
    <w:rsid w:val="000F19B9"/>
    <w:rsid w:val="000F1DEB"/>
    <w:rsid w:val="000F2C80"/>
    <w:rsid w:val="000F2C84"/>
    <w:rsid w:val="000F348F"/>
    <w:rsid w:val="000F3491"/>
    <w:rsid w:val="000F3DE6"/>
    <w:rsid w:val="000F44E7"/>
    <w:rsid w:val="000F44F2"/>
    <w:rsid w:val="000F49F1"/>
    <w:rsid w:val="000F4C41"/>
    <w:rsid w:val="000F4FA7"/>
    <w:rsid w:val="000F536A"/>
    <w:rsid w:val="000F541D"/>
    <w:rsid w:val="000F5AD1"/>
    <w:rsid w:val="000F5EAF"/>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445E"/>
    <w:rsid w:val="00104C54"/>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AF0"/>
    <w:rsid w:val="00116F84"/>
    <w:rsid w:val="00117D7A"/>
    <w:rsid w:val="00120112"/>
    <w:rsid w:val="0012050B"/>
    <w:rsid w:val="00120EA1"/>
    <w:rsid w:val="001212C3"/>
    <w:rsid w:val="0012181E"/>
    <w:rsid w:val="00121B1D"/>
    <w:rsid w:val="00122048"/>
    <w:rsid w:val="001228A0"/>
    <w:rsid w:val="00122CE7"/>
    <w:rsid w:val="00123EFF"/>
    <w:rsid w:val="001241F7"/>
    <w:rsid w:val="001245D2"/>
    <w:rsid w:val="00124D1A"/>
    <w:rsid w:val="001251AF"/>
    <w:rsid w:val="00125654"/>
    <w:rsid w:val="001259DC"/>
    <w:rsid w:val="00125D0D"/>
    <w:rsid w:val="00125D9D"/>
    <w:rsid w:val="001263E8"/>
    <w:rsid w:val="00126792"/>
    <w:rsid w:val="00126BFA"/>
    <w:rsid w:val="00126F10"/>
    <w:rsid w:val="00127810"/>
    <w:rsid w:val="001301E6"/>
    <w:rsid w:val="001304F2"/>
    <w:rsid w:val="00130C4C"/>
    <w:rsid w:val="001313EB"/>
    <w:rsid w:val="00131B41"/>
    <w:rsid w:val="0013222E"/>
    <w:rsid w:val="00132507"/>
    <w:rsid w:val="00132940"/>
    <w:rsid w:val="00133020"/>
    <w:rsid w:val="00133FA8"/>
    <w:rsid w:val="00134108"/>
    <w:rsid w:val="00134904"/>
    <w:rsid w:val="001349AB"/>
    <w:rsid w:val="00134F4E"/>
    <w:rsid w:val="00134FB0"/>
    <w:rsid w:val="001350AC"/>
    <w:rsid w:val="001352EC"/>
    <w:rsid w:val="00135E09"/>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CBB"/>
    <w:rsid w:val="00142E09"/>
    <w:rsid w:val="0014377B"/>
    <w:rsid w:val="00143D3A"/>
    <w:rsid w:val="00144474"/>
    <w:rsid w:val="00144E39"/>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2336"/>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68F"/>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1DF"/>
    <w:rsid w:val="00173309"/>
    <w:rsid w:val="0017357E"/>
    <w:rsid w:val="001735A8"/>
    <w:rsid w:val="00173881"/>
    <w:rsid w:val="00173896"/>
    <w:rsid w:val="00173B1E"/>
    <w:rsid w:val="001740E5"/>
    <w:rsid w:val="00174587"/>
    <w:rsid w:val="0017474C"/>
    <w:rsid w:val="00174783"/>
    <w:rsid w:val="00175CF4"/>
    <w:rsid w:val="001763FA"/>
    <w:rsid w:val="001763FC"/>
    <w:rsid w:val="0017655C"/>
    <w:rsid w:val="00176592"/>
    <w:rsid w:val="00176991"/>
    <w:rsid w:val="00176BCF"/>
    <w:rsid w:val="00176E7D"/>
    <w:rsid w:val="00177026"/>
    <w:rsid w:val="00177187"/>
    <w:rsid w:val="001773BC"/>
    <w:rsid w:val="0018054D"/>
    <w:rsid w:val="00180887"/>
    <w:rsid w:val="00180A83"/>
    <w:rsid w:val="00180C81"/>
    <w:rsid w:val="00181301"/>
    <w:rsid w:val="001813AB"/>
    <w:rsid w:val="001819C6"/>
    <w:rsid w:val="00181B28"/>
    <w:rsid w:val="00181B78"/>
    <w:rsid w:val="0018211C"/>
    <w:rsid w:val="001821F8"/>
    <w:rsid w:val="001822F6"/>
    <w:rsid w:val="00182CBE"/>
    <w:rsid w:val="001831B3"/>
    <w:rsid w:val="001845FA"/>
    <w:rsid w:val="0018496A"/>
    <w:rsid w:val="0018522B"/>
    <w:rsid w:val="001854A8"/>
    <w:rsid w:val="00185B5A"/>
    <w:rsid w:val="00185D40"/>
    <w:rsid w:val="00186C17"/>
    <w:rsid w:val="00190180"/>
    <w:rsid w:val="00190A43"/>
    <w:rsid w:val="00190D0B"/>
    <w:rsid w:val="001912FB"/>
    <w:rsid w:val="00191608"/>
    <w:rsid w:val="00191664"/>
    <w:rsid w:val="00192045"/>
    <w:rsid w:val="00192065"/>
    <w:rsid w:val="00193E91"/>
    <w:rsid w:val="001941AA"/>
    <w:rsid w:val="001946A6"/>
    <w:rsid w:val="00194F73"/>
    <w:rsid w:val="00194FD5"/>
    <w:rsid w:val="00195EC2"/>
    <w:rsid w:val="00195F99"/>
    <w:rsid w:val="00196542"/>
    <w:rsid w:val="00197731"/>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7EF"/>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B7953"/>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5952"/>
    <w:rsid w:val="001C6CAB"/>
    <w:rsid w:val="001C6CC1"/>
    <w:rsid w:val="001C7130"/>
    <w:rsid w:val="001C746A"/>
    <w:rsid w:val="001C7E70"/>
    <w:rsid w:val="001D0068"/>
    <w:rsid w:val="001D01C6"/>
    <w:rsid w:val="001D0870"/>
    <w:rsid w:val="001D092F"/>
    <w:rsid w:val="001D0EB1"/>
    <w:rsid w:val="001D1471"/>
    <w:rsid w:val="001D1A2C"/>
    <w:rsid w:val="001D1AEF"/>
    <w:rsid w:val="001D23E8"/>
    <w:rsid w:val="001D244E"/>
    <w:rsid w:val="001D24F1"/>
    <w:rsid w:val="001D373D"/>
    <w:rsid w:val="001D3AD1"/>
    <w:rsid w:val="001D3D95"/>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0ADA"/>
    <w:rsid w:val="001E0BA5"/>
    <w:rsid w:val="001E14E8"/>
    <w:rsid w:val="001E1627"/>
    <w:rsid w:val="001E18BD"/>
    <w:rsid w:val="001E1DBA"/>
    <w:rsid w:val="001E1EBE"/>
    <w:rsid w:val="001E1EF2"/>
    <w:rsid w:val="001E28DE"/>
    <w:rsid w:val="001E290B"/>
    <w:rsid w:val="001E385F"/>
    <w:rsid w:val="001E39E4"/>
    <w:rsid w:val="001E490C"/>
    <w:rsid w:val="001E4C68"/>
    <w:rsid w:val="001E4D9A"/>
    <w:rsid w:val="001E4DDB"/>
    <w:rsid w:val="001E5055"/>
    <w:rsid w:val="001E50FD"/>
    <w:rsid w:val="001E5310"/>
    <w:rsid w:val="001E59DC"/>
    <w:rsid w:val="001E5DD7"/>
    <w:rsid w:val="001E5EEE"/>
    <w:rsid w:val="001E7358"/>
    <w:rsid w:val="001E7C2A"/>
    <w:rsid w:val="001E7C72"/>
    <w:rsid w:val="001E7D14"/>
    <w:rsid w:val="001E7DB8"/>
    <w:rsid w:val="001E7EDD"/>
    <w:rsid w:val="001E7F19"/>
    <w:rsid w:val="001F02CD"/>
    <w:rsid w:val="001F0B7F"/>
    <w:rsid w:val="001F0CD0"/>
    <w:rsid w:val="001F0F71"/>
    <w:rsid w:val="001F14ED"/>
    <w:rsid w:val="001F19D1"/>
    <w:rsid w:val="001F1B69"/>
    <w:rsid w:val="001F1D9A"/>
    <w:rsid w:val="001F1EB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6F27"/>
    <w:rsid w:val="001F7362"/>
    <w:rsid w:val="001F75EA"/>
    <w:rsid w:val="001F7AE9"/>
    <w:rsid w:val="001F7CFD"/>
    <w:rsid w:val="001F7D5E"/>
    <w:rsid w:val="002011D5"/>
    <w:rsid w:val="00201203"/>
    <w:rsid w:val="00201C2D"/>
    <w:rsid w:val="00201FE0"/>
    <w:rsid w:val="00202EE2"/>
    <w:rsid w:val="00203367"/>
    <w:rsid w:val="002033EB"/>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03C"/>
    <w:rsid w:val="0022018A"/>
    <w:rsid w:val="002203DD"/>
    <w:rsid w:val="00220ADA"/>
    <w:rsid w:val="00220B7B"/>
    <w:rsid w:val="0022180E"/>
    <w:rsid w:val="002220BA"/>
    <w:rsid w:val="002227B3"/>
    <w:rsid w:val="002227CF"/>
    <w:rsid w:val="0022296F"/>
    <w:rsid w:val="00222C53"/>
    <w:rsid w:val="00222CE3"/>
    <w:rsid w:val="002235D7"/>
    <w:rsid w:val="002239C4"/>
    <w:rsid w:val="00224617"/>
    <w:rsid w:val="00224922"/>
    <w:rsid w:val="00224D6D"/>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450"/>
    <w:rsid w:val="00230A44"/>
    <w:rsid w:val="00230A52"/>
    <w:rsid w:val="00230FA5"/>
    <w:rsid w:val="00231131"/>
    <w:rsid w:val="00231632"/>
    <w:rsid w:val="0023170E"/>
    <w:rsid w:val="00231839"/>
    <w:rsid w:val="00231BA2"/>
    <w:rsid w:val="0023262B"/>
    <w:rsid w:val="00232A4E"/>
    <w:rsid w:val="00232AE1"/>
    <w:rsid w:val="00232FF2"/>
    <w:rsid w:val="00233A7D"/>
    <w:rsid w:val="00233BA3"/>
    <w:rsid w:val="00234218"/>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74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E5D"/>
    <w:rsid w:val="00250FD5"/>
    <w:rsid w:val="00251167"/>
    <w:rsid w:val="002511BA"/>
    <w:rsid w:val="00251594"/>
    <w:rsid w:val="00251EE2"/>
    <w:rsid w:val="002524AD"/>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4996"/>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2E3"/>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9A1"/>
    <w:rsid w:val="00293ED1"/>
    <w:rsid w:val="002940C5"/>
    <w:rsid w:val="00294429"/>
    <w:rsid w:val="0029454A"/>
    <w:rsid w:val="002948BB"/>
    <w:rsid w:val="00294A06"/>
    <w:rsid w:val="00294FFB"/>
    <w:rsid w:val="002954FD"/>
    <w:rsid w:val="00295A96"/>
    <w:rsid w:val="00296242"/>
    <w:rsid w:val="0029686B"/>
    <w:rsid w:val="00296987"/>
    <w:rsid w:val="00296CE6"/>
    <w:rsid w:val="002973DF"/>
    <w:rsid w:val="00297794"/>
    <w:rsid w:val="00297D6A"/>
    <w:rsid w:val="00297DAE"/>
    <w:rsid w:val="002A0159"/>
    <w:rsid w:val="002A0190"/>
    <w:rsid w:val="002A0801"/>
    <w:rsid w:val="002A0983"/>
    <w:rsid w:val="002A0BF5"/>
    <w:rsid w:val="002A1128"/>
    <w:rsid w:val="002A158C"/>
    <w:rsid w:val="002A24EB"/>
    <w:rsid w:val="002A2676"/>
    <w:rsid w:val="002A2A83"/>
    <w:rsid w:val="002A2C5E"/>
    <w:rsid w:val="002A2D66"/>
    <w:rsid w:val="002A428E"/>
    <w:rsid w:val="002A4479"/>
    <w:rsid w:val="002A46FA"/>
    <w:rsid w:val="002A4920"/>
    <w:rsid w:val="002A4D1E"/>
    <w:rsid w:val="002A5227"/>
    <w:rsid w:val="002A57BC"/>
    <w:rsid w:val="002A581C"/>
    <w:rsid w:val="002A64B4"/>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0AE"/>
    <w:rsid w:val="002C0144"/>
    <w:rsid w:val="002C0CAC"/>
    <w:rsid w:val="002C1A65"/>
    <w:rsid w:val="002C1F28"/>
    <w:rsid w:val="002C254B"/>
    <w:rsid w:val="002C25DE"/>
    <w:rsid w:val="002C2737"/>
    <w:rsid w:val="002C27E8"/>
    <w:rsid w:val="002C2ACB"/>
    <w:rsid w:val="002C2F60"/>
    <w:rsid w:val="002C41CB"/>
    <w:rsid w:val="002C469D"/>
    <w:rsid w:val="002C4ACE"/>
    <w:rsid w:val="002C5C58"/>
    <w:rsid w:val="002C6873"/>
    <w:rsid w:val="002C6A1A"/>
    <w:rsid w:val="002C6B67"/>
    <w:rsid w:val="002C7284"/>
    <w:rsid w:val="002C72AB"/>
    <w:rsid w:val="002C73EE"/>
    <w:rsid w:val="002C7660"/>
    <w:rsid w:val="002C7718"/>
    <w:rsid w:val="002C77DB"/>
    <w:rsid w:val="002C77F7"/>
    <w:rsid w:val="002C7CD4"/>
    <w:rsid w:val="002D00A2"/>
    <w:rsid w:val="002D0321"/>
    <w:rsid w:val="002D06A7"/>
    <w:rsid w:val="002D0E7A"/>
    <w:rsid w:val="002D155B"/>
    <w:rsid w:val="002D1686"/>
    <w:rsid w:val="002D1AD3"/>
    <w:rsid w:val="002D2476"/>
    <w:rsid w:val="002D3CFD"/>
    <w:rsid w:val="002D3D3F"/>
    <w:rsid w:val="002D3D62"/>
    <w:rsid w:val="002D40A5"/>
    <w:rsid w:val="002D48D7"/>
    <w:rsid w:val="002D48E1"/>
    <w:rsid w:val="002D4A69"/>
    <w:rsid w:val="002D61C8"/>
    <w:rsid w:val="002D629E"/>
    <w:rsid w:val="002D638E"/>
    <w:rsid w:val="002D6E9A"/>
    <w:rsid w:val="002D726B"/>
    <w:rsid w:val="002D75DB"/>
    <w:rsid w:val="002D7AAD"/>
    <w:rsid w:val="002D7D71"/>
    <w:rsid w:val="002E0067"/>
    <w:rsid w:val="002E02D0"/>
    <w:rsid w:val="002E0489"/>
    <w:rsid w:val="002E04C0"/>
    <w:rsid w:val="002E0544"/>
    <w:rsid w:val="002E0F76"/>
    <w:rsid w:val="002E1DF4"/>
    <w:rsid w:val="002E1F9D"/>
    <w:rsid w:val="002E20A2"/>
    <w:rsid w:val="002E20FF"/>
    <w:rsid w:val="002E25D8"/>
    <w:rsid w:val="002E2C3B"/>
    <w:rsid w:val="002E3C37"/>
    <w:rsid w:val="002E46E7"/>
    <w:rsid w:val="002E4BA7"/>
    <w:rsid w:val="002E4D3D"/>
    <w:rsid w:val="002E4EBD"/>
    <w:rsid w:val="002E5CA7"/>
    <w:rsid w:val="002E668B"/>
    <w:rsid w:val="002E6EA4"/>
    <w:rsid w:val="002E7235"/>
    <w:rsid w:val="002E7DA8"/>
    <w:rsid w:val="002E7DEA"/>
    <w:rsid w:val="002F0276"/>
    <w:rsid w:val="002F04AD"/>
    <w:rsid w:val="002F05DA"/>
    <w:rsid w:val="002F10E7"/>
    <w:rsid w:val="002F11F9"/>
    <w:rsid w:val="002F1274"/>
    <w:rsid w:val="002F12DE"/>
    <w:rsid w:val="002F13E0"/>
    <w:rsid w:val="002F16CB"/>
    <w:rsid w:val="002F1742"/>
    <w:rsid w:val="002F199A"/>
    <w:rsid w:val="002F1AB0"/>
    <w:rsid w:val="002F1ADA"/>
    <w:rsid w:val="002F2133"/>
    <w:rsid w:val="002F3A86"/>
    <w:rsid w:val="002F3C64"/>
    <w:rsid w:val="002F3D31"/>
    <w:rsid w:val="002F4431"/>
    <w:rsid w:val="002F478D"/>
    <w:rsid w:val="002F47E7"/>
    <w:rsid w:val="002F4D78"/>
    <w:rsid w:val="002F510D"/>
    <w:rsid w:val="002F520A"/>
    <w:rsid w:val="002F553E"/>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3C4B"/>
    <w:rsid w:val="003040D8"/>
    <w:rsid w:val="003045BE"/>
    <w:rsid w:val="00305766"/>
    <w:rsid w:val="00305F53"/>
    <w:rsid w:val="003060F3"/>
    <w:rsid w:val="0030612A"/>
    <w:rsid w:val="0030638A"/>
    <w:rsid w:val="003068EC"/>
    <w:rsid w:val="00306C01"/>
    <w:rsid w:val="00307144"/>
    <w:rsid w:val="00307269"/>
    <w:rsid w:val="0030759B"/>
    <w:rsid w:val="003076C4"/>
    <w:rsid w:val="003079A6"/>
    <w:rsid w:val="0031000E"/>
    <w:rsid w:val="003101BD"/>
    <w:rsid w:val="003106C8"/>
    <w:rsid w:val="00310E3F"/>
    <w:rsid w:val="00311270"/>
    <w:rsid w:val="0031175D"/>
    <w:rsid w:val="003119DD"/>
    <w:rsid w:val="00312297"/>
    <w:rsid w:val="00312A1F"/>
    <w:rsid w:val="00313221"/>
    <w:rsid w:val="00313367"/>
    <w:rsid w:val="0031354F"/>
    <w:rsid w:val="00313CBA"/>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5A8"/>
    <w:rsid w:val="00321788"/>
    <w:rsid w:val="00321848"/>
    <w:rsid w:val="00321CB3"/>
    <w:rsid w:val="00322341"/>
    <w:rsid w:val="003226A7"/>
    <w:rsid w:val="0032270C"/>
    <w:rsid w:val="00323457"/>
    <w:rsid w:val="0032345B"/>
    <w:rsid w:val="003235FE"/>
    <w:rsid w:val="00323CA3"/>
    <w:rsid w:val="00324D25"/>
    <w:rsid w:val="00324FF5"/>
    <w:rsid w:val="003256A0"/>
    <w:rsid w:val="00325DFE"/>
    <w:rsid w:val="003265DE"/>
    <w:rsid w:val="00326A08"/>
    <w:rsid w:val="00326A8B"/>
    <w:rsid w:val="003274C7"/>
    <w:rsid w:val="003275D6"/>
    <w:rsid w:val="0032767E"/>
    <w:rsid w:val="003277C6"/>
    <w:rsid w:val="00327845"/>
    <w:rsid w:val="00327B0E"/>
    <w:rsid w:val="003302CF"/>
    <w:rsid w:val="0033043B"/>
    <w:rsid w:val="0033049D"/>
    <w:rsid w:val="00330559"/>
    <w:rsid w:val="00330793"/>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30"/>
    <w:rsid w:val="00343860"/>
    <w:rsid w:val="00343AB5"/>
    <w:rsid w:val="00344CEF"/>
    <w:rsid w:val="00344F44"/>
    <w:rsid w:val="0034511C"/>
    <w:rsid w:val="00345191"/>
    <w:rsid w:val="0034550A"/>
    <w:rsid w:val="003458EC"/>
    <w:rsid w:val="00345B7B"/>
    <w:rsid w:val="0034620C"/>
    <w:rsid w:val="00346579"/>
    <w:rsid w:val="00346C50"/>
    <w:rsid w:val="003474B3"/>
    <w:rsid w:val="0034757D"/>
    <w:rsid w:val="00347A1B"/>
    <w:rsid w:val="00347CA3"/>
    <w:rsid w:val="00347F9F"/>
    <w:rsid w:val="00351032"/>
    <w:rsid w:val="0035149A"/>
    <w:rsid w:val="00351668"/>
    <w:rsid w:val="00351FA4"/>
    <w:rsid w:val="00352650"/>
    <w:rsid w:val="00352775"/>
    <w:rsid w:val="00352F14"/>
    <w:rsid w:val="003530B3"/>
    <w:rsid w:val="0035515B"/>
    <w:rsid w:val="00355317"/>
    <w:rsid w:val="0035546F"/>
    <w:rsid w:val="003554B1"/>
    <w:rsid w:val="003554BD"/>
    <w:rsid w:val="003554CE"/>
    <w:rsid w:val="00356586"/>
    <w:rsid w:val="00356792"/>
    <w:rsid w:val="003571E2"/>
    <w:rsid w:val="00357423"/>
    <w:rsid w:val="003576C9"/>
    <w:rsid w:val="00360A82"/>
    <w:rsid w:val="00360E2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14"/>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3DE4"/>
    <w:rsid w:val="0037443B"/>
    <w:rsid w:val="00374D3E"/>
    <w:rsid w:val="00375430"/>
    <w:rsid w:val="00375820"/>
    <w:rsid w:val="00375B14"/>
    <w:rsid w:val="00375D85"/>
    <w:rsid w:val="00375E72"/>
    <w:rsid w:val="003760FD"/>
    <w:rsid w:val="003769D5"/>
    <w:rsid w:val="00377475"/>
    <w:rsid w:val="00377A8C"/>
    <w:rsid w:val="00377E5C"/>
    <w:rsid w:val="00377F4C"/>
    <w:rsid w:val="0038054C"/>
    <w:rsid w:val="0038061C"/>
    <w:rsid w:val="0038090C"/>
    <w:rsid w:val="00381007"/>
    <w:rsid w:val="00381168"/>
    <w:rsid w:val="00381E3D"/>
    <w:rsid w:val="003825F4"/>
    <w:rsid w:val="00382A2C"/>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2D1"/>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6A10"/>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26BB"/>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7AC"/>
    <w:rsid w:val="003C29AF"/>
    <w:rsid w:val="003C3F73"/>
    <w:rsid w:val="003C40A2"/>
    <w:rsid w:val="003C4502"/>
    <w:rsid w:val="003C4BA9"/>
    <w:rsid w:val="003C5519"/>
    <w:rsid w:val="003C57D1"/>
    <w:rsid w:val="003C5A97"/>
    <w:rsid w:val="003C616B"/>
    <w:rsid w:val="003C681D"/>
    <w:rsid w:val="003C6BED"/>
    <w:rsid w:val="003C7965"/>
    <w:rsid w:val="003C7D06"/>
    <w:rsid w:val="003C7EF7"/>
    <w:rsid w:val="003D0E1F"/>
    <w:rsid w:val="003D1182"/>
    <w:rsid w:val="003D1AE0"/>
    <w:rsid w:val="003D1D57"/>
    <w:rsid w:val="003D22DA"/>
    <w:rsid w:val="003D2706"/>
    <w:rsid w:val="003D28C7"/>
    <w:rsid w:val="003D2E9B"/>
    <w:rsid w:val="003D3201"/>
    <w:rsid w:val="003D32E8"/>
    <w:rsid w:val="003D3779"/>
    <w:rsid w:val="003D425A"/>
    <w:rsid w:val="003D42A1"/>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418"/>
    <w:rsid w:val="004015B0"/>
    <w:rsid w:val="004016AD"/>
    <w:rsid w:val="00401A15"/>
    <w:rsid w:val="00401C5B"/>
    <w:rsid w:val="00401DB1"/>
    <w:rsid w:val="00401E08"/>
    <w:rsid w:val="004020FB"/>
    <w:rsid w:val="0040230D"/>
    <w:rsid w:val="004028D0"/>
    <w:rsid w:val="00402940"/>
    <w:rsid w:val="00403226"/>
    <w:rsid w:val="00403333"/>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4D5"/>
    <w:rsid w:val="00412BA7"/>
    <w:rsid w:val="00412C31"/>
    <w:rsid w:val="00412EF3"/>
    <w:rsid w:val="004133CD"/>
    <w:rsid w:val="00413549"/>
    <w:rsid w:val="00413DA1"/>
    <w:rsid w:val="00414538"/>
    <w:rsid w:val="0041479C"/>
    <w:rsid w:val="004166F6"/>
    <w:rsid w:val="00416787"/>
    <w:rsid w:val="0041700C"/>
    <w:rsid w:val="00417C7F"/>
    <w:rsid w:val="004203CA"/>
    <w:rsid w:val="004208D7"/>
    <w:rsid w:val="00420C77"/>
    <w:rsid w:val="00420CA2"/>
    <w:rsid w:val="004210BA"/>
    <w:rsid w:val="0042126F"/>
    <w:rsid w:val="004215FA"/>
    <w:rsid w:val="00421878"/>
    <w:rsid w:val="00421ED4"/>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CB8"/>
    <w:rsid w:val="00430F27"/>
    <w:rsid w:val="00431001"/>
    <w:rsid w:val="0043104B"/>
    <w:rsid w:val="0043151E"/>
    <w:rsid w:val="0043181D"/>
    <w:rsid w:val="00432281"/>
    <w:rsid w:val="0043274D"/>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5E5"/>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10A"/>
    <w:rsid w:val="004522A6"/>
    <w:rsid w:val="004529D7"/>
    <w:rsid w:val="00452A11"/>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2BC"/>
    <w:rsid w:val="0046443B"/>
    <w:rsid w:val="00464BC7"/>
    <w:rsid w:val="004651B8"/>
    <w:rsid w:val="00465580"/>
    <w:rsid w:val="00465972"/>
    <w:rsid w:val="00465E7E"/>
    <w:rsid w:val="00466BB5"/>
    <w:rsid w:val="004671A2"/>
    <w:rsid w:val="004672E8"/>
    <w:rsid w:val="004677E9"/>
    <w:rsid w:val="00470535"/>
    <w:rsid w:val="00470F0D"/>
    <w:rsid w:val="00471183"/>
    <w:rsid w:val="0047123C"/>
    <w:rsid w:val="004713FF"/>
    <w:rsid w:val="004714F6"/>
    <w:rsid w:val="0047252D"/>
    <w:rsid w:val="0047289C"/>
    <w:rsid w:val="00472E22"/>
    <w:rsid w:val="00472F67"/>
    <w:rsid w:val="004733A8"/>
    <w:rsid w:val="004739A1"/>
    <w:rsid w:val="0047430D"/>
    <w:rsid w:val="00474FDF"/>
    <w:rsid w:val="00475688"/>
    <w:rsid w:val="004758F6"/>
    <w:rsid w:val="004759E3"/>
    <w:rsid w:val="00475C51"/>
    <w:rsid w:val="00476161"/>
    <w:rsid w:val="00476658"/>
    <w:rsid w:val="0047678A"/>
    <w:rsid w:val="00476E34"/>
    <w:rsid w:val="00476EE1"/>
    <w:rsid w:val="00477163"/>
    <w:rsid w:val="00477857"/>
    <w:rsid w:val="00477B0E"/>
    <w:rsid w:val="00477B39"/>
    <w:rsid w:val="00481688"/>
    <w:rsid w:val="004820E0"/>
    <w:rsid w:val="004822CA"/>
    <w:rsid w:val="00483DF7"/>
    <w:rsid w:val="00483F95"/>
    <w:rsid w:val="004847DD"/>
    <w:rsid w:val="00484D20"/>
    <w:rsid w:val="004850C1"/>
    <w:rsid w:val="004862A1"/>
    <w:rsid w:val="004864E7"/>
    <w:rsid w:val="00486F54"/>
    <w:rsid w:val="004871B4"/>
    <w:rsid w:val="004876DD"/>
    <w:rsid w:val="00490973"/>
    <w:rsid w:val="004915E7"/>
    <w:rsid w:val="0049178A"/>
    <w:rsid w:val="00491C1D"/>
    <w:rsid w:val="00491DF1"/>
    <w:rsid w:val="00492535"/>
    <w:rsid w:val="004927C9"/>
    <w:rsid w:val="00493435"/>
    <w:rsid w:val="00494B28"/>
    <w:rsid w:val="00495137"/>
    <w:rsid w:val="0049534E"/>
    <w:rsid w:val="00495660"/>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8DA"/>
    <w:rsid w:val="004A7DBE"/>
    <w:rsid w:val="004A7F94"/>
    <w:rsid w:val="004B03D1"/>
    <w:rsid w:val="004B08AC"/>
    <w:rsid w:val="004B097E"/>
    <w:rsid w:val="004B0D88"/>
    <w:rsid w:val="004B1151"/>
    <w:rsid w:val="004B1172"/>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5F01"/>
    <w:rsid w:val="004C60D8"/>
    <w:rsid w:val="004C6197"/>
    <w:rsid w:val="004C62EE"/>
    <w:rsid w:val="004C6A0D"/>
    <w:rsid w:val="004C6DF3"/>
    <w:rsid w:val="004C771C"/>
    <w:rsid w:val="004C7D1D"/>
    <w:rsid w:val="004C7D3A"/>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6762"/>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074"/>
    <w:rsid w:val="004F078C"/>
    <w:rsid w:val="004F0859"/>
    <w:rsid w:val="004F1324"/>
    <w:rsid w:val="004F1C7D"/>
    <w:rsid w:val="004F1D24"/>
    <w:rsid w:val="004F21D2"/>
    <w:rsid w:val="004F2621"/>
    <w:rsid w:val="004F2641"/>
    <w:rsid w:val="004F27F3"/>
    <w:rsid w:val="004F296A"/>
    <w:rsid w:val="004F29B9"/>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181"/>
    <w:rsid w:val="0050261A"/>
    <w:rsid w:val="00503551"/>
    <w:rsid w:val="00503F38"/>
    <w:rsid w:val="005040B4"/>
    <w:rsid w:val="005043FC"/>
    <w:rsid w:val="00504728"/>
    <w:rsid w:val="00504A01"/>
    <w:rsid w:val="00504A55"/>
    <w:rsid w:val="005054AB"/>
    <w:rsid w:val="00505F08"/>
    <w:rsid w:val="0050633A"/>
    <w:rsid w:val="0050671D"/>
    <w:rsid w:val="0050672C"/>
    <w:rsid w:val="00506C4C"/>
    <w:rsid w:val="0050700E"/>
    <w:rsid w:val="005079D7"/>
    <w:rsid w:val="00507B2A"/>
    <w:rsid w:val="00507EC1"/>
    <w:rsid w:val="005109BD"/>
    <w:rsid w:val="00510A22"/>
    <w:rsid w:val="00510D8A"/>
    <w:rsid w:val="00510E40"/>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BA1"/>
    <w:rsid w:val="00516EA5"/>
    <w:rsid w:val="005179DA"/>
    <w:rsid w:val="00517E2A"/>
    <w:rsid w:val="00520C1C"/>
    <w:rsid w:val="00521439"/>
    <w:rsid w:val="00521B4F"/>
    <w:rsid w:val="00522133"/>
    <w:rsid w:val="0052291D"/>
    <w:rsid w:val="0052292E"/>
    <w:rsid w:val="00523297"/>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8EC"/>
    <w:rsid w:val="00532951"/>
    <w:rsid w:val="00532A80"/>
    <w:rsid w:val="00532FDA"/>
    <w:rsid w:val="00533142"/>
    <w:rsid w:val="005331F9"/>
    <w:rsid w:val="00533681"/>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6B9"/>
    <w:rsid w:val="00545B42"/>
    <w:rsid w:val="00545DC2"/>
    <w:rsid w:val="0054612B"/>
    <w:rsid w:val="00546A19"/>
    <w:rsid w:val="00546E7B"/>
    <w:rsid w:val="00547753"/>
    <w:rsid w:val="005479F5"/>
    <w:rsid w:val="00547D90"/>
    <w:rsid w:val="00547F76"/>
    <w:rsid w:val="005500F2"/>
    <w:rsid w:val="005506A7"/>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45E"/>
    <w:rsid w:val="00556506"/>
    <w:rsid w:val="0055659A"/>
    <w:rsid w:val="00556616"/>
    <w:rsid w:val="00556731"/>
    <w:rsid w:val="00556AD4"/>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775"/>
    <w:rsid w:val="005649A9"/>
    <w:rsid w:val="00565225"/>
    <w:rsid w:val="00565469"/>
    <w:rsid w:val="00566933"/>
    <w:rsid w:val="00566C28"/>
    <w:rsid w:val="00566EBC"/>
    <w:rsid w:val="00567424"/>
    <w:rsid w:val="00567500"/>
    <w:rsid w:val="0056753D"/>
    <w:rsid w:val="00567811"/>
    <w:rsid w:val="00567A48"/>
    <w:rsid w:val="00567C8B"/>
    <w:rsid w:val="00567CDA"/>
    <w:rsid w:val="00570163"/>
    <w:rsid w:val="005701B3"/>
    <w:rsid w:val="005702BD"/>
    <w:rsid w:val="0057041C"/>
    <w:rsid w:val="005704B1"/>
    <w:rsid w:val="00571005"/>
    <w:rsid w:val="0057243F"/>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921"/>
    <w:rsid w:val="00593E31"/>
    <w:rsid w:val="00593F5D"/>
    <w:rsid w:val="005949FB"/>
    <w:rsid w:val="00594C1A"/>
    <w:rsid w:val="00594DDF"/>
    <w:rsid w:val="00595106"/>
    <w:rsid w:val="00595692"/>
    <w:rsid w:val="00595B7B"/>
    <w:rsid w:val="00596020"/>
    <w:rsid w:val="0059632F"/>
    <w:rsid w:val="00596436"/>
    <w:rsid w:val="00596791"/>
    <w:rsid w:val="00596BD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22"/>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77E"/>
    <w:rsid w:val="005C3964"/>
    <w:rsid w:val="005C428A"/>
    <w:rsid w:val="005C4330"/>
    <w:rsid w:val="005C4787"/>
    <w:rsid w:val="005C5113"/>
    <w:rsid w:val="005C5226"/>
    <w:rsid w:val="005C54B8"/>
    <w:rsid w:val="005C557C"/>
    <w:rsid w:val="005C56B7"/>
    <w:rsid w:val="005C5CDF"/>
    <w:rsid w:val="005C677E"/>
    <w:rsid w:val="005C6A79"/>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87F"/>
    <w:rsid w:val="005D3FD5"/>
    <w:rsid w:val="005D51C3"/>
    <w:rsid w:val="005D593D"/>
    <w:rsid w:val="005D636B"/>
    <w:rsid w:val="005D63A5"/>
    <w:rsid w:val="005D647D"/>
    <w:rsid w:val="005D69A4"/>
    <w:rsid w:val="005D79B5"/>
    <w:rsid w:val="005D7BDA"/>
    <w:rsid w:val="005E052D"/>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FED"/>
    <w:rsid w:val="005E5625"/>
    <w:rsid w:val="005E566F"/>
    <w:rsid w:val="005E56B1"/>
    <w:rsid w:val="005E5774"/>
    <w:rsid w:val="005E5C6E"/>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8C5"/>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46D"/>
    <w:rsid w:val="006024AB"/>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11"/>
    <w:rsid w:val="006063E0"/>
    <w:rsid w:val="00606906"/>
    <w:rsid w:val="00606EE7"/>
    <w:rsid w:val="00606FAA"/>
    <w:rsid w:val="00607B3C"/>
    <w:rsid w:val="00607C10"/>
    <w:rsid w:val="00607F9D"/>
    <w:rsid w:val="006116E1"/>
    <w:rsid w:val="00611BA6"/>
    <w:rsid w:val="00612D19"/>
    <w:rsid w:val="0061316C"/>
    <w:rsid w:val="00613225"/>
    <w:rsid w:val="0061330F"/>
    <w:rsid w:val="00613641"/>
    <w:rsid w:val="006140A6"/>
    <w:rsid w:val="00614139"/>
    <w:rsid w:val="00614483"/>
    <w:rsid w:val="0061464D"/>
    <w:rsid w:val="0061478C"/>
    <w:rsid w:val="00614A16"/>
    <w:rsid w:val="00615030"/>
    <w:rsid w:val="0061516E"/>
    <w:rsid w:val="006151BC"/>
    <w:rsid w:val="00615204"/>
    <w:rsid w:val="006154F0"/>
    <w:rsid w:val="00615758"/>
    <w:rsid w:val="00615E77"/>
    <w:rsid w:val="006162A3"/>
    <w:rsid w:val="006165D6"/>
    <w:rsid w:val="006165EF"/>
    <w:rsid w:val="00616C7D"/>
    <w:rsid w:val="0061735F"/>
    <w:rsid w:val="006205E1"/>
    <w:rsid w:val="006208EE"/>
    <w:rsid w:val="0062091D"/>
    <w:rsid w:val="00620C44"/>
    <w:rsid w:val="0062100E"/>
    <w:rsid w:val="006211A5"/>
    <w:rsid w:val="00621895"/>
    <w:rsid w:val="006219BC"/>
    <w:rsid w:val="00621DD8"/>
    <w:rsid w:val="00622789"/>
    <w:rsid w:val="006233C1"/>
    <w:rsid w:val="00623FAD"/>
    <w:rsid w:val="00624021"/>
    <w:rsid w:val="00624649"/>
    <w:rsid w:val="006249A7"/>
    <w:rsid w:val="006249D1"/>
    <w:rsid w:val="00624D4F"/>
    <w:rsid w:val="00625713"/>
    <w:rsid w:val="00625B22"/>
    <w:rsid w:val="00625C53"/>
    <w:rsid w:val="006260AF"/>
    <w:rsid w:val="00626315"/>
    <w:rsid w:val="00626415"/>
    <w:rsid w:val="006265B4"/>
    <w:rsid w:val="00626FCF"/>
    <w:rsid w:val="0062768B"/>
    <w:rsid w:val="00627A49"/>
    <w:rsid w:val="00627D60"/>
    <w:rsid w:val="00627E30"/>
    <w:rsid w:val="006303FC"/>
    <w:rsid w:val="006309D1"/>
    <w:rsid w:val="00631716"/>
    <w:rsid w:val="0063179F"/>
    <w:rsid w:val="006317A4"/>
    <w:rsid w:val="00631DCA"/>
    <w:rsid w:val="00631F9F"/>
    <w:rsid w:val="00632259"/>
    <w:rsid w:val="00632765"/>
    <w:rsid w:val="00632DD8"/>
    <w:rsid w:val="00633727"/>
    <w:rsid w:val="006338DA"/>
    <w:rsid w:val="0063390C"/>
    <w:rsid w:val="00633A5E"/>
    <w:rsid w:val="00633B0E"/>
    <w:rsid w:val="00633F74"/>
    <w:rsid w:val="0063454A"/>
    <w:rsid w:val="00635243"/>
    <w:rsid w:val="00635AEB"/>
    <w:rsid w:val="00636EF8"/>
    <w:rsid w:val="00636FEF"/>
    <w:rsid w:val="0063715F"/>
    <w:rsid w:val="006377DB"/>
    <w:rsid w:val="006405A2"/>
    <w:rsid w:val="00640699"/>
    <w:rsid w:val="006408D1"/>
    <w:rsid w:val="0064096C"/>
    <w:rsid w:val="006417E0"/>
    <w:rsid w:val="006418D2"/>
    <w:rsid w:val="006419D4"/>
    <w:rsid w:val="00641E1E"/>
    <w:rsid w:val="00642453"/>
    <w:rsid w:val="006424A9"/>
    <w:rsid w:val="006429F7"/>
    <w:rsid w:val="006443B2"/>
    <w:rsid w:val="00644442"/>
    <w:rsid w:val="00644E58"/>
    <w:rsid w:val="00644FE8"/>
    <w:rsid w:val="00645210"/>
    <w:rsid w:val="006455E0"/>
    <w:rsid w:val="00645933"/>
    <w:rsid w:val="006459B3"/>
    <w:rsid w:val="00645D57"/>
    <w:rsid w:val="00646321"/>
    <w:rsid w:val="006463B7"/>
    <w:rsid w:val="00646761"/>
    <w:rsid w:val="00646970"/>
    <w:rsid w:val="00646FDD"/>
    <w:rsid w:val="00647C38"/>
    <w:rsid w:val="00647D39"/>
    <w:rsid w:val="00647DB1"/>
    <w:rsid w:val="006500A2"/>
    <w:rsid w:val="0065058D"/>
    <w:rsid w:val="00650C5E"/>
    <w:rsid w:val="00651147"/>
    <w:rsid w:val="0065131D"/>
    <w:rsid w:val="00651DC1"/>
    <w:rsid w:val="00651FD6"/>
    <w:rsid w:val="0065234B"/>
    <w:rsid w:val="006524FD"/>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35C"/>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5580"/>
    <w:rsid w:val="00666754"/>
    <w:rsid w:val="00666AEA"/>
    <w:rsid w:val="00667FB2"/>
    <w:rsid w:val="0067021C"/>
    <w:rsid w:val="006708EF"/>
    <w:rsid w:val="00670D2E"/>
    <w:rsid w:val="0067269F"/>
    <w:rsid w:val="006726CB"/>
    <w:rsid w:val="0067272F"/>
    <w:rsid w:val="00673BA4"/>
    <w:rsid w:val="00674C5D"/>
    <w:rsid w:val="00674DF4"/>
    <w:rsid w:val="00674ED8"/>
    <w:rsid w:val="00675793"/>
    <w:rsid w:val="00675C5E"/>
    <w:rsid w:val="00676F0B"/>
    <w:rsid w:val="006773D1"/>
    <w:rsid w:val="006801BB"/>
    <w:rsid w:val="006802E3"/>
    <w:rsid w:val="00680A87"/>
    <w:rsid w:val="00680CC6"/>
    <w:rsid w:val="0068241B"/>
    <w:rsid w:val="00682805"/>
    <w:rsid w:val="0068287A"/>
    <w:rsid w:val="00683889"/>
    <w:rsid w:val="00683CFF"/>
    <w:rsid w:val="00683F41"/>
    <w:rsid w:val="006842A2"/>
    <w:rsid w:val="006842DA"/>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CF0"/>
    <w:rsid w:val="00697E6A"/>
    <w:rsid w:val="006A06E3"/>
    <w:rsid w:val="006A0B03"/>
    <w:rsid w:val="006A0B52"/>
    <w:rsid w:val="006A0ECA"/>
    <w:rsid w:val="006A1014"/>
    <w:rsid w:val="006A11F4"/>
    <w:rsid w:val="006A14A8"/>
    <w:rsid w:val="006A182D"/>
    <w:rsid w:val="006A1ADF"/>
    <w:rsid w:val="006A23AC"/>
    <w:rsid w:val="006A2835"/>
    <w:rsid w:val="006A3A19"/>
    <w:rsid w:val="006A3AC7"/>
    <w:rsid w:val="006A3B6E"/>
    <w:rsid w:val="006A3B9E"/>
    <w:rsid w:val="006A3D6D"/>
    <w:rsid w:val="006A3D73"/>
    <w:rsid w:val="006A43EA"/>
    <w:rsid w:val="006A471A"/>
    <w:rsid w:val="006A5290"/>
    <w:rsid w:val="006A5582"/>
    <w:rsid w:val="006A628B"/>
    <w:rsid w:val="006A704F"/>
    <w:rsid w:val="006A777A"/>
    <w:rsid w:val="006A77BF"/>
    <w:rsid w:val="006A7AE9"/>
    <w:rsid w:val="006A7C9D"/>
    <w:rsid w:val="006B0141"/>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1A57"/>
    <w:rsid w:val="006C215A"/>
    <w:rsid w:val="006C24C7"/>
    <w:rsid w:val="006C273C"/>
    <w:rsid w:val="006C374A"/>
    <w:rsid w:val="006C3A0F"/>
    <w:rsid w:val="006C479E"/>
    <w:rsid w:val="006C57FE"/>
    <w:rsid w:val="006C59A3"/>
    <w:rsid w:val="006C5AB5"/>
    <w:rsid w:val="006C621D"/>
    <w:rsid w:val="006C69B1"/>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93E"/>
    <w:rsid w:val="006D6D04"/>
    <w:rsid w:val="006D7902"/>
    <w:rsid w:val="006D7C9D"/>
    <w:rsid w:val="006D7D85"/>
    <w:rsid w:val="006D7DA2"/>
    <w:rsid w:val="006E045E"/>
    <w:rsid w:val="006E09E9"/>
    <w:rsid w:val="006E09F9"/>
    <w:rsid w:val="006E0B21"/>
    <w:rsid w:val="006E171B"/>
    <w:rsid w:val="006E1971"/>
    <w:rsid w:val="006E2791"/>
    <w:rsid w:val="006E29A6"/>
    <w:rsid w:val="006E2C6D"/>
    <w:rsid w:val="006E33D2"/>
    <w:rsid w:val="006E374B"/>
    <w:rsid w:val="006E3B50"/>
    <w:rsid w:val="006E44D3"/>
    <w:rsid w:val="006E4705"/>
    <w:rsid w:val="006E470D"/>
    <w:rsid w:val="006E49DF"/>
    <w:rsid w:val="006E4E81"/>
    <w:rsid w:val="006E58CF"/>
    <w:rsid w:val="006E6241"/>
    <w:rsid w:val="006E645F"/>
    <w:rsid w:val="006E6F3D"/>
    <w:rsid w:val="006E7C8E"/>
    <w:rsid w:val="006F020B"/>
    <w:rsid w:val="006F0C4E"/>
    <w:rsid w:val="006F117D"/>
    <w:rsid w:val="006F1195"/>
    <w:rsid w:val="006F13F3"/>
    <w:rsid w:val="006F1DBD"/>
    <w:rsid w:val="006F1E00"/>
    <w:rsid w:val="006F1FE4"/>
    <w:rsid w:val="006F2DA6"/>
    <w:rsid w:val="006F301F"/>
    <w:rsid w:val="006F35F3"/>
    <w:rsid w:val="006F3D30"/>
    <w:rsid w:val="006F4740"/>
    <w:rsid w:val="006F5847"/>
    <w:rsid w:val="006F5B1A"/>
    <w:rsid w:val="006F5F76"/>
    <w:rsid w:val="006F6722"/>
    <w:rsid w:val="006F6790"/>
    <w:rsid w:val="006F7475"/>
    <w:rsid w:val="00700821"/>
    <w:rsid w:val="00700D24"/>
    <w:rsid w:val="007010A7"/>
    <w:rsid w:val="007011D1"/>
    <w:rsid w:val="007011D8"/>
    <w:rsid w:val="00702723"/>
    <w:rsid w:val="0070303A"/>
    <w:rsid w:val="0070303F"/>
    <w:rsid w:val="0070328F"/>
    <w:rsid w:val="0070349A"/>
    <w:rsid w:val="00703F20"/>
    <w:rsid w:val="0070417B"/>
    <w:rsid w:val="00704346"/>
    <w:rsid w:val="00704464"/>
    <w:rsid w:val="00704527"/>
    <w:rsid w:val="0070522E"/>
    <w:rsid w:val="00705BD7"/>
    <w:rsid w:val="007061EC"/>
    <w:rsid w:val="00706461"/>
    <w:rsid w:val="007068C5"/>
    <w:rsid w:val="00706995"/>
    <w:rsid w:val="00706C3A"/>
    <w:rsid w:val="00706C52"/>
    <w:rsid w:val="00706E1E"/>
    <w:rsid w:val="00706F7E"/>
    <w:rsid w:val="007071D4"/>
    <w:rsid w:val="0070720D"/>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2E8E"/>
    <w:rsid w:val="0071316A"/>
    <w:rsid w:val="007136B1"/>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86D"/>
    <w:rsid w:val="00726B7D"/>
    <w:rsid w:val="00727285"/>
    <w:rsid w:val="00727380"/>
    <w:rsid w:val="00727D91"/>
    <w:rsid w:val="00727E44"/>
    <w:rsid w:val="00730152"/>
    <w:rsid w:val="007301B7"/>
    <w:rsid w:val="0073071A"/>
    <w:rsid w:val="00730DD2"/>
    <w:rsid w:val="007310E4"/>
    <w:rsid w:val="00731129"/>
    <w:rsid w:val="0073156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06D"/>
    <w:rsid w:val="00741355"/>
    <w:rsid w:val="00741C56"/>
    <w:rsid w:val="00741C83"/>
    <w:rsid w:val="00741E9A"/>
    <w:rsid w:val="00742891"/>
    <w:rsid w:val="00742A70"/>
    <w:rsid w:val="00742B93"/>
    <w:rsid w:val="00742C3D"/>
    <w:rsid w:val="00742CD8"/>
    <w:rsid w:val="00742DAD"/>
    <w:rsid w:val="00743455"/>
    <w:rsid w:val="0074353B"/>
    <w:rsid w:val="007435B8"/>
    <w:rsid w:val="007444AE"/>
    <w:rsid w:val="007447C6"/>
    <w:rsid w:val="007449FE"/>
    <w:rsid w:val="00744CEC"/>
    <w:rsid w:val="00745A05"/>
    <w:rsid w:val="00745F8E"/>
    <w:rsid w:val="0074620D"/>
    <w:rsid w:val="00746564"/>
    <w:rsid w:val="00746721"/>
    <w:rsid w:val="00747741"/>
    <w:rsid w:val="00747812"/>
    <w:rsid w:val="00747B66"/>
    <w:rsid w:val="007505F4"/>
    <w:rsid w:val="00750979"/>
    <w:rsid w:val="00751313"/>
    <w:rsid w:val="007514AA"/>
    <w:rsid w:val="00751760"/>
    <w:rsid w:val="007518C9"/>
    <w:rsid w:val="00751CD8"/>
    <w:rsid w:val="0075218A"/>
    <w:rsid w:val="00752238"/>
    <w:rsid w:val="007529E8"/>
    <w:rsid w:val="00752DE0"/>
    <w:rsid w:val="00752E14"/>
    <w:rsid w:val="00753DA5"/>
    <w:rsid w:val="00754E53"/>
    <w:rsid w:val="0075502B"/>
    <w:rsid w:val="00755633"/>
    <w:rsid w:val="00755979"/>
    <w:rsid w:val="00755B6F"/>
    <w:rsid w:val="00756A17"/>
    <w:rsid w:val="00756B41"/>
    <w:rsid w:val="007574DC"/>
    <w:rsid w:val="007576EC"/>
    <w:rsid w:val="00757957"/>
    <w:rsid w:val="007606ED"/>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27"/>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8C2"/>
    <w:rsid w:val="00793D45"/>
    <w:rsid w:val="00793DD8"/>
    <w:rsid w:val="00795E20"/>
    <w:rsid w:val="00796787"/>
    <w:rsid w:val="007975BD"/>
    <w:rsid w:val="00797B7E"/>
    <w:rsid w:val="007A02A6"/>
    <w:rsid w:val="007A05A2"/>
    <w:rsid w:val="007A08CF"/>
    <w:rsid w:val="007A0A07"/>
    <w:rsid w:val="007A10D6"/>
    <w:rsid w:val="007A12EE"/>
    <w:rsid w:val="007A138C"/>
    <w:rsid w:val="007A1834"/>
    <w:rsid w:val="007A1856"/>
    <w:rsid w:val="007A1CC6"/>
    <w:rsid w:val="007A1E52"/>
    <w:rsid w:val="007A2813"/>
    <w:rsid w:val="007A2A4D"/>
    <w:rsid w:val="007A2A82"/>
    <w:rsid w:val="007A31B2"/>
    <w:rsid w:val="007A3629"/>
    <w:rsid w:val="007A385C"/>
    <w:rsid w:val="007A38F5"/>
    <w:rsid w:val="007A3D24"/>
    <w:rsid w:val="007A4860"/>
    <w:rsid w:val="007A49CF"/>
    <w:rsid w:val="007A4CAF"/>
    <w:rsid w:val="007A4F7B"/>
    <w:rsid w:val="007A5C2D"/>
    <w:rsid w:val="007A61E4"/>
    <w:rsid w:val="007A6B15"/>
    <w:rsid w:val="007A704A"/>
    <w:rsid w:val="007A7242"/>
    <w:rsid w:val="007B12B0"/>
    <w:rsid w:val="007B1392"/>
    <w:rsid w:val="007B1785"/>
    <w:rsid w:val="007B215A"/>
    <w:rsid w:val="007B22DC"/>
    <w:rsid w:val="007B2474"/>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278"/>
    <w:rsid w:val="007D143D"/>
    <w:rsid w:val="007D14AD"/>
    <w:rsid w:val="007D25B9"/>
    <w:rsid w:val="007D2BE8"/>
    <w:rsid w:val="007D3066"/>
    <w:rsid w:val="007D31D1"/>
    <w:rsid w:val="007D421B"/>
    <w:rsid w:val="007D4490"/>
    <w:rsid w:val="007D4579"/>
    <w:rsid w:val="007D4CA5"/>
    <w:rsid w:val="007D4DA2"/>
    <w:rsid w:val="007D51EB"/>
    <w:rsid w:val="007D58BB"/>
    <w:rsid w:val="007D6777"/>
    <w:rsid w:val="007D6835"/>
    <w:rsid w:val="007D685D"/>
    <w:rsid w:val="007D6A93"/>
    <w:rsid w:val="007D7CDE"/>
    <w:rsid w:val="007D7DC7"/>
    <w:rsid w:val="007E01AF"/>
    <w:rsid w:val="007E0772"/>
    <w:rsid w:val="007E0D31"/>
    <w:rsid w:val="007E0E04"/>
    <w:rsid w:val="007E0EF9"/>
    <w:rsid w:val="007E21D9"/>
    <w:rsid w:val="007E2BDD"/>
    <w:rsid w:val="007E2BEF"/>
    <w:rsid w:val="007E2F64"/>
    <w:rsid w:val="007E45CA"/>
    <w:rsid w:val="007E48C0"/>
    <w:rsid w:val="007E5159"/>
    <w:rsid w:val="007E5885"/>
    <w:rsid w:val="007E61B7"/>
    <w:rsid w:val="007E64FF"/>
    <w:rsid w:val="007E6F62"/>
    <w:rsid w:val="007E6FEA"/>
    <w:rsid w:val="007E7C7B"/>
    <w:rsid w:val="007E7E0F"/>
    <w:rsid w:val="007E7F8F"/>
    <w:rsid w:val="007F015E"/>
    <w:rsid w:val="007F020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0BF"/>
    <w:rsid w:val="007F6607"/>
    <w:rsid w:val="007F6D80"/>
    <w:rsid w:val="007F7865"/>
    <w:rsid w:val="007F7892"/>
    <w:rsid w:val="007F7FB3"/>
    <w:rsid w:val="007F7FD1"/>
    <w:rsid w:val="0080026A"/>
    <w:rsid w:val="00800340"/>
    <w:rsid w:val="00800419"/>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011"/>
    <w:rsid w:val="00806273"/>
    <w:rsid w:val="0080661F"/>
    <w:rsid w:val="00806EFD"/>
    <w:rsid w:val="00807074"/>
    <w:rsid w:val="00807173"/>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AC2"/>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CCE"/>
    <w:rsid w:val="00832D4F"/>
    <w:rsid w:val="008337C1"/>
    <w:rsid w:val="00834F23"/>
    <w:rsid w:val="008353B6"/>
    <w:rsid w:val="00835845"/>
    <w:rsid w:val="008360CB"/>
    <w:rsid w:val="00836A67"/>
    <w:rsid w:val="00836CEB"/>
    <w:rsid w:val="00840EAF"/>
    <w:rsid w:val="008411A0"/>
    <w:rsid w:val="008416BF"/>
    <w:rsid w:val="008416FD"/>
    <w:rsid w:val="0084188F"/>
    <w:rsid w:val="00841B04"/>
    <w:rsid w:val="00842659"/>
    <w:rsid w:val="0084293A"/>
    <w:rsid w:val="0084354C"/>
    <w:rsid w:val="0084375D"/>
    <w:rsid w:val="0084416F"/>
    <w:rsid w:val="00844462"/>
    <w:rsid w:val="008449FE"/>
    <w:rsid w:val="00844D6B"/>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56"/>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6F61"/>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E66"/>
    <w:rsid w:val="00873FBF"/>
    <w:rsid w:val="00874178"/>
    <w:rsid w:val="00874272"/>
    <w:rsid w:val="008743DF"/>
    <w:rsid w:val="00874C66"/>
    <w:rsid w:val="00874E6B"/>
    <w:rsid w:val="00874F67"/>
    <w:rsid w:val="0087582D"/>
    <w:rsid w:val="00875F4F"/>
    <w:rsid w:val="008762D8"/>
    <w:rsid w:val="008772D9"/>
    <w:rsid w:val="00877B29"/>
    <w:rsid w:val="008808B9"/>
    <w:rsid w:val="00880961"/>
    <w:rsid w:val="00880B30"/>
    <w:rsid w:val="00880F1D"/>
    <w:rsid w:val="008811DA"/>
    <w:rsid w:val="00881521"/>
    <w:rsid w:val="0088172A"/>
    <w:rsid w:val="0088173A"/>
    <w:rsid w:val="00881F90"/>
    <w:rsid w:val="008851AB"/>
    <w:rsid w:val="008851C4"/>
    <w:rsid w:val="00885696"/>
    <w:rsid w:val="0088570A"/>
    <w:rsid w:val="00885A90"/>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2CB3"/>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1C1"/>
    <w:rsid w:val="008A7286"/>
    <w:rsid w:val="008A7374"/>
    <w:rsid w:val="008A743A"/>
    <w:rsid w:val="008A7B50"/>
    <w:rsid w:val="008B002B"/>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30A"/>
    <w:rsid w:val="008B44CB"/>
    <w:rsid w:val="008B46D2"/>
    <w:rsid w:val="008B492E"/>
    <w:rsid w:val="008B5253"/>
    <w:rsid w:val="008B53D8"/>
    <w:rsid w:val="008B5D49"/>
    <w:rsid w:val="008B5E8A"/>
    <w:rsid w:val="008B63BE"/>
    <w:rsid w:val="008B640E"/>
    <w:rsid w:val="008B6505"/>
    <w:rsid w:val="008B65A6"/>
    <w:rsid w:val="008B665E"/>
    <w:rsid w:val="008B688D"/>
    <w:rsid w:val="008B6C5B"/>
    <w:rsid w:val="008B6D48"/>
    <w:rsid w:val="008B70EE"/>
    <w:rsid w:val="008B715C"/>
    <w:rsid w:val="008B75B8"/>
    <w:rsid w:val="008B7B1F"/>
    <w:rsid w:val="008C0EAD"/>
    <w:rsid w:val="008C1442"/>
    <w:rsid w:val="008C14BD"/>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25E"/>
    <w:rsid w:val="008C6628"/>
    <w:rsid w:val="008C69C9"/>
    <w:rsid w:val="008C6E38"/>
    <w:rsid w:val="008C6F75"/>
    <w:rsid w:val="008C7B5F"/>
    <w:rsid w:val="008C7C18"/>
    <w:rsid w:val="008C7CC4"/>
    <w:rsid w:val="008D047D"/>
    <w:rsid w:val="008D0837"/>
    <w:rsid w:val="008D0B4C"/>
    <w:rsid w:val="008D0FB8"/>
    <w:rsid w:val="008D13E4"/>
    <w:rsid w:val="008D14C4"/>
    <w:rsid w:val="008D1964"/>
    <w:rsid w:val="008D221A"/>
    <w:rsid w:val="008D24D6"/>
    <w:rsid w:val="008D24E1"/>
    <w:rsid w:val="008D2FAD"/>
    <w:rsid w:val="008D3E6A"/>
    <w:rsid w:val="008D4C3F"/>
    <w:rsid w:val="008D53E2"/>
    <w:rsid w:val="008D5908"/>
    <w:rsid w:val="008D5AF1"/>
    <w:rsid w:val="008D5D4E"/>
    <w:rsid w:val="008D676F"/>
    <w:rsid w:val="008D68CA"/>
    <w:rsid w:val="008D6A6E"/>
    <w:rsid w:val="008D740B"/>
    <w:rsid w:val="008D781F"/>
    <w:rsid w:val="008D7942"/>
    <w:rsid w:val="008D7992"/>
    <w:rsid w:val="008D7DBE"/>
    <w:rsid w:val="008E02B7"/>
    <w:rsid w:val="008E20BE"/>
    <w:rsid w:val="008E241B"/>
    <w:rsid w:val="008E3096"/>
    <w:rsid w:val="008E330C"/>
    <w:rsid w:val="008E332F"/>
    <w:rsid w:val="008E4114"/>
    <w:rsid w:val="008E45EA"/>
    <w:rsid w:val="008E4A1A"/>
    <w:rsid w:val="008E5084"/>
    <w:rsid w:val="008E5E01"/>
    <w:rsid w:val="008E61D7"/>
    <w:rsid w:val="008E61ED"/>
    <w:rsid w:val="008E69A3"/>
    <w:rsid w:val="008E6D90"/>
    <w:rsid w:val="008E7B3D"/>
    <w:rsid w:val="008E7CC9"/>
    <w:rsid w:val="008E7DED"/>
    <w:rsid w:val="008F02A1"/>
    <w:rsid w:val="008F031A"/>
    <w:rsid w:val="008F0E69"/>
    <w:rsid w:val="008F12FF"/>
    <w:rsid w:val="008F1BEF"/>
    <w:rsid w:val="008F370C"/>
    <w:rsid w:val="008F3D3E"/>
    <w:rsid w:val="008F3F31"/>
    <w:rsid w:val="008F4655"/>
    <w:rsid w:val="008F4779"/>
    <w:rsid w:val="008F542B"/>
    <w:rsid w:val="008F5670"/>
    <w:rsid w:val="008F599F"/>
    <w:rsid w:val="008F63DF"/>
    <w:rsid w:val="008F64E5"/>
    <w:rsid w:val="008F6508"/>
    <w:rsid w:val="008F654A"/>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6C9"/>
    <w:rsid w:val="009046F1"/>
    <w:rsid w:val="00904883"/>
    <w:rsid w:val="00904B0A"/>
    <w:rsid w:val="00904F84"/>
    <w:rsid w:val="009055DD"/>
    <w:rsid w:val="00905D2E"/>
    <w:rsid w:val="00905E80"/>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B8F"/>
    <w:rsid w:val="00914DC4"/>
    <w:rsid w:val="00914FC8"/>
    <w:rsid w:val="00915288"/>
    <w:rsid w:val="00915329"/>
    <w:rsid w:val="0091588C"/>
    <w:rsid w:val="00915DB5"/>
    <w:rsid w:val="00915DF4"/>
    <w:rsid w:val="00915F1F"/>
    <w:rsid w:val="00916068"/>
    <w:rsid w:val="009164B1"/>
    <w:rsid w:val="009166CE"/>
    <w:rsid w:val="00916BF5"/>
    <w:rsid w:val="00916CCB"/>
    <w:rsid w:val="00917DB8"/>
    <w:rsid w:val="00917E84"/>
    <w:rsid w:val="00920B10"/>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55E4"/>
    <w:rsid w:val="0092615A"/>
    <w:rsid w:val="009267A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05C"/>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5A1"/>
    <w:rsid w:val="00950B18"/>
    <w:rsid w:val="00950C55"/>
    <w:rsid w:val="00950CB3"/>
    <w:rsid w:val="00952601"/>
    <w:rsid w:val="0095267E"/>
    <w:rsid w:val="00952BDF"/>
    <w:rsid w:val="00952EBB"/>
    <w:rsid w:val="00952F24"/>
    <w:rsid w:val="0095370E"/>
    <w:rsid w:val="00953B5D"/>
    <w:rsid w:val="00953D3D"/>
    <w:rsid w:val="00953F68"/>
    <w:rsid w:val="009543D8"/>
    <w:rsid w:val="009545D6"/>
    <w:rsid w:val="00954F67"/>
    <w:rsid w:val="00954FC4"/>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5CC"/>
    <w:rsid w:val="009657D5"/>
    <w:rsid w:val="00965F9F"/>
    <w:rsid w:val="00966141"/>
    <w:rsid w:val="009662EC"/>
    <w:rsid w:val="00966302"/>
    <w:rsid w:val="00966611"/>
    <w:rsid w:val="00966886"/>
    <w:rsid w:val="009669CC"/>
    <w:rsid w:val="00967296"/>
    <w:rsid w:val="00967655"/>
    <w:rsid w:val="0097008E"/>
    <w:rsid w:val="0097090D"/>
    <w:rsid w:val="00970C6B"/>
    <w:rsid w:val="00970E13"/>
    <w:rsid w:val="00970F12"/>
    <w:rsid w:val="009710BF"/>
    <w:rsid w:val="00971874"/>
    <w:rsid w:val="0097192F"/>
    <w:rsid w:val="00971F83"/>
    <w:rsid w:val="00972061"/>
    <w:rsid w:val="0097245C"/>
    <w:rsid w:val="009725FE"/>
    <w:rsid w:val="0097282B"/>
    <w:rsid w:val="00972DAC"/>
    <w:rsid w:val="00972DB7"/>
    <w:rsid w:val="00973A35"/>
    <w:rsid w:val="00974539"/>
    <w:rsid w:val="00974A1E"/>
    <w:rsid w:val="00975221"/>
    <w:rsid w:val="0097559A"/>
    <w:rsid w:val="00975D48"/>
    <w:rsid w:val="00975E31"/>
    <w:rsid w:val="00975E39"/>
    <w:rsid w:val="00976546"/>
    <w:rsid w:val="00976FCF"/>
    <w:rsid w:val="00977809"/>
    <w:rsid w:val="009802F9"/>
    <w:rsid w:val="0098031E"/>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6F"/>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5E95"/>
    <w:rsid w:val="0099625A"/>
    <w:rsid w:val="00996321"/>
    <w:rsid w:val="009965BC"/>
    <w:rsid w:val="0099662E"/>
    <w:rsid w:val="00997131"/>
    <w:rsid w:val="00997258"/>
    <w:rsid w:val="009975B1"/>
    <w:rsid w:val="00997C19"/>
    <w:rsid w:val="009A0415"/>
    <w:rsid w:val="009A04CD"/>
    <w:rsid w:val="009A177E"/>
    <w:rsid w:val="009A1860"/>
    <w:rsid w:val="009A1AE9"/>
    <w:rsid w:val="009A22E6"/>
    <w:rsid w:val="009A2486"/>
    <w:rsid w:val="009A2690"/>
    <w:rsid w:val="009A277E"/>
    <w:rsid w:val="009A2C47"/>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A7F4C"/>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89F"/>
    <w:rsid w:val="009C3E9C"/>
    <w:rsid w:val="009C4A32"/>
    <w:rsid w:val="009C4EA8"/>
    <w:rsid w:val="009C5099"/>
    <w:rsid w:val="009C63AB"/>
    <w:rsid w:val="009C69D0"/>
    <w:rsid w:val="009C69F4"/>
    <w:rsid w:val="009C6E3A"/>
    <w:rsid w:val="009C7163"/>
    <w:rsid w:val="009C77A3"/>
    <w:rsid w:val="009C7C10"/>
    <w:rsid w:val="009D1082"/>
    <w:rsid w:val="009D1E2B"/>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630"/>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AAD"/>
    <w:rsid w:val="009F1B41"/>
    <w:rsid w:val="009F231C"/>
    <w:rsid w:val="009F2512"/>
    <w:rsid w:val="009F2C7D"/>
    <w:rsid w:val="009F40CE"/>
    <w:rsid w:val="009F4CDA"/>
    <w:rsid w:val="009F4CEB"/>
    <w:rsid w:val="009F5176"/>
    <w:rsid w:val="009F5913"/>
    <w:rsid w:val="009F59BF"/>
    <w:rsid w:val="009F5F68"/>
    <w:rsid w:val="009F61AD"/>
    <w:rsid w:val="009F776E"/>
    <w:rsid w:val="00A00F42"/>
    <w:rsid w:val="00A01279"/>
    <w:rsid w:val="00A01519"/>
    <w:rsid w:val="00A0195A"/>
    <w:rsid w:val="00A01990"/>
    <w:rsid w:val="00A021DB"/>
    <w:rsid w:val="00A02D3C"/>
    <w:rsid w:val="00A032EA"/>
    <w:rsid w:val="00A038C3"/>
    <w:rsid w:val="00A039DC"/>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0A4"/>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4035"/>
    <w:rsid w:val="00A356DB"/>
    <w:rsid w:val="00A35C84"/>
    <w:rsid w:val="00A35D65"/>
    <w:rsid w:val="00A36CF6"/>
    <w:rsid w:val="00A36EC5"/>
    <w:rsid w:val="00A37EDA"/>
    <w:rsid w:val="00A4035D"/>
    <w:rsid w:val="00A413A3"/>
    <w:rsid w:val="00A415F7"/>
    <w:rsid w:val="00A41C88"/>
    <w:rsid w:val="00A41CE4"/>
    <w:rsid w:val="00A4254C"/>
    <w:rsid w:val="00A43270"/>
    <w:rsid w:val="00A4539E"/>
    <w:rsid w:val="00A46080"/>
    <w:rsid w:val="00A461CB"/>
    <w:rsid w:val="00A4663F"/>
    <w:rsid w:val="00A46C6C"/>
    <w:rsid w:val="00A46EB1"/>
    <w:rsid w:val="00A46EE8"/>
    <w:rsid w:val="00A46F37"/>
    <w:rsid w:val="00A47A54"/>
    <w:rsid w:val="00A47C59"/>
    <w:rsid w:val="00A50001"/>
    <w:rsid w:val="00A50FEC"/>
    <w:rsid w:val="00A51326"/>
    <w:rsid w:val="00A5171D"/>
    <w:rsid w:val="00A51FC3"/>
    <w:rsid w:val="00A52204"/>
    <w:rsid w:val="00A532FC"/>
    <w:rsid w:val="00A53624"/>
    <w:rsid w:val="00A5406C"/>
    <w:rsid w:val="00A5497F"/>
    <w:rsid w:val="00A54D73"/>
    <w:rsid w:val="00A54F72"/>
    <w:rsid w:val="00A55649"/>
    <w:rsid w:val="00A565B6"/>
    <w:rsid w:val="00A567E2"/>
    <w:rsid w:val="00A56806"/>
    <w:rsid w:val="00A57F15"/>
    <w:rsid w:val="00A57F40"/>
    <w:rsid w:val="00A60066"/>
    <w:rsid w:val="00A60179"/>
    <w:rsid w:val="00A60EE6"/>
    <w:rsid w:val="00A61782"/>
    <w:rsid w:val="00A61FDA"/>
    <w:rsid w:val="00A62B8D"/>
    <w:rsid w:val="00A62B94"/>
    <w:rsid w:val="00A63850"/>
    <w:rsid w:val="00A63C29"/>
    <w:rsid w:val="00A6418A"/>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0BCE"/>
    <w:rsid w:val="00A81C5F"/>
    <w:rsid w:val="00A8226A"/>
    <w:rsid w:val="00A82941"/>
    <w:rsid w:val="00A82D0D"/>
    <w:rsid w:val="00A834D6"/>
    <w:rsid w:val="00A83DBC"/>
    <w:rsid w:val="00A83F5E"/>
    <w:rsid w:val="00A8461E"/>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4758"/>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A74F1"/>
    <w:rsid w:val="00AA7A8A"/>
    <w:rsid w:val="00AB02DD"/>
    <w:rsid w:val="00AB045C"/>
    <w:rsid w:val="00AB05BB"/>
    <w:rsid w:val="00AB08F0"/>
    <w:rsid w:val="00AB090C"/>
    <w:rsid w:val="00AB0F9A"/>
    <w:rsid w:val="00AB1160"/>
    <w:rsid w:val="00AB1411"/>
    <w:rsid w:val="00AB142E"/>
    <w:rsid w:val="00AB1C10"/>
    <w:rsid w:val="00AB212D"/>
    <w:rsid w:val="00AB221D"/>
    <w:rsid w:val="00AB253F"/>
    <w:rsid w:val="00AB274B"/>
    <w:rsid w:val="00AB32C1"/>
    <w:rsid w:val="00AB3552"/>
    <w:rsid w:val="00AB39CB"/>
    <w:rsid w:val="00AB481B"/>
    <w:rsid w:val="00AB49C3"/>
    <w:rsid w:val="00AB5232"/>
    <w:rsid w:val="00AB541D"/>
    <w:rsid w:val="00AB55F8"/>
    <w:rsid w:val="00AB5DF2"/>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5E9"/>
    <w:rsid w:val="00AC5700"/>
    <w:rsid w:val="00AC59C9"/>
    <w:rsid w:val="00AC5A64"/>
    <w:rsid w:val="00AC613C"/>
    <w:rsid w:val="00AC617D"/>
    <w:rsid w:val="00AC63F7"/>
    <w:rsid w:val="00AC6D62"/>
    <w:rsid w:val="00AC7042"/>
    <w:rsid w:val="00AC752F"/>
    <w:rsid w:val="00AC7B8D"/>
    <w:rsid w:val="00AC7E49"/>
    <w:rsid w:val="00AD00D5"/>
    <w:rsid w:val="00AD099F"/>
    <w:rsid w:val="00AD09D5"/>
    <w:rsid w:val="00AD1166"/>
    <w:rsid w:val="00AD1C10"/>
    <w:rsid w:val="00AD27BA"/>
    <w:rsid w:val="00AD2E7B"/>
    <w:rsid w:val="00AD2F8F"/>
    <w:rsid w:val="00AD3685"/>
    <w:rsid w:val="00AD3966"/>
    <w:rsid w:val="00AD3F4F"/>
    <w:rsid w:val="00AD403C"/>
    <w:rsid w:val="00AD4153"/>
    <w:rsid w:val="00AD4838"/>
    <w:rsid w:val="00AD49E5"/>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124E"/>
    <w:rsid w:val="00AE23C8"/>
    <w:rsid w:val="00AE265A"/>
    <w:rsid w:val="00AE2878"/>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B42"/>
    <w:rsid w:val="00AF4CC5"/>
    <w:rsid w:val="00AF5020"/>
    <w:rsid w:val="00AF5319"/>
    <w:rsid w:val="00AF608B"/>
    <w:rsid w:val="00AF61CE"/>
    <w:rsid w:val="00AF6A59"/>
    <w:rsid w:val="00AF7BDD"/>
    <w:rsid w:val="00B006FB"/>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084"/>
    <w:rsid w:val="00B0542F"/>
    <w:rsid w:val="00B05A05"/>
    <w:rsid w:val="00B05DFC"/>
    <w:rsid w:val="00B06495"/>
    <w:rsid w:val="00B064F1"/>
    <w:rsid w:val="00B06DA3"/>
    <w:rsid w:val="00B0719F"/>
    <w:rsid w:val="00B074FC"/>
    <w:rsid w:val="00B07C65"/>
    <w:rsid w:val="00B105DF"/>
    <w:rsid w:val="00B109DF"/>
    <w:rsid w:val="00B118E1"/>
    <w:rsid w:val="00B11A39"/>
    <w:rsid w:val="00B11A5F"/>
    <w:rsid w:val="00B11A9A"/>
    <w:rsid w:val="00B11BDA"/>
    <w:rsid w:val="00B120CF"/>
    <w:rsid w:val="00B1210E"/>
    <w:rsid w:val="00B1243E"/>
    <w:rsid w:val="00B129BD"/>
    <w:rsid w:val="00B12BDA"/>
    <w:rsid w:val="00B13C47"/>
    <w:rsid w:val="00B13D2B"/>
    <w:rsid w:val="00B13F2E"/>
    <w:rsid w:val="00B14011"/>
    <w:rsid w:val="00B14793"/>
    <w:rsid w:val="00B15075"/>
    <w:rsid w:val="00B15774"/>
    <w:rsid w:val="00B15BA8"/>
    <w:rsid w:val="00B15DB9"/>
    <w:rsid w:val="00B160DD"/>
    <w:rsid w:val="00B16431"/>
    <w:rsid w:val="00B16ACC"/>
    <w:rsid w:val="00B17366"/>
    <w:rsid w:val="00B176FD"/>
    <w:rsid w:val="00B1780E"/>
    <w:rsid w:val="00B200D3"/>
    <w:rsid w:val="00B2060E"/>
    <w:rsid w:val="00B20DCF"/>
    <w:rsid w:val="00B20F8A"/>
    <w:rsid w:val="00B215EB"/>
    <w:rsid w:val="00B2173E"/>
    <w:rsid w:val="00B22522"/>
    <w:rsid w:val="00B2288A"/>
    <w:rsid w:val="00B230A6"/>
    <w:rsid w:val="00B23496"/>
    <w:rsid w:val="00B243F8"/>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05B"/>
    <w:rsid w:val="00B36D9E"/>
    <w:rsid w:val="00B37271"/>
    <w:rsid w:val="00B37311"/>
    <w:rsid w:val="00B373EA"/>
    <w:rsid w:val="00B373FB"/>
    <w:rsid w:val="00B37975"/>
    <w:rsid w:val="00B4106F"/>
    <w:rsid w:val="00B41BE7"/>
    <w:rsid w:val="00B41D70"/>
    <w:rsid w:val="00B4240C"/>
    <w:rsid w:val="00B424F7"/>
    <w:rsid w:val="00B42568"/>
    <w:rsid w:val="00B4316E"/>
    <w:rsid w:val="00B4339F"/>
    <w:rsid w:val="00B4381B"/>
    <w:rsid w:val="00B4383C"/>
    <w:rsid w:val="00B4403D"/>
    <w:rsid w:val="00B4423D"/>
    <w:rsid w:val="00B45847"/>
    <w:rsid w:val="00B460A1"/>
    <w:rsid w:val="00B46275"/>
    <w:rsid w:val="00B464C7"/>
    <w:rsid w:val="00B4658A"/>
    <w:rsid w:val="00B46988"/>
    <w:rsid w:val="00B4733F"/>
    <w:rsid w:val="00B4758E"/>
    <w:rsid w:val="00B47CBB"/>
    <w:rsid w:val="00B503D0"/>
    <w:rsid w:val="00B5083E"/>
    <w:rsid w:val="00B50ADB"/>
    <w:rsid w:val="00B5124A"/>
    <w:rsid w:val="00B51519"/>
    <w:rsid w:val="00B51604"/>
    <w:rsid w:val="00B51F64"/>
    <w:rsid w:val="00B53B4E"/>
    <w:rsid w:val="00B53C5F"/>
    <w:rsid w:val="00B542E2"/>
    <w:rsid w:val="00B54465"/>
    <w:rsid w:val="00B54BD8"/>
    <w:rsid w:val="00B55933"/>
    <w:rsid w:val="00B5596C"/>
    <w:rsid w:val="00B55CC5"/>
    <w:rsid w:val="00B55ECD"/>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4C4"/>
    <w:rsid w:val="00B665BB"/>
    <w:rsid w:val="00B66785"/>
    <w:rsid w:val="00B66800"/>
    <w:rsid w:val="00B668CA"/>
    <w:rsid w:val="00B66AB0"/>
    <w:rsid w:val="00B677D7"/>
    <w:rsid w:val="00B7095E"/>
    <w:rsid w:val="00B70C27"/>
    <w:rsid w:val="00B70ED8"/>
    <w:rsid w:val="00B710E0"/>
    <w:rsid w:val="00B7162D"/>
    <w:rsid w:val="00B71E56"/>
    <w:rsid w:val="00B71F7B"/>
    <w:rsid w:val="00B7224F"/>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3BC"/>
    <w:rsid w:val="00B83CDE"/>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16F"/>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5D"/>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33"/>
    <w:rsid w:val="00BB2E86"/>
    <w:rsid w:val="00BB4A6F"/>
    <w:rsid w:val="00BB4D81"/>
    <w:rsid w:val="00BB4EBC"/>
    <w:rsid w:val="00BB56B1"/>
    <w:rsid w:val="00BB5759"/>
    <w:rsid w:val="00BB5A30"/>
    <w:rsid w:val="00BB5B98"/>
    <w:rsid w:val="00BB6EB7"/>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C7771"/>
    <w:rsid w:val="00BD06D7"/>
    <w:rsid w:val="00BD1290"/>
    <w:rsid w:val="00BD1CFB"/>
    <w:rsid w:val="00BD2157"/>
    <w:rsid w:val="00BD255F"/>
    <w:rsid w:val="00BD2B8F"/>
    <w:rsid w:val="00BD2C17"/>
    <w:rsid w:val="00BD2C45"/>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C40"/>
    <w:rsid w:val="00BE4F8D"/>
    <w:rsid w:val="00BE54E8"/>
    <w:rsid w:val="00BE590A"/>
    <w:rsid w:val="00BE5B5B"/>
    <w:rsid w:val="00BE5EF0"/>
    <w:rsid w:val="00BE5EF9"/>
    <w:rsid w:val="00BE706D"/>
    <w:rsid w:val="00BE770F"/>
    <w:rsid w:val="00BE778C"/>
    <w:rsid w:val="00BF01D4"/>
    <w:rsid w:val="00BF077D"/>
    <w:rsid w:val="00BF188B"/>
    <w:rsid w:val="00BF20FB"/>
    <w:rsid w:val="00BF2997"/>
    <w:rsid w:val="00BF2EC8"/>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45F"/>
    <w:rsid w:val="00C1161D"/>
    <w:rsid w:val="00C12B5F"/>
    <w:rsid w:val="00C12C28"/>
    <w:rsid w:val="00C12CC4"/>
    <w:rsid w:val="00C12CE6"/>
    <w:rsid w:val="00C12D9C"/>
    <w:rsid w:val="00C13208"/>
    <w:rsid w:val="00C133F5"/>
    <w:rsid w:val="00C1360E"/>
    <w:rsid w:val="00C13819"/>
    <w:rsid w:val="00C1397A"/>
    <w:rsid w:val="00C139C8"/>
    <w:rsid w:val="00C13CCA"/>
    <w:rsid w:val="00C1427D"/>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2A5"/>
    <w:rsid w:val="00C20358"/>
    <w:rsid w:val="00C2071F"/>
    <w:rsid w:val="00C209E6"/>
    <w:rsid w:val="00C20A09"/>
    <w:rsid w:val="00C20AEB"/>
    <w:rsid w:val="00C20F22"/>
    <w:rsid w:val="00C21130"/>
    <w:rsid w:val="00C21FF8"/>
    <w:rsid w:val="00C220F2"/>
    <w:rsid w:val="00C223A0"/>
    <w:rsid w:val="00C23BBD"/>
    <w:rsid w:val="00C2455C"/>
    <w:rsid w:val="00C24638"/>
    <w:rsid w:val="00C256A9"/>
    <w:rsid w:val="00C26175"/>
    <w:rsid w:val="00C263EF"/>
    <w:rsid w:val="00C26495"/>
    <w:rsid w:val="00C26697"/>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162"/>
    <w:rsid w:val="00C348FE"/>
    <w:rsid w:val="00C34FBC"/>
    <w:rsid w:val="00C35087"/>
    <w:rsid w:val="00C3523B"/>
    <w:rsid w:val="00C35947"/>
    <w:rsid w:val="00C36001"/>
    <w:rsid w:val="00C36FFE"/>
    <w:rsid w:val="00C375DD"/>
    <w:rsid w:val="00C37BF4"/>
    <w:rsid w:val="00C40578"/>
    <w:rsid w:val="00C40885"/>
    <w:rsid w:val="00C40A83"/>
    <w:rsid w:val="00C40D37"/>
    <w:rsid w:val="00C4124B"/>
    <w:rsid w:val="00C412E1"/>
    <w:rsid w:val="00C416FD"/>
    <w:rsid w:val="00C41E73"/>
    <w:rsid w:val="00C41FA0"/>
    <w:rsid w:val="00C4271F"/>
    <w:rsid w:val="00C42A6C"/>
    <w:rsid w:val="00C42B60"/>
    <w:rsid w:val="00C43D2A"/>
    <w:rsid w:val="00C43E4A"/>
    <w:rsid w:val="00C43FD4"/>
    <w:rsid w:val="00C4445E"/>
    <w:rsid w:val="00C44846"/>
    <w:rsid w:val="00C44CAD"/>
    <w:rsid w:val="00C4530D"/>
    <w:rsid w:val="00C45A51"/>
    <w:rsid w:val="00C45BA9"/>
    <w:rsid w:val="00C45D39"/>
    <w:rsid w:val="00C465E9"/>
    <w:rsid w:val="00C469E3"/>
    <w:rsid w:val="00C47155"/>
    <w:rsid w:val="00C47987"/>
    <w:rsid w:val="00C47CD2"/>
    <w:rsid w:val="00C47D56"/>
    <w:rsid w:val="00C47DF8"/>
    <w:rsid w:val="00C510DE"/>
    <w:rsid w:val="00C5143C"/>
    <w:rsid w:val="00C5228D"/>
    <w:rsid w:val="00C52A8F"/>
    <w:rsid w:val="00C536E4"/>
    <w:rsid w:val="00C538AE"/>
    <w:rsid w:val="00C53A7E"/>
    <w:rsid w:val="00C53C32"/>
    <w:rsid w:val="00C53E7A"/>
    <w:rsid w:val="00C54492"/>
    <w:rsid w:val="00C544B6"/>
    <w:rsid w:val="00C54601"/>
    <w:rsid w:val="00C54E26"/>
    <w:rsid w:val="00C551EF"/>
    <w:rsid w:val="00C5671C"/>
    <w:rsid w:val="00C56A2E"/>
    <w:rsid w:val="00C56A84"/>
    <w:rsid w:val="00C56F78"/>
    <w:rsid w:val="00C575E8"/>
    <w:rsid w:val="00C5777E"/>
    <w:rsid w:val="00C57EB0"/>
    <w:rsid w:val="00C60619"/>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2408"/>
    <w:rsid w:val="00C730CC"/>
    <w:rsid w:val="00C73EE2"/>
    <w:rsid w:val="00C74485"/>
    <w:rsid w:val="00C7532A"/>
    <w:rsid w:val="00C75721"/>
    <w:rsid w:val="00C759D9"/>
    <w:rsid w:val="00C760A6"/>
    <w:rsid w:val="00C762B7"/>
    <w:rsid w:val="00C76825"/>
    <w:rsid w:val="00C77C4B"/>
    <w:rsid w:val="00C77D50"/>
    <w:rsid w:val="00C80DC6"/>
    <w:rsid w:val="00C815E4"/>
    <w:rsid w:val="00C8177D"/>
    <w:rsid w:val="00C81928"/>
    <w:rsid w:val="00C8290C"/>
    <w:rsid w:val="00C82A8C"/>
    <w:rsid w:val="00C83B87"/>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90C"/>
    <w:rsid w:val="00C95E7D"/>
    <w:rsid w:val="00C95E98"/>
    <w:rsid w:val="00C95F67"/>
    <w:rsid w:val="00C9600C"/>
    <w:rsid w:val="00C961C0"/>
    <w:rsid w:val="00C963A9"/>
    <w:rsid w:val="00C965E4"/>
    <w:rsid w:val="00C9739A"/>
    <w:rsid w:val="00C9794D"/>
    <w:rsid w:val="00CA05E2"/>
    <w:rsid w:val="00CA08AF"/>
    <w:rsid w:val="00CA0B7E"/>
    <w:rsid w:val="00CA13BF"/>
    <w:rsid w:val="00CA13F7"/>
    <w:rsid w:val="00CA1463"/>
    <w:rsid w:val="00CA14DE"/>
    <w:rsid w:val="00CA26EC"/>
    <w:rsid w:val="00CA2A57"/>
    <w:rsid w:val="00CA2C4B"/>
    <w:rsid w:val="00CA30A9"/>
    <w:rsid w:val="00CA35EC"/>
    <w:rsid w:val="00CA3D36"/>
    <w:rsid w:val="00CA3EC4"/>
    <w:rsid w:val="00CA3FC8"/>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980"/>
    <w:rsid w:val="00CD6B16"/>
    <w:rsid w:val="00CD6B5E"/>
    <w:rsid w:val="00CD7422"/>
    <w:rsid w:val="00CE0950"/>
    <w:rsid w:val="00CE0D32"/>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57D"/>
    <w:rsid w:val="00CE38C2"/>
    <w:rsid w:val="00CE3F49"/>
    <w:rsid w:val="00CE49B0"/>
    <w:rsid w:val="00CE4EA8"/>
    <w:rsid w:val="00CE4F42"/>
    <w:rsid w:val="00CE5261"/>
    <w:rsid w:val="00CE584B"/>
    <w:rsid w:val="00CE5A0A"/>
    <w:rsid w:val="00CE6C5C"/>
    <w:rsid w:val="00CE72F6"/>
    <w:rsid w:val="00CE7F61"/>
    <w:rsid w:val="00CE7FF2"/>
    <w:rsid w:val="00CF0E8B"/>
    <w:rsid w:val="00CF1090"/>
    <w:rsid w:val="00CF1154"/>
    <w:rsid w:val="00CF12DA"/>
    <w:rsid w:val="00CF1AB9"/>
    <w:rsid w:val="00CF1B03"/>
    <w:rsid w:val="00CF1B1E"/>
    <w:rsid w:val="00CF1E58"/>
    <w:rsid w:val="00CF1F79"/>
    <w:rsid w:val="00CF2B1C"/>
    <w:rsid w:val="00CF2B8E"/>
    <w:rsid w:val="00CF36FF"/>
    <w:rsid w:val="00CF39B2"/>
    <w:rsid w:val="00CF3C22"/>
    <w:rsid w:val="00CF3D0E"/>
    <w:rsid w:val="00CF3E3D"/>
    <w:rsid w:val="00CF4060"/>
    <w:rsid w:val="00CF52EB"/>
    <w:rsid w:val="00CF585D"/>
    <w:rsid w:val="00CF5CA8"/>
    <w:rsid w:val="00CF72BD"/>
    <w:rsid w:val="00CF7506"/>
    <w:rsid w:val="00CF767E"/>
    <w:rsid w:val="00CF777D"/>
    <w:rsid w:val="00CF78C0"/>
    <w:rsid w:val="00D009C4"/>
    <w:rsid w:val="00D0115F"/>
    <w:rsid w:val="00D015A8"/>
    <w:rsid w:val="00D024F9"/>
    <w:rsid w:val="00D0269B"/>
    <w:rsid w:val="00D027F9"/>
    <w:rsid w:val="00D032AA"/>
    <w:rsid w:val="00D03A3E"/>
    <w:rsid w:val="00D03B1A"/>
    <w:rsid w:val="00D03E33"/>
    <w:rsid w:val="00D03E97"/>
    <w:rsid w:val="00D040BB"/>
    <w:rsid w:val="00D04920"/>
    <w:rsid w:val="00D0518B"/>
    <w:rsid w:val="00D054D1"/>
    <w:rsid w:val="00D056E9"/>
    <w:rsid w:val="00D05CB6"/>
    <w:rsid w:val="00D06071"/>
    <w:rsid w:val="00D06325"/>
    <w:rsid w:val="00D070DA"/>
    <w:rsid w:val="00D0765B"/>
    <w:rsid w:val="00D07684"/>
    <w:rsid w:val="00D076A6"/>
    <w:rsid w:val="00D07F59"/>
    <w:rsid w:val="00D104B2"/>
    <w:rsid w:val="00D10986"/>
    <w:rsid w:val="00D114BB"/>
    <w:rsid w:val="00D118DA"/>
    <w:rsid w:val="00D11BB2"/>
    <w:rsid w:val="00D12EDB"/>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167E"/>
    <w:rsid w:val="00D223F2"/>
    <w:rsid w:val="00D22C5A"/>
    <w:rsid w:val="00D22E00"/>
    <w:rsid w:val="00D23853"/>
    <w:rsid w:val="00D23A1E"/>
    <w:rsid w:val="00D24137"/>
    <w:rsid w:val="00D24426"/>
    <w:rsid w:val="00D251E6"/>
    <w:rsid w:val="00D259B0"/>
    <w:rsid w:val="00D25B90"/>
    <w:rsid w:val="00D26097"/>
    <w:rsid w:val="00D261C5"/>
    <w:rsid w:val="00D262A0"/>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2A8"/>
    <w:rsid w:val="00D40548"/>
    <w:rsid w:val="00D4061B"/>
    <w:rsid w:val="00D40F9D"/>
    <w:rsid w:val="00D41319"/>
    <w:rsid w:val="00D431DA"/>
    <w:rsid w:val="00D43450"/>
    <w:rsid w:val="00D435CD"/>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1B52"/>
    <w:rsid w:val="00D5226B"/>
    <w:rsid w:val="00D5228C"/>
    <w:rsid w:val="00D52E06"/>
    <w:rsid w:val="00D53650"/>
    <w:rsid w:val="00D553C7"/>
    <w:rsid w:val="00D55ED8"/>
    <w:rsid w:val="00D55F39"/>
    <w:rsid w:val="00D5648F"/>
    <w:rsid w:val="00D5651D"/>
    <w:rsid w:val="00D57B21"/>
    <w:rsid w:val="00D57B9A"/>
    <w:rsid w:val="00D6000D"/>
    <w:rsid w:val="00D60190"/>
    <w:rsid w:val="00D602D3"/>
    <w:rsid w:val="00D605A5"/>
    <w:rsid w:val="00D606A0"/>
    <w:rsid w:val="00D6075A"/>
    <w:rsid w:val="00D60A2F"/>
    <w:rsid w:val="00D60DAB"/>
    <w:rsid w:val="00D61817"/>
    <w:rsid w:val="00D61922"/>
    <w:rsid w:val="00D61A8A"/>
    <w:rsid w:val="00D62369"/>
    <w:rsid w:val="00D623AA"/>
    <w:rsid w:val="00D62A24"/>
    <w:rsid w:val="00D62FAC"/>
    <w:rsid w:val="00D635B0"/>
    <w:rsid w:val="00D637A9"/>
    <w:rsid w:val="00D63BE1"/>
    <w:rsid w:val="00D64E11"/>
    <w:rsid w:val="00D65280"/>
    <w:rsid w:val="00D652F6"/>
    <w:rsid w:val="00D6616F"/>
    <w:rsid w:val="00D6699B"/>
    <w:rsid w:val="00D66C4B"/>
    <w:rsid w:val="00D66F78"/>
    <w:rsid w:val="00D679DA"/>
    <w:rsid w:val="00D67F3F"/>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123"/>
    <w:rsid w:val="00D73274"/>
    <w:rsid w:val="00D73BE5"/>
    <w:rsid w:val="00D74660"/>
    <w:rsid w:val="00D74797"/>
    <w:rsid w:val="00D74968"/>
    <w:rsid w:val="00D749D2"/>
    <w:rsid w:val="00D74D9B"/>
    <w:rsid w:val="00D74DC3"/>
    <w:rsid w:val="00D750A2"/>
    <w:rsid w:val="00D75650"/>
    <w:rsid w:val="00D756E8"/>
    <w:rsid w:val="00D757A3"/>
    <w:rsid w:val="00D75E77"/>
    <w:rsid w:val="00D76189"/>
    <w:rsid w:val="00D76619"/>
    <w:rsid w:val="00D768AE"/>
    <w:rsid w:val="00D77752"/>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7ED"/>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35D"/>
    <w:rsid w:val="00DA0417"/>
    <w:rsid w:val="00DA059A"/>
    <w:rsid w:val="00DA0676"/>
    <w:rsid w:val="00DA06B3"/>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2C4"/>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4A35"/>
    <w:rsid w:val="00DC51EE"/>
    <w:rsid w:val="00DC5533"/>
    <w:rsid w:val="00DC5770"/>
    <w:rsid w:val="00DC58B9"/>
    <w:rsid w:val="00DC59D7"/>
    <w:rsid w:val="00DC6E13"/>
    <w:rsid w:val="00DC6E1B"/>
    <w:rsid w:val="00DC7BC4"/>
    <w:rsid w:val="00DC7EBE"/>
    <w:rsid w:val="00DD0260"/>
    <w:rsid w:val="00DD02F5"/>
    <w:rsid w:val="00DD0487"/>
    <w:rsid w:val="00DD12EF"/>
    <w:rsid w:val="00DD158F"/>
    <w:rsid w:val="00DD16FB"/>
    <w:rsid w:val="00DD235A"/>
    <w:rsid w:val="00DD2381"/>
    <w:rsid w:val="00DD2B1D"/>
    <w:rsid w:val="00DD3790"/>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097"/>
    <w:rsid w:val="00DE5EA6"/>
    <w:rsid w:val="00DE5F41"/>
    <w:rsid w:val="00DE60BF"/>
    <w:rsid w:val="00DE61FB"/>
    <w:rsid w:val="00DE6B6A"/>
    <w:rsid w:val="00DE730F"/>
    <w:rsid w:val="00DE731D"/>
    <w:rsid w:val="00DE7A1D"/>
    <w:rsid w:val="00DF0080"/>
    <w:rsid w:val="00DF0A8D"/>
    <w:rsid w:val="00DF0E97"/>
    <w:rsid w:val="00DF11F0"/>
    <w:rsid w:val="00DF1956"/>
    <w:rsid w:val="00DF1AD2"/>
    <w:rsid w:val="00DF1D62"/>
    <w:rsid w:val="00DF2170"/>
    <w:rsid w:val="00DF2FC2"/>
    <w:rsid w:val="00DF3063"/>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2857"/>
    <w:rsid w:val="00E0408C"/>
    <w:rsid w:val="00E0443C"/>
    <w:rsid w:val="00E04B4F"/>
    <w:rsid w:val="00E062AA"/>
    <w:rsid w:val="00E06F06"/>
    <w:rsid w:val="00E06FD6"/>
    <w:rsid w:val="00E074C1"/>
    <w:rsid w:val="00E07B79"/>
    <w:rsid w:val="00E07CDC"/>
    <w:rsid w:val="00E1006A"/>
    <w:rsid w:val="00E101AD"/>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6D3F"/>
    <w:rsid w:val="00E17549"/>
    <w:rsid w:val="00E17BAE"/>
    <w:rsid w:val="00E17E85"/>
    <w:rsid w:val="00E17E99"/>
    <w:rsid w:val="00E2002A"/>
    <w:rsid w:val="00E2055A"/>
    <w:rsid w:val="00E20DFC"/>
    <w:rsid w:val="00E21504"/>
    <w:rsid w:val="00E21E68"/>
    <w:rsid w:val="00E21F2D"/>
    <w:rsid w:val="00E22399"/>
    <w:rsid w:val="00E22A26"/>
    <w:rsid w:val="00E22DD9"/>
    <w:rsid w:val="00E2336E"/>
    <w:rsid w:val="00E23655"/>
    <w:rsid w:val="00E23AB9"/>
    <w:rsid w:val="00E23AC4"/>
    <w:rsid w:val="00E23DB8"/>
    <w:rsid w:val="00E23ED2"/>
    <w:rsid w:val="00E244DC"/>
    <w:rsid w:val="00E24E56"/>
    <w:rsid w:val="00E2518F"/>
    <w:rsid w:val="00E256F7"/>
    <w:rsid w:val="00E25995"/>
    <w:rsid w:val="00E25CFC"/>
    <w:rsid w:val="00E25D57"/>
    <w:rsid w:val="00E26257"/>
    <w:rsid w:val="00E264AD"/>
    <w:rsid w:val="00E269E2"/>
    <w:rsid w:val="00E27074"/>
    <w:rsid w:val="00E27704"/>
    <w:rsid w:val="00E27C17"/>
    <w:rsid w:val="00E27E1C"/>
    <w:rsid w:val="00E300F2"/>
    <w:rsid w:val="00E30E89"/>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46"/>
    <w:rsid w:val="00E4055C"/>
    <w:rsid w:val="00E40A1E"/>
    <w:rsid w:val="00E41CF2"/>
    <w:rsid w:val="00E41D23"/>
    <w:rsid w:val="00E4229C"/>
    <w:rsid w:val="00E4297F"/>
    <w:rsid w:val="00E433E8"/>
    <w:rsid w:val="00E438F7"/>
    <w:rsid w:val="00E43E29"/>
    <w:rsid w:val="00E43EE5"/>
    <w:rsid w:val="00E44ACD"/>
    <w:rsid w:val="00E44C01"/>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5D1"/>
    <w:rsid w:val="00E536FC"/>
    <w:rsid w:val="00E539F2"/>
    <w:rsid w:val="00E53AA6"/>
    <w:rsid w:val="00E53C6C"/>
    <w:rsid w:val="00E53CB2"/>
    <w:rsid w:val="00E53D6A"/>
    <w:rsid w:val="00E54438"/>
    <w:rsid w:val="00E54584"/>
    <w:rsid w:val="00E54898"/>
    <w:rsid w:val="00E55489"/>
    <w:rsid w:val="00E55558"/>
    <w:rsid w:val="00E55A91"/>
    <w:rsid w:val="00E55BB8"/>
    <w:rsid w:val="00E56344"/>
    <w:rsid w:val="00E57E87"/>
    <w:rsid w:val="00E6088A"/>
    <w:rsid w:val="00E60943"/>
    <w:rsid w:val="00E60DE1"/>
    <w:rsid w:val="00E61076"/>
    <w:rsid w:val="00E61812"/>
    <w:rsid w:val="00E62A7B"/>
    <w:rsid w:val="00E62CF0"/>
    <w:rsid w:val="00E62E5D"/>
    <w:rsid w:val="00E649C8"/>
    <w:rsid w:val="00E64B5E"/>
    <w:rsid w:val="00E65073"/>
    <w:rsid w:val="00E65277"/>
    <w:rsid w:val="00E65E8C"/>
    <w:rsid w:val="00E65EC7"/>
    <w:rsid w:val="00E6670E"/>
    <w:rsid w:val="00E66800"/>
    <w:rsid w:val="00E66D78"/>
    <w:rsid w:val="00E673C1"/>
    <w:rsid w:val="00E67C5C"/>
    <w:rsid w:val="00E67E55"/>
    <w:rsid w:val="00E70504"/>
    <w:rsid w:val="00E70DA4"/>
    <w:rsid w:val="00E71198"/>
    <w:rsid w:val="00E71622"/>
    <w:rsid w:val="00E716B3"/>
    <w:rsid w:val="00E71C3F"/>
    <w:rsid w:val="00E71E4F"/>
    <w:rsid w:val="00E72486"/>
    <w:rsid w:val="00E724EF"/>
    <w:rsid w:val="00E7264E"/>
    <w:rsid w:val="00E72651"/>
    <w:rsid w:val="00E73569"/>
    <w:rsid w:val="00E73957"/>
    <w:rsid w:val="00E73A8E"/>
    <w:rsid w:val="00E73A92"/>
    <w:rsid w:val="00E73C90"/>
    <w:rsid w:val="00E73D3A"/>
    <w:rsid w:val="00E7412C"/>
    <w:rsid w:val="00E743A1"/>
    <w:rsid w:val="00E74BC5"/>
    <w:rsid w:val="00E74F05"/>
    <w:rsid w:val="00E7518B"/>
    <w:rsid w:val="00E7527C"/>
    <w:rsid w:val="00E7593F"/>
    <w:rsid w:val="00E75F63"/>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1C93"/>
    <w:rsid w:val="00E92341"/>
    <w:rsid w:val="00E92B3B"/>
    <w:rsid w:val="00E92BB4"/>
    <w:rsid w:val="00E93635"/>
    <w:rsid w:val="00E936EA"/>
    <w:rsid w:val="00E942C2"/>
    <w:rsid w:val="00E945B4"/>
    <w:rsid w:val="00E94862"/>
    <w:rsid w:val="00E94F06"/>
    <w:rsid w:val="00E95243"/>
    <w:rsid w:val="00E953CF"/>
    <w:rsid w:val="00E956CB"/>
    <w:rsid w:val="00E960B8"/>
    <w:rsid w:val="00E96AEE"/>
    <w:rsid w:val="00E96D1C"/>
    <w:rsid w:val="00E977CB"/>
    <w:rsid w:val="00E977CE"/>
    <w:rsid w:val="00E97990"/>
    <w:rsid w:val="00E97D2F"/>
    <w:rsid w:val="00E97EA7"/>
    <w:rsid w:val="00E97FB1"/>
    <w:rsid w:val="00EA07C6"/>
    <w:rsid w:val="00EA1265"/>
    <w:rsid w:val="00EA1514"/>
    <w:rsid w:val="00EA1643"/>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36F8"/>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D7D26"/>
    <w:rsid w:val="00EE0174"/>
    <w:rsid w:val="00EE01D1"/>
    <w:rsid w:val="00EE083C"/>
    <w:rsid w:val="00EE0D6A"/>
    <w:rsid w:val="00EE1216"/>
    <w:rsid w:val="00EE12E9"/>
    <w:rsid w:val="00EE13A7"/>
    <w:rsid w:val="00EE234A"/>
    <w:rsid w:val="00EE2B55"/>
    <w:rsid w:val="00EE3117"/>
    <w:rsid w:val="00EE3341"/>
    <w:rsid w:val="00EE3445"/>
    <w:rsid w:val="00EE3BAE"/>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195"/>
    <w:rsid w:val="00EF3393"/>
    <w:rsid w:val="00EF33F2"/>
    <w:rsid w:val="00EF3763"/>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4A1"/>
    <w:rsid w:val="00F027B1"/>
    <w:rsid w:val="00F02DE5"/>
    <w:rsid w:val="00F0324F"/>
    <w:rsid w:val="00F03AA2"/>
    <w:rsid w:val="00F043F9"/>
    <w:rsid w:val="00F046B7"/>
    <w:rsid w:val="00F04E02"/>
    <w:rsid w:val="00F05558"/>
    <w:rsid w:val="00F0595E"/>
    <w:rsid w:val="00F05A7B"/>
    <w:rsid w:val="00F06454"/>
    <w:rsid w:val="00F066AF"/>
    <w:rsid w:val="00F0681F"/>
    <w:rsid w:val="00F06CB2"/>
    <w:rsid w:val="00F06E72"/>
    <w:rsid w:val="00F07B7A"/>
    <w:rsid w:val="00F07C8A"/>
    <w:rsid w:val="00F07D8B"/>
    <w:rsid w:val="00F104D0"/>
    <w:rsid w:val="00F10544"/>
    <w:rsid w:val="00F10840"/>
    <w:rsid w:val="00F116E1"/>
    <w:rsid w:val="00F1198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6F0B"/>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114"/>
    <w:rsid w:val="00F232DA"/>
    <w:rsid w:val="00F23613"/>
    <w:rsid w:val="00F24874"/>
    <w:rsid w:val="00F24980"/>
    <w:rsid w:val="00F24B20"/>
    <w:rsid w:val="00F24E07"/>
    <w:rsid w:val="00F24EF6"/>
    <w:rsid w:val="00F25470"/>
    <w:rsid w:val="00F255CF"/>
    <w:rsid w:val="00F25C36"/>
    <w:rsid w:val="00F26145"/>
    <w:rsid w:val="00F26345"/>
    <w:rsid w:val="00F2634C"/>
    <w:rsid w:val="00F264A6"/>
    <w:rsid w:val="00F26D6D"/>
    <w:rsid w:val="00F27920"/>
    <w:rsid w:val="00F30616"/>
    <w:rsid w:val="00F3182F"/>
    <w:rsid w:val="00F319F9"/>
    <w:rsid w:val="00F32AF9"/>
    <w:rsid w:val="00F33B96"/>
    <w:rsid w:val="00F346B1"/>
    <w:rsid w:val="00F3484E"/>
    <w:rsid w:val="00F348C7"/>
    <w:rsid w:val="00F34E84"/>
    <w:rsid w:val="00F34FB3"/>
    <w:rsid w:val="00F35350"/>
    <w:rsid w:val="00F3594C"/>
    <w:rsid w:val="00F361F9"/>
    <w:rsid w:val="00F36323"/>
    <w:rsid w:val="00F363CA"/>
    <w:rsid w:val="00F36F16"/>
    <w:rsid w:val="00F37507"/>
    <w:rsid w:val="00F40042"/>
    <w:rsid w:val="00F4117E"/>
    <w:rsid w:val="00F415F2"/>
    <w:rsid w:val="00F42037"/>
    <w:rsid w:val="00F423F6"/>
    <w:rsid w:val="00F42415"/>
    <w:rsid w:val="00F424D3"/>
    <w:rsid w:val="00F4284C"/>
    <w:rsid w:val="00F43696"/>
    <w:rsid w:val="00F443B0"/>
    <w:rsid w:val="00F444E7"/>
    <w:rsid w:val="00F444FE"/>
    <w:rsid w:val="00F447EA"/>
    <w:rsid w:val="00F44943"/>
    <w:rsid w:val="00F453DF"/>
    <w:rsid w:val="00F463A2"/>
    <w:rsid w:val="00F46462"/>
    <w:rsid w:val="00F46C91"/>
    <w:rsid w:val="00F4737E"/>
    <w:rsid w:val="00F47D5F"/>
    <w:rsid w:val="00F47E5F"/>
    <w:rsid w:val="00F50623"/>
    <w:rsid w:val="00F511EE"/>
    <w:rsid w:val="00F51D28"/>
    <w:rsid w:val="00F51DF3"/>
    <w:rsid w:val="00F51E4D"/>
    <w:rsid w:val="00F52953"/>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499"/>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2BC"/>
    <w:rsid w:val="00F759D7"/>
    <w:rsid w:val="00F7609A"/>
    <w:rsid w:val="00F76924"/>
    <w:rsid w:val="00F76FD6"/>
    <w:rsid w:val="00F77293"/>
    <w:rsid w:val="00F774E4"/>
    <w:rsid w:val="00F77C33"/>
    <w:rsid w:val="00F77D71"/>
    <w:rsid w:val="00F808F0"/>
    <w:rsid w:val="00F80927"/>
    <w:rsid w:val="00F819E1"/>
    <w:rsid w:val="00F822A0"/>
    <w:rsid w:val="00F83A8B"/>
    <w:rsid w:val="00F83B2E"/>
    <w:rsid w:val="00F84099"/>
    <w:rsid w:val="00F8412E"/>
    <w:rsid w:val="00F843F7"/>
    <w:rsid w:val="00F84763"/>
    <w:rsid w:val="00F8476D"/>
    <w:rsid w:val="00F85501"/>
    <w:rsid w:val="00F85511"/>
    <w:rsid w:val="00F856DE"/>
    <w:rsid w:val="00F85851"/>
    <w:rsid w:val="00F862E4"/>
    <w:rsid w:val="00F86396"/>
    <w:rsid w:val="00F86429"/>
    <w:rsid w:val="00F86769"/>
    <w:rsid w:val="00F8676D"/>
    <w:rsid w:val="00F86C16"/>
    <w:rsid w:val="00F875DA"/>
    <w:rsid w:val="00F8763D"/>
    <w:rsid w:val="00F87905"/>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2AE7"/>
    <w:rsid w:val="00FB306B"/>
    <w:rsid w:val="00FB3784"/>
    <w:rsid w:val="00FB414E"/>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5D1"/>
    <w:rsid w:val="00FC2A8A"/>
    <w:rsid w:val="00FC2E45"/>
    <w:rsid w:val="00FC351E"/>
    <w:rsid w:val="00FC35DE"/>
    <w:rsid w:val="00FC3952"/>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309"/>
    <w:rsid w:val="00FD764D"/>
    <w:rsid w:val="00FD7B35"/>
    <w:rsid w:val="00FD7C6C"/>
    <w:rsid w:val="00FD7CDC"/>
    <w:rsid w:val="00FD7F20"/>
    <w:rsid w:val="00FE01A6"/>
    <w:rsid w:val="00FE02F8"/>
    <w:rsid w:val="00FE0BA6"/>
    <w:rsid w:val="00FE0F46"/>
    <w:rsid w:val="00FE11A9"/>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4E72"/>
    <w:rsid w:val="00FE5DD2"/>
    <w:rsid w:val="00FE66DF"/>
    <w:rsid w:val="00FE6845"/>
    <w:rsid w:val="00FE6951"/>
    <w:rsid w:val="00FE6AD1"/>
    <w:rsid w:val="00FE78FD"/>
    <w:rsid w:val="00FE7BA2"/>
    <w:rsid w:val="00FE7BAD"/>
    <w:rsid w:val="00FE7D77"/>
    <w:rsid w:val="00FF0586"/>
    <w:rsid w:val="00FF09BD"/>
    <w:rsid w:val="00FF1744"/>
    <w:rsid w:val="00FF188F"/>
    <w:rsid w:val="00FF2265"/>
    <w:rsid w:val="00FF2CC4"/>
    <w:rsid w:val="00FF3496"/>
    <w:rsid w:val="00FF3CA1"/>
    <w:rsid w:val="00FF4177"/>
    <w:rsid w:val="00FF438F"/>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AB699"/>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A039D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3378571428571437E-2"/>
          <c:y val="3.985104166666667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10253F"/>
            </a:solidFill>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petroleo'!$AA$77:$AC$77</c:f>
              <c:numCache>
                <c:formatCode>General</c:formatCode>
                <c:ptCount val="3"/>
                <c:pt idx="0">
                  <c:v>2020</c:v>
                </c:pt>
                <c:pt idx="1">
                  <c:v>2021</c:v>
                </c:pt>
                <c:pt idx="2">
                  <c:v>2022</c:v>
                </c:pt>
              </c:numCache>
            </c:numRef>
          </c:cat>
          <c:val>
            <c:numRef>
              <c:f>'Datos con petroleo'!$AA$87:$AC$87</c:f>
              <c:numCache>
                <c:formatCode>0.00</c:formatCode>
                <c:ptCount val="3"/>
                <c:pt idx="0">
                  <c:v>4.3968740713261809</c:v>
                </c:pt>
                <c:pt idx="1">
                  <c:v>8.3927521269227583</c:v>
                </c:pt>
                <c:pt idx="2">
                  <c:v>7.195918708981111</c:v>
                </c:pt>
              </c:numCache>
            </c:numRef>
          </c:val>
          <c:extLst>
            <c:ext xmlns:c16="http://schemas.microsoft.com/office/drawing/2014/chart" uri="{C3380CC4-5D6E-409C-BE32-E72D297353CC}">
              <c16:uniqueId val="{00000000-13C6-4986-B82D-E972C8DAAB34}"/>
            </c:ext>
          </c:extLst>
        </c:ser>
        <c:ser>
          <c:idx val="1"/>
          <c:order val="1"/>
          <c:tx>
            <c:strRef>
              <c:f>'Datos con petroleo'!$AD$76:$AI$76</c:f>
              <c:strCache>
                <c:ptCount val="6"/>
                <c:pt idx="0">
                  <c:v>Actividades primarias </c:v>
                </c:pt>
              </c:strCache>
            </c:strRef>
          </c:tx>
          <c:spPr>
            <a:solidFill>
              <a:srgbClr val="C6D9F1"/>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petroleo'!$AJ$87:$AL$87</c:f>
              <c:numCache>
                <c:formatCode>0.00</c:formatCode>
                <c:ptCount val="3"/>
                <c:pt idx="0">
                  <c:v>8.37354243856106</c:v>
                </c:pt>
                <c:pt idx="1">
                  <c:v>10.584898812457482</c:v>
                </c:pt>
                <c:pt idx="2">
                  <c:v>14.28596085959262</c:v>
                </c:pt>
              </c:numCache>
            </c:numRef>
          </c:val>
          <c:extLst>
            <c:ext xmlns:c16="http://schemas.microsoft.com/office/drawing/2014/chart" uri="{C3380CC4-5D6E-409C-BE32-E72D297353CC}">
              <c16:uniqueId val="{00000001-13C6-4986-B82D-E972C8DAAB34}"/>
            </c:ext>
          </c:extLst>
        </c:ser>
        <c:ser>
          <c:idx val="2"/>
          <c:order val="2"/>
          <c:tx>
            <c:strRef>
              <c:f>'Datos con petroleo'!$AM$76:$AR$76</c:f>
              <c:strCache>
                <c:ptCount val="6"/>
                <c:pt idx="0">
                  <c:v>Actividades secundarias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petroleo'!$AS$87:$AU$87</c:f>
              <c:numCache>
                <c:formatCode>0.00</c:formatCode>
                <c:ptCount val="3"/>
                <c:pt idx="0">
                  <c:v>4.9140474974024073</c:v>
                </c:pt>
                <c:pt idx="1">
                  <c:v>11.195824490013422</c:v>
                </c:pt>
                <c:pt idx="2">
                  <c:v>7.3976946316542893</c:v>
                </c:pt>
              </c:numCache>
            </c:numRef>
          </c:val>
          <c:extLst>
            <c:ext xmlns:c16="http://schemas.microsoft.com/office/drawing/2014/chart" uri="{C3380CC4-5D6E-409C-BE32-E72D297353CC}">
              <c16:uniqueId val="{00000002-13C6-4986-B82D-E972C8DAAB34}"/>
            </c:ext>
          </c:extLst>
        </c:ser>
        <c:ser>
          <c:idx val="3"/>
          <c:order val="3"/>
          <c:tx>
            <c:strRef>
              <c:f>'Datos con petroleo'!$AV$76:$BA$76</c:f>
              <c:strCache>
                <c:ptCount val="6"/>
                <c:pt idx="0">
                  <c:v>Actividades terciarias</c:v>
                </c:pt>
              </c:strCache>
            </c:strRef>
          </c:tx>
          <c:spPr>
            <a:solidFill>
              <a:srgbClr val="245590"/>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petroleo'!$BB$87:$BD$87</c:f>
              <c:numCache>
                <c:formatCode>0.00</c:formatCode>
                <c:ptCount val="3"/>
                <c:pt idx="0">
                  <c:v>2.87</c:v>
                </c:pt>
                <c:pt idx="1">
                  <c:v>2.87</c:v>
                </c:pt>
                <c:pt idx="2">
                  <c:v>5.6106494668952678</c:v>
                </c:pt>
              </c:numCache>
            </c:numRef>
          </c:val>
          <c:extLst>
            <c:ext xmlns:c16="http://schemas.microsoft.com/office/drawing/2014/chart" uri="{C3380CC4-5D6E-409C-BE32-E72D297353CC}">
              <c16:uniqueId val="{00000003-13C6-4986-B82D-E972C8DAAB34}"/>
            </c:ext>
          </c:extLst>
        </c:ser>
        <c:dLbls>
          <c:dLblPos val="outEnd"/>
          <c:showLegendKey val="0"/>
          <c:showVal val="1"/>
          <c:showCatName val="0"/>
          <c:showSerName val="0"/>
          <c:showPercent val="0"/>
          <c:showBubbleSize val="0"/>
        </c:dLbls>
        <c:gapWidth val="100"/>
        <c:overlap val="-6"/>
        <c:axId val="282849768"/>
        <c:axId val="282850944"/>
      </c:barChart>
      <c:catAx>
        <c:axId val="282849768"/>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282850944"/>
        <c:crosses val="autoZero"/>
        <c:auto val="1"/>
        <c:lblAlgn val="ctr"/>
        <c:lblOffset val="100"/>
        <c:tickLblSkip val="1"/>
        <c:noMultiLvlLbl val="0"/>
      </c:catAx>
      <c:valAx>
        <c:axId val="282850944"/>
        <c:scaling>
          <c:orientation val="minMax"/>
          <c:max val="16"/>
          <c:min val="0"/>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282849768"/>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5.5035664259079156E-4"/>
                  <c:y val="-1.1092359463829635E-4"/>
                </c:manualLayout>
              </c:layout>
              <c:tx>
                <c:rich>
                  <a:bodyPr/>
                  <a:lstStyle/>
                  <a:p>
                    <a:fld id="{EC687E72-FDDF-4351-BE33-27425339732D}" type="VALUE">
                      <a:rPr lang="en-US">
                        <a:solidFill>
                          <a:srgbClr val="009900"/>
                        </a:solidFill>
                      </a:rPr>
                      <a:pPr/>
                      <a:t>[VALOR]</a:t>
                    </a:fld>
                    <a:endParaRPr lang="es-MX"/>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B97-48C3-90DB-3E0B6F5BBCF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petroleo'!$A$99:$B$135</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2020</c:v>
                  </c:pt>
                  <c:pt idx="15">
                    <c:v>2021</c:v>
                  </c:pt>
                  <c:pt idx="27">
                    <c:v>2022</c:v>
                  </c:pt>
                </c:lvl>
              </c:multiLvlStrCache>
            </c:multiLvlStrRef>
          </c:cat>
          <c:val>
            <c:numRef>
              <c:f>'Datos con petroleo'!$O$99:$O$135</c:f>
              <c:numCache>
                <c:formatCode>0.00</c:formatCode>
                <c:ptCount val="37"/>
                <c:pt idx="0">
                  <c:v>0.69831519354841554</c:v>
                </c:pt>
                <c:pt idx="1">
                  <c:v>0.14764393874882042</c:v>
                </c:pt>
                <c:pt idx="2">
                  <c:v>1.0030328907583819</c:v>
                </c:pt>
                <c:pt idx="3">
                  <c:v>1.0456642238392488</c:v>
                </c:pt>
                <c:pt idx="4">
                  <c:v>0.69583602178708848</c:v>
                </c:pt>
                <c:pt idx="5">
                  <c:v>2.2938745255334236</c:v>
                </c:pt>
                <c:pt idx="6">
                  <c:v>3.284121174358634</c:v>
                </c:pt>
                <c:pt idx="7">
                  <c:v>3.0736278689621033</c:v>
                </c:pt>
                <c:pt idx="8">
                  <c:v>2.6832584582148211</c:v>
                </c:pt>
                <c:pt idx="9">
                  <c:v>3.7182814821612675</c:v>
                </c:pt>
                <c:pt idx="10">
                  <c:v>5.0605003641345681</c:v>
                </c:pt>
                <c:pt idx="11">
                  <c:v>3.803689201161875</c:v>
                </c:pt>
                <c:pt idx="12">
                  <c:v>4.3968740713261845</c:v>
                </c:pt>
                <c:pt idx="13">
                  <c:v>3.9265796861376989</c:v>
                </c:pt>
                <c:pt idx="14">
                  <c:v>3.6750663491156299</c:v>
                </c:pt>
                <c:pt idx="15">
                  <c:v>5.2938917840430033</c:v>
                </c:pt>
                <c:pt idx="16">
                  <c:v>6.7401886129237809</c:v>
                </c:pt>
                <c:pt idx="17">
                  <c:v>6.2328786585531315</c:v>
                </c:pt>
                <c:pt idx="18">
                  <c:v>5.0239136345975322</c:v>
                </c:pt>
                <c:pt idx="19">
                  <c:v>6.1014072631390581</c:v>
                </c:pt>
                <c:pt idx="20">
                  <c:v>7.1031619094746423</c:v>
                </c:pt>
                <c:pt idx="21">
                  <c:v>6.4342035852366308</c:v>
                </c:pt>
                <c:pt idx="22">
                  <c:v>6.296746748681481</c:v>
                </c:pt>
                <c:pt idx="23">
                  <c:v>7.1603316137748063</c:v>
                </c:pt>
                <c:pt idx="24">
                  <c:v>8.3927521269227654</c:v>
                </c:pt>
                <c:pt idx="25">
                  <c:v>9.8685218563569386</c:v>
                </c:pt>
                <c:pt idx="26">
                  <c:v>10.320220673632718</c:v>
                </c:pt>
                <c:pt idx="27">
                  <c:v>9.8208453918782403</c:v>
                </c:pt>
                <c:pt idx="28">
                  <c:v>9.8926272758072198</c:v>
                </c:pt>
                <c:pt idx="29">
                  <c:v>10.178932635977379</c:v>
                </c:pt>
                <c:pt idx="30">
                  <c:v>10.397322358556526</c:v>
                </c:pt>
                <c:pt idx="31">
                  <c:v>10.470013716750826</c:v>
                </c:pt>
                <c:pt idx="32">
                  <c:v>10.346181706892455</c:v>
                </c:pt>
                <c:pt idx="33">
                  <c:v>10.010284611551246</c:v>
                </c:pt>
                <c:pt idx="34">
                  <c:v>9.3861449765496161</c:v>
                </c:pt>
                <c:pt idx="35">
                  <c:v>8.708073533570925</c:v>
                </c:pt>
                <c:pt idx="36">
                  <c:v>7.1959187089811083</c:v>
                </c:pt>
              </c:numCache>
            </c:numRef>
          </c:val>
          <c:smooth val="0"/>
          <c:extLst>
            <c:ext xmlns:c16="http://schemas.microsoft.com/office/drawing/2014/chart" uri="{C3380CC4-5D6E-409C-BE32-E72D297353CC}">
              <c16:uniqueId val="{00000001-4B97-48C3-90DB-3E0B6F5BBCF5}"/>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5035664259079156E-4"/>
                  <c:y val="1.7664844883675441E-2"/>
                </c:manualLayout>
              </c:layout>
              <c:tx>
                <c:rich>
                  <a:bodyPr/>
                  <a:lstStyle/>
                  <a:p>
                    <a:fld id="{87E59624-924E-4946-99A2-5109A573CFBB}" type="VALUE">
                      <a:rPr lang="en-US" b="1">
                        <a:solidFill>
                          <a:srgbClr val="002060"/>
                        </a:solidFill>
                      </a:rPr>
                      <a:pPr/>
                      <a:t>[VALOR]</a:t>
                    </a:fld>
                    <a:endParaRPr lang="es-MX"/>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B97-48C3-90DB-3E0B6F5BBCF5}"/>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petroleo'!$A$99:$B$135</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2020</c:v>
                  </c:pt>
                  <c:pt idx="15">
                    <c:v>2021</c:v>
                  </c:pt>
                  <c:pt idx="27">
                    <c:v>2022</c:v>
                  </c:pt>
                </c:lvl>
              </c:multiLvlStrCache>
            </c:multiLvlStrRef>
          </c:cat>
          <c:val>
            <c:numRef>
              <c:f>'Datos con petroleo'!$Q$99:$Q$135</c:f>
              <c:numCache>
                <c:formatCode>0.00</c:formatCode>
                <c:ptCount val="37"/>
                <c:pt idx="0">
                  <c:v>-2.0195157494490856</c:v>
                </c:pt>
                <c:pt idx="1">
                  <c:v>-2.3741082836563843</c:v>
                </c:pt>
                <c:pt idx="2">
                  <c:v>-0.77365111857250479</c:v>
                </c:pt>
                <c:pt idx="3">
                  <c:v>-0.88069166093666107</c:v>
                </c:pt>
                <c:pt idx="4">
                  <c:v>-1.6836127383029975</c:v>
                </c:pt>
                <c:pt idx="5">
                  <c:v>-0.9536720281452471</c:v>
                </c:pt>
                <c:pt idx="6">
                  <c:v>-0.87887265889653454</c:v>
                </c:pt>
                <c:pt idx="7">
                  <c:v>-1.2011569804624922</c:v>
                </c:pt>
                <c:pt idx="8">
                  <c:v>-0.41495650175685794</c:v>
                </c:pt>
                <c:pt idx="9">
                  <c:v>0.97774087240700691</c:v>
                </c:pt>
                <c:pt idx="10">
                  <c:v>4.2838413551529175</c:v>
                </c:pt>
                <c:pt idx="11">
                  <c:v>2.4832662402086036</c:v>
                </c:pt>
                <c:pt idx="12">
                  <c:v>3.4358446923026476</c:v>
                </c:pt>
                <c:pt idx="13">
                  <c:v>3.3089497647284194</c:v>
                </c:pt>
                <c:pt idx="14">
                  <c:v>3.5807513613956621</c:v>
                </c:pt>
                <c:pt idx="15">
                  <c:v>5.9452453748823464</c:v>
                </c:pt>
                <c:pt idx="16">
                  <c:v>8.4758405675906978</c:v>
                </c:pt>
                <c:pt idx="17">
                  <c:v>9.0751555512761151</c:v>
                </c:pt>
                <c:pt idx="18">
                  <c:v>9.0202320153879292</c:v>
                </c:pt>
                <c:pt idx="19">
                  <c:v>10.601225141378423</c:v>
                </c:pt>
                <c:pt idx="20">
                  <c:v>10.64200814880143</c:v>
                </c:pt>
                <c:pt idx="21">
                  <c:v>9.5729868680987771</c:v>
                </c:pt>
                <c:pt idx="22">
                  <c:v>8.9942567784973004</c:v>
                </c:pt>
                <c:pt idx="23">
                  <c:v>10.169744069235431</c:v>
                </c:pt>
                <c:pt idx="24">
                  <c:v>12.291623103248583</c:v>
                </c:pt>
                <c:pt idx="25">
                  <c:v>13.890648898633895</c:v>
                </c:pt>
                <c:pt idx="26">
                  <c:v>13.249137979621395</c:v>
                </c:pt>
                <c:pt idx="27">
                  <c:v>12.625190970947031</c:v>
                </c:pt>
                <c:pt idx="28">
                  <c:v>12.743861572586423</c:v>
                </c:pt>
                <c:pt idx="29">
                  <c:v>13.062951659840195</c:v>
                </c:pt>
                <c:pt idx="30">
                  <c:v>13.017667370956755</c:v>
                </c:pt>
                <c:pt idx="31">
                  <c:v>13.057888539695405</c:v>
                </c:pt>
                <c:pt idx="32">
                  <c:v>13.285907899588656</c:v>
                </c:pt>
                <c:pt idx="33">
                  <c:v>11.876339628089516</c:v>
                </c:pt>
                <c:pt idx="34">
                  <c:v>11.06264664574821</c:v>
                </c:pt>
                <c:pt idx="35">
                  <c:v>9.8894283366675051</c:v>
                </c:pt>
                <c:pt idx="36">
                  <c:v>6.9060481481630687</c:v>
                </c:pt>
              </c:numCache>
            </c:numRef>
          </c:val>
          <c:smooth val="0"/>
          <c:extLst>
            <c:ext xmlns:c16="http://schemas.microsoft.com/office/drawing/2014/chart" uri="{C3380CC4-5D6E-409C-BE32-E72D297353CC}">
              <c16:uniqueId val="{00000003-4B97-48C3-90DB-3E0B6F5BBCF5}"/>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5.5042817685049892E-4"/>
                  <c:y val="-3.5491275369477694E-2"/>
                </c:manualLayout>
              </c:layout>
              <c:tx>
                <c:rich>
                  <a:bodyPr wrap="square" lIns="38100" tIns="19050" rIns="38100" bIns="19050" anchor="ctr">
                    <a:spAutoFit/>
                  </a:bodyPr>
                  <a:lstStyle/>
                  <a:p>
                    <a:pPr>
                      <a:defRPr b="1"/>
                    </a:pPr>
                    <a:fld id="{8F2E3F9D-C902-4941-AC40-47B782C7F7F3}" type="VALUE">
                      <a:rPr lang="en-US" b="1">
                        <a:solidFill>
                          <a:srgbClr val="FF0000"/>
                        </a:solidFill>
                      </a:rPr>
                      <a:pPr>
                        <a:defRPr b="1"/>
                      </a:pPr>
                      <a:t>[VALOR]</a:t>
                    </a:fld>
                    <a:endParaRPr lang="es-MX"/>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97-48C3-90DB-3E0B6F5BBCF5}"/>
                </c:ext>
              </c:extLst>
            </c:dLbl>
            <c:spPr>
              <a:noFill/>
              <a:ln>
                <a:noFill/>
              </a:ln>
              <a:effectLst/>
            </c:spPr>
            <c:txPr>
              <a:bodyPr wrap="square" lIns="38100" tIns="19050" rIns="38100" bIns="19050" anchor="ctr">
                <a:spAutoFit/>
              </a:bodyPr>
              <a:lstStyle/>
              <a:p>
                <a:pPr>
                  <a:defRPr b="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petroleo'!$A$99:$B$135</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2020</c:v>
                  </c:pt>
                  <c:pt idx="15">
                    <c:v>2021</c:v>
                  </c:pt>
                  <c:pt idx="27">
                    <c:v>2022</c:v>
                  </c:pt>
                </c:lvl>
              </c:multiLvlStrCache>
            </c:multiLvlStrRef>
          </c:cat>
          <c:val>
            <c:numRef>
              <c:f>'Datos con petroleo'!$P$99:$P$135</c:f>
              <c:numCache>
                <c:formatCode>0.00</c:formatCode>
                <c:ptCount val="37"/>
                <c:pt idx="0">
                  <c:v>1.8611288998943154</c:v>
                </c:pt>
                <c:pt idx="1">
                  <c:v>1.2021352847193301</c:v>
                </c:pt>
                <c:pt idx="2">
                  <c:v>1.7020996273844347</c:v>
                </c:pt>
                <c:pt idx="3">
                  <c:v>1.8022442832954955</c:v>
                </c:pt>
                <c:pt idx="4">
                  <c:v>1.6417304952437872</c:v>
                </c:pt>
                <c:pt idx="5">
                  <c:v>3.5817163022190179</c:v>
                </c:pt>
                <c:pt idx="6">
                  <c:v>4.9498823892788035</c:v>
                </c:pt>
                <c:pt idx="7">
                  <c:v>4.788937684026906</c:v>
                </c:pt>
                <c:pt idx="8">
                  <c:v>3.9033612403652107</c:v>
                </c:pt>
                <c:pt idx="9">
                  <c:v>4.8051106671139987</c:v>
                </c:pt>
                <c:pt idx="10">
                  <c:v>5.3622514276204791</c:v>
                </c:pt>
                <c:pt idx="11">
                  <c:v>4.3184233982400899</c:v>
                </c:pt>
                <c:pt idx="12">
                  <c:v>4.768939158529828</c:v>
                </c:pt>
                <c:pt idx="13">
                  <c:v>4.1651577549955521</c:v>
                </c:pt>
                <c:pt idx="14">
                  <c:v>3.7115210699921297</c:v>
                </c:pt>
                <c:pt idx="15">
                  <c:v>5.0427317633134683</c:v>
                </c:pt>
                <c:pt idx="16">
                  <c:v>6.0741211429249597</c:v>
                </c:pt>
                <c:pt idx="17">
                  <c:v>5.1550670585595704</c:v>
                </c:pt>
                <c:pt idx="18">
                  <c:v>3.5236238432547751</c:v>
                </c:pt>
                <c:pt idx="19">
                  <c:v>4.413657209111177</c:v>
                </c:pt>
                <c:pt idx="20">
                  <c:v>5.7600118861901972</c:v>
                </c:pt>
                <c:pt idx="21">
                  <c:v>5.2348987891708498</c:v>
                </c:pt>
                <c:pt idx="22">
                  <c:v>5.2594250291663425</c:v>
                </c:pt>
                <c:pt idx="23">
                  <c:v>6.0078245069180136</c:v>
                </c:pt>
                <c:pt idx="24">
                  <c:v>6.9025003860017753</c:v>
                </c:pt>
                <c:pt idx="25">
                  <c:v>8.3276254365198366</c:v>
                </c:pt>
                <c:pt idx="26">
                  <c:v>9.1895601530862514</c:v>
                </c:pt>
                <c:pt idx="27">
                  <c:v>8.7302072225240224</c:v>
                </c:pt>
                <c:pt idx="28">
                  <c:v>8.7736736953095917</c:v>
                </c:pt>
                <c:pt idx="29">
                  <c:v>9.0318505277924501</c:v>
                </c:pt>
                <c:pt idx="30">
                  <c:v>9.5002703254383203</c:v>
                </c:pt>
                <c:pt idx="31">
                  <c:v>9.4418575395007309</c:v>
                </c:pt>
                <c:pt idx="32">
                  <c:v>9.1789199113476716</c:v>
                </c:pt>
                <c:pt idx="33">
                  <c:v>9.2678872906388765</c:v>
                </c:pt>
                <c:pt idx="34">
                  <c:v>8.7185746651378579</c:v>
                </c:pt>
                <c:pt idx="35">
                  <c:v>8.2378908093775571</c:v>
                </c:pt>
                <c:pt idx="36">
                  <c:v>7.3123003244387474</c:v>
                </c:pt>
              </c:numCache>
            </c:numRef>
          </c:val>
          <c:smooth val="0"/>
          <c:extLst>
            <c:ext xmlns:c16="http://schemas.microsoft.com/office/drawing/2014/chart" uri="{C3380CC4-5D6E-409C-BE32-E72D297353CC}">
              <c16:uniqueId val="{00000005-4B97-48C3-90DB-3E0B6F5BBCF5}"/>
            </c:ext>
          </c:extLst>
        </c:ser>
        <c:dLbls>
          <c:showLegendKey val="0"/>
          <c:showVal val="0"/>
          <c:showCatName val="0"/>
          <c:showSerName val="0"/>
          <c:showPercent val="0"/>
          <c:showBubbleSize val="0"/>
        </c:dLbls>
        <c:smooth val="0"/>
        <c:axId val="596494152"/>
        <c:axId val="283015448"/>
      </c:lineChart>
      <c:valAx>
        <c:axId val="283015448"/>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596494152"/>
        <c:crossesAt val="1"/>
        <c:crossBetween val="midCat"/>
        <c:majorUnit val="4"/>
      </c:valAx>
      <c:catAx>
        <c:axId val="596494152"/>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283015448"/>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AB6C-4080-4BF0-9272-FEF62AF2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TotalTime>
  <Pages>11</Pages>
  <Words>3292</Words>
  <Characters>18110</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INDICE NACIONAL DE PRECIOS PRODUCTOR</vt:lpstr>
      <vt:lpstr>COMUNICADO DE PRENSA. INDICE NACIONAL DE PRECIOS PRODUCTOR</vt:lpstr>
    </vt:vector>
  </TitlesOfParts>
  <Company>INEGI</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10</cp:revision>
  <cp:lastPrinted>2022-09-07T17:05:00Z</cp:lastPrinted>
  <dcterms:created xsi:type="dcterms:W3CDTF">2022-11-08T18:22:00Z</dcterms:created>
  <dcterms:modified xsi:type="dcterms:W3CDTF">2022-11-08T20:58:00Z</dcterms:modified>
  <cp:category>INDICES DE PRECIOS</cp:category>
  <cp:version>1</cp:version>
</cp:coreProperties>
</file>