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B73A3" w14:textId="77777777" w:rsidR="007F5DE6" w:rsidRPr="00FC3C74" w:rsidRDefault="007F5DE6" w:rsidP="007F5DE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575D195B" wp14:editId="29A295F3">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0917132" w14:textId="77777777" w:rsidR="006C6CF0" w:rsidRPr="003D4E37" w:rsidRDefault="006C6CF0" w:rsidP="007F5DE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26B055F2" w14:textId="77777777" w:rsidR="006C6CF0" w:rsidRPr="003D4E37" w:rsidRDefault="006C6CF0" w:rsidP="007F5DE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D195B"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0917132" w14:textId="77777777" w:rsidR="006C6CF0" w:rsidRPr="003D4E37" w:rsidRDefault="006C6CF0" w:rsidP="007F5DE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26B055F2" w14:textId="77777777" w:rsidR="006C6CF0" w:rsidRPr="003D4E37" w:rsidRDefault="006C6CF0" w:rsidP="007F5DE6">
                      <w:pPr>
                        <w:jc w:val="right"/>
                      </w:pPr>
                    </w:p>
                  </w:txbxContent>
                </v:textbox>
                <w10:wrap type="square"/>
              </v:shape>
            </w:pict>
          </mc:Fallback>
        </mc:AlternateContent>
      </w:r>
      <w:bookmarkStart w:id="0" w:name="_Hlk61875621"/>
    </w:p>
    <w:p w14:paraId="1B7003DE" w14:textId="77777777" w:rsidR="007F5DE6" w:rsidRPr="003C0C3F" w:rsidRDefault="007F5DE6" w:rsidP="007F5DE6">
      <w:pPr>
        <w:jc w:val="center"/>
        <w:rPr>
          <w:b/>
          <w:bCs/>
          <w:caps/>
          <w:lang w:val="es-MX"/>
        </w:rPr>
      </w:pPr>
    </w:p>
    <w:p w14:paraId="33511259" w14:textId="77777777" w:rsidR="007F5DE6" w:rsidRPr="00775B9A" w:rsidRDefault="007F5DE6" w:rsidP="007F5DE6">
      <w:pPr>
        <w:pStyle w:val="Ttulo"/>
        <w:spacing w:before="120"/>
        <w:ind w:left="709" w:hanging="425"/>
        <w:rPr>
          <w:sz w:val="8"/>
          <w:szCs w:val="8"/>
        </w:rPr>
      </w:pPr>
    </w:p>
    <w:p w14:paraId="4839AABC" w14:textId="0AC83B08" w:rsidR="007F5DE6" w:rsidRPr="001607D5" w:rsidRDefault="007F5DE6" w:rsidP="007F5DE6">
      <w:pPr>
        <w:pStyle w:val="Default"/>
        <w:widowControl w:val="0"/>
        <w:jc w:val="center"/>
        <w:rPr>
          <w:b/>
          <w:bCs/>
          <w:color w:val="auto"/>
          <w:lang w:val="es-ES_tradnl" w:eastAsia="es-ES"/>
        </w:rPr>
      </w:pPr>
      <w:bookmarkStart w:id="1" w:name="_GoBack"/>
      <w:bookmarkEnd w:id="1"/>
      <w:r w:rsidRPr="001607D5">
        <w:rPr>
          <w:b/>
          <w:bCs/>
          <w:color w:val="auto"/>
          <w:lang w:val="es-ES_tradnl" w:eastAsia="es-ES"/>
        </w:rPr>
        <w:t>INDICADORES DE PRODUCTIVIDAD LABORAL Y DEL COSTO</w:t>
      </w:r>
    </w:p>
    <w:p w14:paraId="6757D64C" w14:textId="77777777" w:rsidR="007F5DE6" w:rsidRPr="001607D5" w:rsidRDefault="007F5DE6" w:rsidP="007F5DE6">
      <w:pPr>
        <w:pStyle w:val="Default"/>
        <w:widowControl w:val="0"/>
        <w:jc w:val="center"/>
        <w:rPr>
          <w:b/>
          <w:bCs/>
          <w:color w:val="auto"/>
          <w:lang w:val="es-ES_tradnl" w:eastAsia="es-ES"/>
        </w:rPr>
      </w:pPr>
      <w:r w:rsidRPr="001607D5">
        <w:rPr>
          <w:b/>
          <w:bCs/>
          <w:color w:val="auto"/>
          <w:lang w:val="es-ES_tradnl" w:eastAsia="es-ES"/>
        </w:rPr>
        <w:t xml:space="preserve"> UNITARIO DE LA MANO DE OBRA</w:t>
      </w:r>
    </w:p>
    <w:p w14:paraId="2FC4FFF2" w14:textId="77777777" w:rsidR="007F5DE6" w:rsidRPr="001607D5" w:rsidRDefault="007F5DE6" w:rsidP="007F5DE6">
      <w:pPr>
        <w:pStyle w:val="Default"/>
        <w:widowControl w:val="0"/>
        <w:spacing w:before="60"/>
        <w:jc w:val="center"/>
        <w:rPr>
          <w:b/>
          <w:bCs/>
          <w:color w:val="auto"/>
          <w:lang w:val="es-ES_tradnl" w:eastAsia="es-ES"/>
        </w:rPr>
      </w:pPr>
      <w:r w:rsidRPr="001607D5">
        <w:rPr>
          <w:b/>
          <w:bCs/>
          <w:color w:val="auto"/>
          <w:lang w:val="es-ES_tradnl" w:eastAsia="es-ES"/>
        </w:rPr>
        <w:t>CUARTO TRIMESTRE DE 2021</w:t>
      </w:r>
    </w:p>
    <w:p w14:paraId="339BB4B1" w14:textId="77777777" w:rsidR="007F5DE6" w:rsidRPr="006C6CF0" w:rsidRDefault="007F5DE6" w:rsidP="007F5DE6">
      <w:pPr>
        <w:widowControl w:val="0"/>
        <w:spacing w:before="120"/>
        <w:ind w:right="49"/>
      </w:pPr>
      <w:r w:rsidRPr="006C6CF0">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cuarto trimestre de 2021</w:t>
      </w:r>
      <w:r w:rsidRPr="006C6CF0">
        <w:rPr>
          <w:spacing w:val="6"/>
        </w:rPr>
        <w:t>.</w:t>
      </w:r>
    </w:p>
    <w:p w14:paraId="776FB29B" w14:textId="77777777" w:rsidR="007F5DE6" w:rsidRPr="006C6CF0" w:rsidRDefault="007F5DE6" w:rsidP="007F5DE6">
      <w:pPr>
        <w:widowControl w:val="0"/>
        <w:spacing w:before="120"/>
        <w:ind w:right="49"/>
        <w:rPr>
          <w:spacing w:val="-2"/>
        </w:rPr>
      </w:pPr>
      <w:r w:rsidRPr="006C6CF0">
        <w:t>En el trimestre octubre-diciembre de 2021 y con cifras ajustadas por estacionalidad</w:t>
      </w:r>
      <w:r w:rsidRPr="006C6CF0">
        <w:rPr>
          <w:vertAlign w:val="superscript"/>
        </w:rPr>
        <w:footnoteReference w:id="1"/>
      </w:r>
      <w:r w:rsidRPr="006C6CF0">
        <w:t xml:space="preserve">, el Índice Global de Productividad Laboral de la Economía (IGPLE) con base en horas trabajadas descendió 1.2% frente al trimestre previo. </w:t>
      </w:r>
    </w:p>
    <w:p w14:paraId="1323C904" w14:textId="77777777" w:rsidR="007F5DE6" w:rsidRPr="00E34826" w:rsidRDefault="007F5DE6" w:rsidP="007F5DE6">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5EE356B9" w14:textId="77777777" w:rsidR="007F5DE6" w:rsidRPr="00E34826" w:rsidRDefault="007F5DE6" w:rsidP="007F5DE6">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w:t>
      </w:r>
      <w:r>
        <w:rPr>
          <w:rFonts w:cs="Arial"/>
          <w:smallCaps/>
          <w:color w:val="auto"/>
          <w:spacing w:val="0"/>
          <w:sz w:val="20"/>
          <w:lang w:val="es-ES_tradnl"/>
        </w:rPr>
        <w:t>g</w:t>
      </w:r>
      <w:r w:rsidRPr="00E34826">
        <w:rPr>
          <w:rFonts w:cs="Arial"/>
          <w:smallCaps/>
          <w:color w:val="auto"/>
          <w:spacing w:val="0"/>
          <w:sz w:val="20"/>
          <w:lang w:val="es-ES_tradnl"/>
        </w:rPr>
        <w:t xml:space="preserve">rupos de </w:t>
      </w:r>
      <w:r>
        <w:rPr>
          <w:rFonts w:cs="Arial"/>
          <w:smallCaps/>
          <w:color w:val="auto"/>
          <w:spacing w:val="0"/>
          <w:sz w:val="20"/>
          <w:lang w:val="es-ES_tradnl"/>
        </w:rPr>
        <w:t>a</w:t>
      </w:r>
      <w:r w:rsidRPr="00E34826">
        <w:rPr>
          <w:rFonts w:cs="Arial"/>
          <w:smallCaps/>
          <w:color w:val="auto"/>
          <w:spacing w:val="0"/>
          <w:sz w:val="20"/>
          <w:lang w:val="es-ES_tradnl"/>
        </w:rPr>
        <w:t>ctividad</w:t>
      </w:r>
      <w:r>
        <w:rPr>
          <w:rFonts w:cs="Arial"/>
          <w:smallCaps/>
          <w:color w:val="auto"/>
          <w:spacing w:val="0"/>
          <w:sz w:val="20"/>
          <w:lang w:val="es-ES_tradnl"/>
        </w:rPr>
        <w:t xml:space="preserve"> en el cuarto trimestre de 2021</w:t>
      </w:r>
    </w:p>
    <w:p w14:paraId="5282E0DB" w14:textId="77777777" w:rsidR="007F5DE6" w:rsidRPr="00E34826" w:rsidRDefault="007F5DE6" w:rsidP="007F5DE6">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7F5DE6" w:rsidRPr="00E34826" w14:paraId="3AD6CB9F" w14:textId="77777777" w:rsidTr="006C6CF0">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1F90FBF" w14:textId="77777777" w:rsidR="007F5DE6" w:rsidRPr="00E34826" w:rsidRDefault="007F5DE6" w:rsidP="006C6CF0">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ADDD23A" w14:textId="77777777" w:rsidR="007F5DE6" w:rsidRPr="00E34826" w:rsidRDefault="007F5DE6" w:rsidP="006C6CF0">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7F5DE6" w:rsidRPr="00E34826" w14:paraId="419DBC6A" w14:textId="77777777" w:rsidTr="006C6CF0">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D4E675B" w14:textId="77777777" w:rsidR="007F5DE6" w:rsidRPr="00E34826" w:rsidRDefault="007F5DE6" w:rsidP="006C6CF0">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3DFEAAC" w14:textId="77777777" w:rsidR="007F5DE6" w:rsidRPr="00E34826" w:rsidRDefault="007F5DE6" w:rsidP="006C6CF0">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03A8F71" w14:textId="77777777" w:rsidR="007F5DE6" w:rsidRPr="00E34826" w:rsidRDefault="007F5DE6" w:rsidP="006C6CF0">
            <w:pPr>
              <w:widowControl w:val="0"/>
              <w:spacing w:before="40" w:after="40"/>
              <w:jc w:val="center"/>
              <w:rPr>
                <w:sz w:val="18"/>
                <w:szCs w:val="18"/>
              </w:rPr>
            </w:pPr>
            <w:r w:rsidRPr="00E34826">
              <w:rPr>
                <w:sz w:val="18"/>
                <w:szCs w:val="18"/>
              </w:rPr>
              <w:t>Mismo trimestre de</w:t>
            </w:r>
            <w:r>
              <w:rPr>
                <w:sz w:val="18"/>
                <w:szCs w:val="18"/>
              </w:rPr>
              <w:t>l año anterior</w:t>
            </w:r>
          </w:p>
        </w:tc>
      </w:tr>
      <w:tr w:rsidR="007F5DE6" w:rsidRPr="00E34826" w14:paraId="25995380" w14:textId="77777777" w:rsidTr="006C6CF0">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5B520A98"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756D4C1F" w14:textId="77777777" w:rsidR="007F5DE6" w:rsidRPr="00CA09F2" w:rsidRDefault="007F5DE6" w:rsidP="006C6CF0">
            <w:pPr>
              <w:tabs>
                <w:tab w:val="decimal" w:pos="944"/>
              </w:tabs>
              <w:jc w:val="left"/>
              <w:rPr>
                <w:b/>
                <w:bCs/>
                <w:color w:val="000000"/>
                <w:sz w:val="18"/>
                <w:szCs w:val="18"/>
                <w:lang w:val="es-MX" w:eastAsia="es-MX"/>
              </w:rPr>
            </w:pPr>
            <w:r>
              <w:rPr>
                <w:b/>
                <w:bCs/>
                <w:color w:val="000000"/>
                <w:sz w:val="18"/>
                <w:szCs w:val="18"/>
              </w:rPr>
              <w:t>-1.2</w:t>
            </w:r>
          </w:p>
        </w:tc>
        <w:tc>
          <w:tcPr>
            <w:tcW w:w="1871" w:type="dxa"/>
            <w:tcBorders>
              <w:top w:val="single" w:sz="6" w:space="0" w:color="948A54" w:themeColor="background2" w:themeShade="80"/>
            </w:tcBorders>
            <w:vAlign w:val="center"/>
          </w:tcPr>
          <w:p w14:paraId="7D0E3878" w14:textId="77777777" w:rsidR="007F5DE6" w:rsidRPr="00CA09F2" w:rsidRDefault="007F5DE6" w:rsidP="006C6CF0">
            <w:pPr>
              <w:tabs>
                <w:tab w:val="decimal" w:pos="844"/>
              </w:tabs>
              <w:jc w:val="left"/>
              <w:rPr>
                <w:b/>
                <w:bCs/>
                <w:color w:val="000000"/>
                <w:sz w:val="18"/>
                <w:szCs w:val="18"/>
              </w:rPr>
            </w:pPr>
            <w:r>
              <w:rPr>
                <w:b/>
                <w:bCs/>
                <w:color w:val="000000"/>
                <w:sz w:val="18"/>
                <w:szCs w:val="18"/>
              </w:rPr>
              <w:t>-6.4</w:t>
            </w:r>
          </w:p>
        </w:tc>
      </w:tr>
      <w:tr w:rsidR="007F5DE6" w:rsidRPr="00E34826" w14:paraId="6B81BEF8" w14:textId="77777777" w:rsidTr="006C6CF0">
        <w:trPr>
          <w:cantSplit/>
          <w:trHeight w:val="284"/>
          <w:jc w:val="center"/>
        </w:trPr>
        <w:tc>
          <w:tcPr>
            <w:tcW w:w="3629" w:type="dxa"/>
            <w:tcBorders>
              <w:top w:val="nil"/>
              <w:bottom w:val="nil"/>
              <w:right w:val="single" w:sz="6" w:space="0" w:color="948A54" w:themeColor="background2" w:themeShade="80"/>
            </w:tcBorders>
            <w:vAlign w:val="center"/>
          </w:tcPr>
          <w:p w14:paraId="06250B61"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56322C5A" w14:textId="77777777" w:rsidR="007F5DE6" w:rsidRPr="00CA09F2" w:rsidRDefault="007F5DE6" w:rsidP="006C6CF0">
            <w:pPr>
              <w:tabs>
                <w:tab w:val="decimal" w:pos="944"/>
              </w:tabs>
              <w:jc w:val="left"/>
              <w:rPr>
                <w:color w:val="000000"/>
                <w:sz w:val="18"/>
                <w:szCs w:val="18"/>
              </w:rPr>
            </w:pPr>
            <w:r>
              <w:rPr>
                <w:color w:val="000000"/>
                <w:sz w:val="18"/>
                <w:szCs w:val="18"/>
              </w:rPr>
              <w:t>1.3</w:t>
            </w:r>
          </w:p>
        </w:tc>
        <w:tc>
          <w:tcPr>
            <w:tcW w:w="1871" w:type="dxa"/>
            <w:vAlign w:val="center"/>
          </w:tcPr>
          <w:p w14:paraId="5DDC67AA" w14:textId="77777777" w:rsidR="007F5DE6" w:rsidRPr="00CA09F2" w:rsidRDefault="007F5DE6" w:rsidP="006C6CF0">
            <w:pPr>
              <w:tabs>
                <w:tab w:val="decimal" w:pos="844"/>
              </w:tabs>
              <w:jc w:val="left"/>
              <w:rPr>
                <w:color w:val="000000"/>
                <w:sz w:val="18"/>
                <w:szCs w:val="18"/>
              </w:rPr>
            </w:pPr>
            <w:r>
              <w:rPr>
                <w:color w:val="000000"/>
                <w:sz w:val="18"/>
                <w:szCs w:val="18"/>
              </w:rPr>
              <w:t>1.9</w:t>
            </w:r>
          </w:p>
        </w:tc>
      </w:tr>
      <w:tr w:rsidR="007F5DE6" w:rsidRPr="00E34826" w14:paraId="1FFDF737" w14:textId="77777777" w:rsidTr="006C6CF0">
        <w:trPr>
          <w:cantSplit/>
          <w:trHeight w:val="284"/>
          <w:jc w:val="center"/>
        </w:trPr>
        <w:tc>
          <w:tcPr>
            <w:tcW w:w="3629" w:type="dxa"/>
            <w:tcBorders>
              <w:top w:val="nil"/>
              <w:bottom w:val="nil"/>
              <w:right w:val="single" w:sz="6" w:space="0" w:color="948A54" w:themeColor="background2" w:themeShade="80"/>
            </w:tcBorders>
            <w:vAlign w:val="center"/>
          </w:tcPr>
          <w:p w14:paraId="6B88249B"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60F13988" w14:textId="77777777" w:rsidR="007F5DE6" w:rsidRPr="00CA09F2" w:rsidRDefault="007F5DE6" w:rsidP="006C6CF0">
            <w:pPr>
              <w:tabs>
                <w:tab w:val="decimal" w:pos="944"/>
              </w:tabs>
              <w:jc w:val="left"/>
              <w:rPr>
                <w:color w:val="000000"/>
                <w:sz w:val="18"/>
                <w:szCs w:val="18"/>
              </w:rPr>
            </w:pPr>
            <w:r>
              <w:rPr>
                <w:color w:val="000000"/>
                <w:sz w:val="18"/>
                <w:szCs w:val="18"/>
              </w:rPr>
              <w:t>-0.3</w:t>
            </w:r>
          </w:p>
        </w:tc>
        <w:tc>
          <w:tcPr>
            <w:tcW w:w="1871" w:type="dxa"/>
            <w:tcBorders>
              <w:bottom w:val="nil"/>
            </w:tcBorders>
            <w:vAlign w:val="center"/>
          </w:tcPr>
          <w:p w14:paraId="2138ED8D" w14:textId="77777777" w:rsidR="007F5DE6" w:rsidRPr="00CA09F2" w:rsidRDefault="007F5DE6" w:rsidP="006C6CF0">
            <w:pPr>
              <w:tabs>
                <w:tab w:val="decimal" w:pos="844"/>
              </w:tabs>
              <w:jc w:val="left"/>
              <w:rPr>
                <w:color w:val="000000"/>
                <w:sz w:val="18"/>
                <w:szCs w:val="18"/>
              </w:rPr>
            </w:pPr>
            <w:r>
              <w:rPr>
                <w:color w:val="000000"/>
                <w:sz w:val="18"/>
                <w:szCs w:val="18"/>
              </w:rPr>
              <w:t>-5.0</w:t>
            </w:r>
          </w:p>
        </w:tc>
      </w:tr>
      <w:tr w:rsidR="007F5DE6" w:rsidRPr="00E34826" w14:paraId="0AF13AC7" w14:textId="77777777" w:rsidTr="006C6CF0">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D01CD46"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792CDD87" w14:textId="77777777" w:rsidR="007F5DE6" w:rsidRPr="00CA09F2" w:rsidRDefault="007F5DE6" w:rsidP="006C6CF0">
            <w:pPr>
              <w:tabs>
                <w:tab w:val="decimal" w:pos="944"/>
              </w:tabs>
              <w:jc w:val="left"/>
              <w:rPr>
                <w:color w:val="000000"/>
                <w:sz w:val="18"/>
                <w:szCs w:val="18"/>
              </w:rPr>
            </w:pPr>
            <w:r>
              <w:rPr>
                <w:color w:val="000000"/>
                <w:sz w:val="18"/>
                <w:szCs w:val="18"/>
              </w:rPr>
              <w:t>-1.9</w:t>
            </w:r>
          </w:p>
        </w:tc>
        <w:tc>
          <w:tcPr>
            <w:tcW w:w="1871" w:type="dxa"/>
            <w:tcBorders>
              <w:top w:val="nil"/>
              <w:bottom w:val="single" w:sz="8" w:space="0" w:color="948A54" w:themeColor="background2" w:themeShade="80"/>
            </w:tcBorders>
            <w:vAlign w:val="center"/>
          </w:tcPr>
          <w:p w14:paraId="493B81D9" w14:textId="77777777" w:rsidR="007F5DE6" w:rsidRPr="00CA09F2" w:rsidRDefault="007F5DE6" w:rsidP="006C6CF0">
            <w:pPr>
              <w:tabs>
                <w:tab w:val="decimal" w:pos="844"/>
              </w:tabs>
              <w:jc w:val="left"/>
              <w:rPr>
                <w:color w:val="000000"/>
                <w:sz w:val="18"/>
                <w:szCs w:val="18"/>
              </w:rPr>
            </w:pPr>
            <w:r>
              <w:rPr>
                <w:color w:val="000000"/>
                <w:sz w:val="18"/>
                <w:szCs w:val="18"/>
              </w:rPr>
              <w:t>-8.0</w:t>
            </w:r>
          </w:p>
        </w:tc>
      </w:tr>
    </w:tbl>
    <w:p w14:paraId="636888B5" w14:textId="77777777" w:rsidR="007F5DE6" w:rsidRPr="00E34826" w:rsidRDefault="007F5DE6" w:rsidP="007F5DE6">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C516C3C" w14:textId="77777777" w:rsidR="007F5DE6" w:rsidRDefault="007F5DE6" w:rsidP="007F5DE6">
      <w:pPr>
        <w:pStyle w:val="Titcuadrograf"/>
        <w:ind w:left="0"/>
        <w:rPr>
          <w:sz w:val="22"/>
          <w:szCs w:val="22"/>
        </w:rPr>
      </w:pPr>
    </w:p>
    <w:bookmarkEnd w:id="0"/>
    <w:p w14:paraId="1AB20387" w14:textId="77777777" w:rsidR="007F5DE6" w:rsidRDefault="007F5DE6" w:rsidP="007F5DE6">
      <w:pPr>
        <w:jc w:val="left"/>
        <w:rPr>
          <w:snapToGrid w:val="0"/>
          <w:spacing w:val="6"/>
        </w:rPr>
      </w:pPr>
    </w:p>
    <w:p w14:paraId="3A3E21B1" w14:textId="77777777" w:rsidR="007F5DE6" w:rsidRPr="009C3BC3" w:rsidRDefault="007F5DE6" w:rsidP="007F5DE6">
      <w:pPr>
        <w:widowControl w:val="0"/>
        <w:spacing w:before="240"/>
        <w:ind w:right="49"/>
        <w:rPr>
          <w:spacing w:val="-4"/>
        </w:rPr>
      </w:pPr>
      <w:r w:rsidRPr="009C3BC3">
        <w:rPr>
          <w:spacing w:val="-2"/>
        </w:rPr>
        <w:t>Por grupos de actividad económica, la Productividad Laboral en las actividades primarias creció 1.3%, en las actividades terciarias cayó</w:t>
      </w:r>
      <w:r w:rsidRPr="009C3BC3">
        <w:rPr>
          <w:spacing w:val="-4"/>
        </w:rPr>
        <w:t xml:space="preserve"> 1.9% y en las secundarias disminuyó 0.3% en el mismo lapso.</w:t>
      </w:r>
    </w:p>
    <w:p w14:paraId="7C9F605C" w14:textId="77777777" w:rsidR="007F5DE6" w:rsidRDefault="007F5DE6" w:rsidP="007F5DE6">
      <w:pPr>
        <w:spacing w:before="120"/>
        <w:ind w:right="49"/>
        <w:rPr>
          <w:snapToGrid w:val="0"/>
          <w:spacing w:val="6"/>
        </w:rPr>
      </w:pPr>
    </w:p>
    <w:p w14:paraId="09409A31" w14:textId="77777777" w:rsidR="007F5DE6" w:rsidRPr="0031763B" w:rsidRDefault="007F5DE6" w:rsidP="007F5DE6">
      <w:pPr>
        <w:spacing w:before="120"/>
        <w:ind w:right="49"/>
        <w:rPr>
          <w:snapToGrid w:val="0"/>
          <w:spacing w:val="6"/>
        </w:rPr>
      </w:pPr>
    </w:p>
    <w:p w14:paraId="0E680B84" w14:textId="77777777" w:rsidR="007F5DE6" w:rsidRDefault="007F5DE6" w:rsidP="007F5DE6">
      <w:pPr>
        <w:spacing w:before="240"/>
        <w:ind w:right="49"/>
        <w:rPr>
          <w:snapToGrid w:val="0"/>
          <w:spacing w:val="6"/>
        </w:rPr>
      </w:pPr>
    </w:p>
    <w:p w14:paraId="488E85E5" w14:textId="77777777" w:rsidR="007F5DE6" w:rsidRDefault="007F5DE6" w:rsidP="007F5DE6">
      <w:pPr>
        <w:widowControl w:val="0"/>
        <w:spacing w:before="120"/>
        <w:ind w:right="49"/>
        <w:rPr>
          <w:b/>
        </w:rPr>
      </w:pPr>
    </w:p>
    <w:p w14:paraId="1EB36BD9" w14:textId="77777777" w:rsidR="007F5DE6" w:rsidRPr="001607D5" w:rsidRDefault="007F5DE6" w:rsidP="007F5DE6">
      <w:pPr>
        <w:widowControl w:val="0"/>
        <w:spacing w:before="120"/>
        <w:ind w:right="49"/>
      </w:pPr>
      <w:r w:rsidRPr="001607D5">
        <w:lastRenderedPageBreak/>
        <w:t>Por sector de actividad y con series desestacionalizadas, durante el cuarto trimestre de 2021 la Productividad Laboral con base en las horas trabajadas en los establecimientos manufactureros tuvo un avance trimestral de 2%, en las empresas constructoras de 0.2%, en las empresas de servicios privados no financieros</w:t>
      </w:r>
      <w:r w:rsidRPr="001607D5">
        <w:rPr>
          <w:rStyle w:val="Refdenotaalpie"/>
        </w:rPr>
        <w:footnoteReference w:id="2"/>
      </w:r>
      <w:r w:rsidRPr="001607D5">
        <w:t xml:space="preserve"> de 4.6% y en las de comercio al por menor aumentó 1.1%. Por su parte, en las empresas de comercio al por mayor no presentó variación en el trimestre en cuestión.</w:t>
      </w:r>
      <w:r w:rsidRPr="001607D5">
        <w:rPr>
          <w:noProof/>
          <w:lang w:val="es-MX" w:eastAsia="es-MX"/>
        </w:rPr>
        <w:t xml:space="preserve"> </w:t>
      </w:r>
    </w:p>
    <w:p w14:paraId="643D2C83" w14:textId="77777777" w:rsidR="007F5DE6" w:rsidRPr="00E34826" w:rsidRDefault="007F5DE6" w:rsidP="007F5DE6">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19E17EC6" w14:textId="77777777" w:rsidR="007F5DE6" w:rsidRDefault="007F5DE6" w:rsidP="007F5DE6">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w:t>
      </w:r>
      <w:r>
        <w:rPr>
          <w:rFonts w:cs="Arial"/>
          <w:smallCaps/>
          <w:color w:val="auto"/>
          <w:spacing w:val="0"/>
          <w:sz w:val="20"/>
          <w:lang w:val="es-ES_tradnl"/>
        </w:rPr>
        <w:t>s</w:t>
      </w:r>
      <w:r w:rsidRPr="00E34826">
        <w:rPr>
          <w:rFonts w:cs="Arial"/>
          <w:smallCaps/>
          <w:color w:val="auto"/>
          <w:spacing w:val="0"/>
          <w:sz w:val="20"/>
          <w:lang w:val="es-ES_tradnl"/>
        </w:rPr>
        <w:t xml:space="preserve">ector </w:t>
      </w:r>
      <w:r w:rsidRPr="00E34826">
        <w:rPr>
          <w:rFonts w:cs="Arial"/>
          <w:smallCaps/>
          <w:color w:val="auto"/>
          <w:spacing w:val="0"/>
          <w:sz w:val="20"/>
          <w:lang w:val="es-ES_tradnl"/>
        </w:rPr>
        <w:br/>
      </w:r>
      <w:r>
        <w:rPr>
          <w:rFonts w:cs="Arial"/>
          <w:smallCaps/>
          <w:color w:val="auto"/>
          <w:spacing w:val="0"/>
          <w:sz w:val="20"/>
          <w:lang w:val="es-ES_tradnl"/>
        </w:rPr>
        <w:t>cuarto trimestre de 2021</w:t>
      </w:r>
    </w:p>
    <w:p w14:paraId="7AC93BF5" w14:textId="77777777" w:rsidR="007F5DE6" w:rsidRPr="00E34826" w:rsidRDefault="007F5DE6" w:rsidP="007F5DE6">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7F5DE6" w:rsidRPr="00E34826" w14:paraId="76C96388" w14:textId="77777777" w:rsidTr="006C6CF0">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50E1187" w14:textId="77777777" w:rsidR="007F5DE6" w:rsidRPr="00E34826" w:rsidRDefault="007F5DE6" w:rsidP="006C6CF0">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7C334B2" w14:textId="77777777" w:rsidR="007F5DE6" w:rsidRPr="00E34826" w:rsidRDefault="007F5DE6" w:rsidP="006C6CF0">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7F5DE6" w:rsidRPr="00E34826" w14:paraId="53165596" w14:textId="77777777" w:rsidTr="006C6CF0">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6FC5490" w14:textId="77777777" w:rsidR="007F5DE6" w:rsidRPr="00E34826" w:rsidRDefault="007F5DE6" w:rsidP="006C6CF0">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944F167" w14:textId="77777777" w:rsidR="007F5DE6" w:rsidRPr="00E34826" w:rsidRDefault="007F5DE6" w:rsidP="006C6CF0">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4EDD523" w14:textId="77777777" w:rsidR="007F5DE6" w:rsidRPr="00E34826" w:rsidRDefault="007F5DE6" w:rsidP="006C6CF0">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7F5DE6" w:rsidRPr="00E34826" w14:paraId="5BC1DC82" w14:textId="77777777" w:rsidTr="006C6CF0">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1ADE4C56" w14:textId="77777777" w:rsidR="007F5DE6" w:rsidRPr="00E34826" w:rsidRDefault="007F5DE6" w:rsidP="006C6CF0">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5D2347D9" w14:textId="77777777" w:rsidR="007F5DE6" w:rsidRPr="00484688" w:rsidRDefault="007F5DE6" w:rsidP="006C6CF0">
            <w:pPr>
              <w:tabs>
                <w:tab w:val="decimal" w:pos="967"/>
              </w:tabs>
              <w:jc w:val="left"/>
              <w:rPr>
                <w:color w:val="000000"/>
                <w:sz w:val="18"/>
                <w:szCs w:val="18"/>
              </w:rPr>
            </w:pPr>
            <w:r>
              <w:rPr>
                <w:color w:val="000000"/>
                <w:sz w:val="18"/>
                <w:szCs w:val="18"/>
              </w:rPr>
              <w:t>0.2</w:t>
            </w:r>
          </w:p>
        </w:tc>
        <w:tc>
          <w:tcPr>
            <w:tcW w:w="1871" w:type="dxa"/>
            <w:tcBorders>
              <w:top w:val="single" w:sz="6" w:space="0" w:color="948A54" w:themeColor="background2" w:themeShade="80"/>
            </w:tcBorders>
            <w:vAlign w:val="center"/>
          </w:tcPr>
          <w:p w14:paraId="2D882A0C" w14:textId="77777777" w:rsidR="007F5DE6" w:rsidRPr="00091E29" w:rsidRDefault="007F5DE6" w:rsidP="006C6CF0">
            <w:pPr>
              <w:tabs>
                <w:tab w:val="decimal" w:pos="967"/>
              </w:tabs>
              <w:jc w:val="left"/>
              <w:rPr>
                <w:color w:val="000000"/>
                <w:sz w:val="18"/>
                <w:szCs w:val="18"/>
              </w:rPr>
            </w:pPr>
            <w:r>
              <w:rPr>
                <w:color w:val="000000"/>
                <w:sz w:val="18"/>
                <w:szCs w:val="18"/>
              </w:rPr>
              <w:t>1.2</w:t>
            </w:r>
          </w:p>
        </w:tc>
      </w:tr>
      <w:tr w:rsidR="007F5DE6" w:rsidRPr="00E34826" w14:paraId="6BEC27C5" w14:textId="77777777" w:rsidTr="006C6CF0">
        <w:trPr>
          <w:cantSplit/>
          <w:trHeight w:val="284"/>
          <w:jc w:val="center"/>
        </w:trPr>
        <w:tc>
          <w:tcPr>
            <w:tcW w:w="3639" w:type="dxa"/>
            <w:tcBorders>
              <w:top w:val="nil"/>
              <w:bottom w:val="nil"/>
              <w:right w:val="single" w:sz="6" w:space="0" w:color="948A54" w:themeColor="background2" w:themeShade="80"/>
            </w:tcBorders>
            <w:vAlign w:val="center"/>
          </w:tcPr>
          <w:p w14:paraId="37355260" w14:textId="77777777" w:rsidR="007F5DE6" w:rsidRPr="00E34826" w:rsidRDefault="007F5DE6" w:rsidP="006C6CF0">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13A5FCFA" w14:textId="77777777" w:rsidR="007F5DE6" w:rsidRPr="00484688" w:rsidRDefault="007F5DE6" w:rsidP="006C6CF0">
            <w:pPr>
              <w:tabs>
                <w:tab w:val="decimal" w:pos="967"/>
              </w:tabs>
              <w:jc w:val="left"/>
              <w:rPr>
                <w:color w:val="000000"/>
                <w:sz w:val="18"/>
                <w:szCs w:val="18"/>
              </w:rPr>
            </w:pPr>
            <w:r>
              <w:rPr>
                <w:color w:val="000000"/>
                <w:sz w:val="18"/>
                <w:szCs w:val="18"/>
              </w:rPr>
              <w:t>2.0</w:t>
            </w:r>
          </w:p>
        </w:tc>
        <w:tc>
          <w:tcPr>
            <w:tcW w:w="1871" w:type="dxa"/>
            <w:vAlign w:val="center"/>
          </w:tcPr>
          <w:p w14:paraId="61E6BCF7" w14:textId="77777777" w:rsidR="007F5DE6" w:rsidRPr="00091E29" w:rsidRDefault="007F5DE6" w:rsidP="006C6CF0">
            <w:pPr>
              <w:tabs>
                <w:tab w:val="decimal" w:pos="967"/>
              </w:tabs>
              <w:jc w:val="left"/>
              <w:rPr>
                <w:color w:val="000000"/>
                <w:sz w:val="18"/>
                <w:szCs w:val="18"/>
              </w:rPr>
            </w:pPr>
            <w:r>
              <w:rPr>
                <w:color w:val="000000"/>
                <w:sz w:val="18"/>
                <w:szCs w:val="18"/>
              </w:rPr>
              <w:t>-0.2</w:t>
            </w:r>
          </w:p>
        </w:tc>
      </w:tr>
      <w:tr w:rsidR="007F5DE6" w:rsidRPr="00E34826" w14:paraId="29949FF8" w14:textId="77777777" w:rsidTr="006C6CF0">
        <w:trPr>
          <w:cantSplit/>
          <w:trHeight w:val="284"/>
          <w:jc w:val="center"/>
        </w:trPr>
        <w:tc>
          <w:tcPr>
            <w:tcW w:w="3639" w:type="dxa"/>
            <w:tcBorders>
              <w:top w:val="nil"/>
              <w:bottom w:val="nil"/>
              <w:right w:val="single" w:sz="6" w:space="0" w:color="948A54" w:themeColor="background2" w:themeShade="80"/>
            </w:tcBorders>
            <w:vAlign w:val="center"/>
          </w:tcPr>
          <w:p w14:paraId="5DBE9AD0" w14:textId="77777777" w:rsidR="007F5DE6" w:rsidRPr="002036A5"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74460D47" w14:textId="77777777" w:rsidR="007F5DE6" w:rsidRPr="00484688" w:rsidRDefault="007F5DE6" w:rsidP="006C6CF0">
            <w:pPr>
              <w:tabs>
                <w:tab w:val="decimal" w:pos="967"/>
              </w:tabs>
              <w:jc w:val="left"/>
              <w:rPr>
                <w:color w:val="000000"/>
                <w:sz w:val="18"/>
                <w:szCs w:val="18"/>
              </w:rPr>
            </w:pPr>
            <w:r>
              <w:rPr>
                <w:color w:val="000000"/>
                <w:sz w:val="18"/>
                <w:szCs w:val="18"/>
              </w:rPr>
              <w:t>0.0</w:t>
            </w:r>
          </w:p>
        </w:tc>
        <w:tc>
          <w:tcPr>
            <w:tcW w:w="1871" w:type="dxa"/>
            <w:shd w:val="clear" w:color="auto" w:fill="auto"/>
            <w:vAlign w:val="center"/>
          </w:tcPr>
          <w:p w14:paraId="3E785654" w14:textId="77777777" w:rsidR="007F5DE6" w:rsidRPr="00091E29" w:rsidRDefault="007F5DE6" w:rsidP="006C6CF0">
            <w:pPr>
              <w:tabs>
                <w:tab w:val="decimal" w:pos="967"/>
              </w:tabs>
              <w:jc w:val="left"/>
              <w:rPr>
                <w:color w:val="000000"/>
                <w:sz w:val="18"/>
                <w:szCs w:val="18"/>
              </w:rPr>
            </w:pPr>
            <w:r>
              <w:rPr>
                <w:color w:val="000000"/>
                <w:sz w:val="18"/>
                <w:szCs w:val="18"/>
              </w:rPr>
              <w:t>7.3</w:t>
            </w:r>
          </w:p>
        </w:tc>
      </w:tr>
      <w:tr w:rsidR="007F5DE6" w:rsidRPr="00E34826" w14:paraId="6D1BBD24" w14:textId="77777777" w:rsidTr="006C6CF0">
        <w:trPr>
          <w:cantSplit/>
          <w:trHeight w:val="284"/>
          <w:jc w:val="center"/>
        </w:trPr>
        <w:tc>
          <w:tcPr>
            <w:tcW w:w="3639" w:type="dxa"/>
            <w:tcBorders>
              <w:top w:val="nil"/>
              <w:bottom w:val="nil"/>
              <w:right w:val="single" w:sz="6" w:space="0" w:color="948A54" w:themeColor="background2" w:themeShade="80"/>
            </w:tcBorders>
            <w:vAlign w:val="center"/>
          </w:tcPr>
          <w:p w14:paraId="45C9C390" w14:textId="77777777" w:rsidR="007F5DE6" w:rsidRPr="002036A5"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68603650" w14:textId="77777777" w:rsidR="007F5DE6" w:rsidRPr="00484688" w:rsidRDefault="007F5DE6" w:rsidP="006C6CF0">
            <w:pPr>
              <w:tabs>
                <w:tab w:val="decimal" w:pos="967"/>
              </w:tabs>
              <w:jc w:val="left"/>
              <w:rPr>
                <w:color w:val="000000"/>
                <w:sz w:val="18"/>
                <w:szCs w:val="18"/>
              </w:rPr>
            </w:pPr>
            <w:r>
              <w:rPr>
                <w:color w:val="000000"/>
                <w:sz w:val="18"/>
                <w:szCs w:val="18"/>
              </w:rPr>
              <w:t>1.1</w:t>
            </w:r>
          </w:p>
        </w:tc>
        <w:tc>
          <w:tcPr>
            <w:tcW w:w="1871" w:type="dxa"/>
            <w:shd w:val="clear" w:color="auto" w:fill="auto"/>
            <w:vAlign w:val="center"/>
          </w:tcPr>
          <w:p w14:paraId="4E109472" w14:textId="77777777" w:rsidR="007F5DE6" w:rsidRPr="00091E29" w:rsidRDefault="007F5DE6" w:rsidP="006C6CF0">
            <w:pPr>
              <w:tabs>
                <w:tab w:val="decimal" w:pos="967"/>
              </w:tabs>
              <w:jc w:val="left"/>
              <w:rPr>
                <w:color w:val="000000"/>
                <w:sz w:val="18"/>
                <w:szCs w:val="18"/>
              </w:rPr>
            </w:pPr>
            <w:r>
              <w:rPr>
                <w:color w:val="000000"/>
                <w:sz w:val="18"/>
                <w:szCs w:val="18"/>
              </w:rPr>
              <w:t>5.5</w:t>
            </w:r>
          </w:p>
        </w:tc>
      </w:tr>
      <w:tr w:rsidR="007F5DE6" w:rsidRPr="00E34826" w14:paraId="412CAE41" w14:textId="77777777" w:rsidTr="006C6CF0">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5C340536"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52B8E1A0" w14:textId="77777777" w:rsidR="007F5DE6" w:rsidRPr="00484688" w:rsidRDefault="007F5DE6" w:rsidP="006C6CF0">
            <w:pPr>
              <w:tabs>
                <w:tab w:val="decimal" w:pos="967"/>
              </w:tabs>
              <w:jc w:val="left"/>
              <w:rPr>
                <w:color w:val="000000"/>
                <w:sz w:val="18"/>
                <w:szCs w:val="18"/>
              </w:rPr>
            </w:pPr>
            <w:r>
              <w:rPr>
                <w:color w:val="000000"/>
                <w:sz w:val="18"/>
                <w:szCs w:val="18"/>
              </w:rPr>
              <w:t>4.6</w:t>
            </w:r>
          </w:p>
        </w:tc>
        <w:tc>
          <w:tcPr>
            <w:tcW w:w="1871" w:type="dxa"/>
            <w:tcBorders>
              <w:bottom w:val="single" w:sz="8" w:space="0" w:color="948A54" w:themeColor="background2" w:themeShade="80"/>
            </w:tcBorders>
            <w:vAlign w:val="center"/>
          </w:tcPr>
          <w:p w14:paraId="19B49E61" w14:textId="77777777" w:rsidR="007F5DE6" w:rsidRPr="00091E29" w:rsidRDefault="007F5DE6" w:rsidP="006C6CF0">
            <w:pPr>
              <w:tabs>
                <w:tab w:val="decimal" w:pos="967"/>
              </w:tabs>
              <w:jc w:val="left"/>
              <w:rPr>
                <w:color w:val="000000"/>
                <w:sz w:val="18"/>
                <w:szCs w:val="18"/>
              </w:rPr>
            </w:pPr>
            <w:r>
              <w:rPr>
                <w:color w:val="000000"/>
                <w:sz w:val="18"/>
                <w:szCs w:val="18"/>
              </w:rPr>
              <w:t>19.7</w:t>
            </w:r>
          </w:p>
        </w:tc>
      </w:tr>
    </w:tbl>
    <w:p w14:paraId="6A25C43C" w14:textId="77777777" w:rsidR="007F5DE6" w:rsidRPr="00E34826" w:rsidRDefault="007F5DE6" w:rsidP="007F5DE6">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45E61CB8" w14:textId="77777777" w:rsidR="007F5DE6" w:rsidRDefault="007F5DE6" w:rsidP="007F5DE6">
      <w:pPr>
        <w:widowControl w:val="0"/>
        <w:ind w:left="-426" w:right="-547"/>
      </w:pPr>
    </w:p>
    <w:p w14:paraId="27E8A067" w14:textId="77777777" w:rsidR="007F5DE6" w:rsidRPr="001607D5" w:rsidRDefault="007F5DE6" w:rsidP="007F5DE6">
      <w:pPr>
        <w:widowControl w:val="0"/>
        <w:spacing w:before="120" w:after="120"/>
        <w:ind w:right="49"/>
      </w:pPr>
      <w:r w:rsidRPr="001607D5">
        <w:t>En el trimestre octubre-diciembre de 2021 y con respecto al trimestre julio</w:t>
      </w:r>
      <w:r w:rsidRPr="001607D5">
        <w:noBreakHyphen/>
        <w:t>septiembre, el Costo Unitario de la Mano de Obra por hora trabajada en las empresas constructoras disminuyó 2.3% y en los establecimientos manufactureros 1.4%. Con base en el personal ocupado total, el Costo Unitario de la Mano de Obra en las empresas de servicios privados no financieros retrocedió 9.4%, en las de comercio al mayoreo 1.9% y en las dedicadas al menudeo decreció 0.9% con datos ajustados por estacionalidad.</w:t>
      </w:r>
      <w:r w:rsidRPr="001607D5">
        <w:rPr>
          <w:noProof/>
          <w:lang w:val="es-MX" w:eastAsia="es-MX"/>
        </w:rPr>
        <w:t xml:space="preserve"> </w:t>
      </w:r>
    </w:p>
    <w:p w14:paraId="225E55ED" w14:textId="77777777" w:rsidR="007F5DE6" w:rsidRPr="00E34826" w:rsidRDefault="007F5DE6" w:rsidP="007F5DE6">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18133C04" w14:textId="77777777" w:rsidR="007F5DE6" w:rsidRDefault="007F5DE6" w:rsidP="007F5DE6">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w:t>
      </w:r>
      <w:r>
        <w:rPr>
          <w:rFonts w:cs="Arial"/>
          <w:smallCaps/>
          <w:color w:val="auto"/>
          <w:spacing w:val="0"/>
          <w:sz w:val="20"/>
          <w:lang w:val="es-ES_tradnl"/>
        </w:rPr>
        <w:t>s</w:t>
      </w:r>
      <w:r w:rsidRPr="00E34826">
        <w:rPr>
          <w:rFonts w:cs="Arial"/>
          <w:smallCaps/>
          <w:color w:val="auto"/>
          <w:spacing w:val="0"/>
          <w:sz w:val="20"/>
          <w:lang w:val="es-ES_tradnl"/>
        </w:rPr>
        <w:t xml:space="preserve">ector </w:t>
      </w:r>
      <w:r>
        <w:rPr>
          <w:rFonts w:cs="Arial"/>
          <w:smallCaps/>
          <w:color w:val="auto"/>
          <w:spacing w:val="0"/>
          <w:sz w:val="20"/>
          <w:lang w:val="es-ES_tradnl"/>
        </w:rPr>
        <w:br/>
        <w:t>cuarto trimestre de 2021</w:t>
      </w:r>
    </w:p>
    <w:p w14:paraId="34F233E7" w14:textId="77777777" w:rsidR="007F5DE6" w:rsidRPr="00E34826" w:rsidRDefault="007F5DE6" w:rsidP="007F5DE6">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7F5DE6" w:rsidRPr="00E34826" w14:paraId="59DC713E" w14:textId="77777777" w:rsidTr="006C6CF0">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ABE0593" w14:textId="77777777" w:rsidR="007F5DE6" w:rsidRPr="00E34826" w:rsidRDefault="007F5DE6" w:rsidP="006C6CF0">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E8BE60" w14:textId="77777777" w:rsidR="007F5DE6" w:rsidRPr="00E34826" w:rsidRDefault="007F5DE6" w:rsidP="006C6CF0">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7F5DE6" w:rsidRPr="00E34826" w14:paraId="0A8E96FE" w14:textId="77777777" w:rsidTr="006C6CF0">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8F147D6" w14:textId="77777777" w:rsidR="007F5DE6" w:rsidRPr="00E34826" w:rsidRDefault="007F5DE6" w:rsidP="006C6CF0">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B5DE7A8" w14:textId="77777777" w:rsidR="007F5DE6" w:rsidRPr="00E34826" w:rsidRDefault="007F5DE6" w:rsidP="006C6CF0">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C8D0F3E" w14:textId="77777777" w:rsidR="007F5DE6" w:rsidRPr="00E34826" w:rsidRDefault="007F5DE6" w:rsidP="006C6CF0">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7F5DE6" w:rsidRPr="00E34826" w14:paraId="4EA017DA" w14:textId="77777777" w:rsidTr="006C6CF0">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1B433D1B" w14:textId="77777777" w:rsidR="007F5DE6" w:rsidRPr="00E34826" w:rsidRDefault="007F5DE6" w:rsidP="006C6CF0">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7D8BFC70" w14:textId="77777777" w:rsidR="007F5DE6" w:rsidRPr="001D6D3A" w:rsidRDefault="007F5DE6" w:rsidP="006C6CF0">
            <w:pPr>
              <w:tabs>
                <w:tab w:val="decimal" w:pos="995"/>
              </w:tabs>
              <w:jc w:val="left"/>
              <w:rPr>
                <w:color w:val="000000"/>
                <w:sz w:val="18"/>
                <w:szCs w:val="18"/>
              </w:rPr>
            </w:pPr>
            <w:r>
              <w:rPr>
                <w:color w:val="000000"/>
                <w:sz w:val="18"/>
                <w:szCs w:val="18"/>
              </w:rPr>
              <w:t>-2.3</w:t>
            </w:r>
          </w:p>
        </w:tc>
        <w:tc>
          <w:tcPr>
            <w:tcW w:w="1871" w:type="dxa"/>
            <w:tcBorders>
              <w:top w:val="single" w:sz="6" w:space="0" w:color="948A54" w:themeColor="background2" w:themeShade="80"/>
            </w:tcBorders>
            <w:vAlign w:val="center"/>
          </w:tcPr>
          <w:p w14:paraId="7E604766" w14:textId="77777777" w:rsidR="007F5DE6" w:rsidRPr="00484688" w:rsidRDefault="007F5DE6" w:rsidP="006C6CF0">
            <w:pPr>
              <w:tabs>
                <w:tab w:val="decimal" w:pos="957"/>
              </w:tabs>
              <w:jc w:val="left"/>
              <w:rPr>
                <w:color w:val="000000"/>
                <w:sz w:val="18"/>
                <w:szCs w:val="18"/>
              </w:rPr>
            </w:pPr>
            <w:r>
              <w:rPr>
                <w:color w:val="000000"/>
                <w:sz w:val="18"/>
                <w:szCs w:val="18"/>
              </w:rPr>
              <w:t>-11.0</w:t>
            </w:r>
          </w:p>
        </w:tc>
      </w:tr>
      <w:tr w:rsidR="007F5DE6" w:rsidRPr="00E34826" w14:paraId="53E5D83C" w14:textId="77777777" w:rsidTr="006C6CF0">
        <w:trPr>
          <w:cantSplit/>
          <w:trHeight w:val="284"/>
          <w:jc w:val="center"/>
        </w:trPr>
        <w:tc>
          <w:tcPr>
            <w:tcW w:w="3629" w:type="dxa"/>
            <w:tcBorders>
              <w:top w:val="nil"/>
              <w:bottom w:val="nil"/>
              <w:right w:val="single" w:sz="6" w:space="0" w:color="948A54" w:themeColor="background2" w:themeShade="80"/>
            </w:tcBorders>
            <w:vAlign w:val="center"/>
          </w:tcPr>
          <w:p w14:paraId="6EBFF383" w14:textId="77777777" w:rsidR="007F5DE6" w:rsidRPr="00E34826" w:rsidRDefault="007F5DE6" w:rsidP="006C6CF0">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54EDE951" w14:textId="77777777" w:rsidR="007F5DE6" w:rsidRPr="00484688" w:rsidRDefault="007F5DE6" w:rsidP="006C6CF0">
            <w:pPr>
              <w:tabs>
                <w:tab w:val="decimal" w:pos="995"/>
              </w:tabs>
              <w:jc w:val="left"/>
              <w:rPr>
                <w:color w:val="000000"/>
                <w:sz w:val="18"/>
                <w:szCs w:val="18"/>
              </w:rPr>
            </w:pPr>
            <w:r>
              <w:rPr>
                <w:color w:val="000000"/>
                <w:sz w:val="18"/>
                <w:szCs w:val="18"/>
              </w:rPr>
              <w:t>-1.4</w:t>
            </w:r>
          </w:p>
        </w:tc>
        <w:tc>
          <w:tcPr>
            <w:tcW w:w="1871" w:type="dxa"/>
            <w:vAlign w:val="center"/>
          </w:tcPr>
          <w:p w14:paraId="461CA4AA" w14:textId="77777777" w:rsidR="007F5DE6" w:rsidRPr="00484688" w:rsidRDefault="007F5DE6" w:rsidP="006C6CF0">
            <w:pPr>
              <w:tabs>
                <w:tab w:val="decimal" w:pos="957"/>
              </w:tabs>
              <w:jc w:val="left"/>
              <w:rPr>
                <w:color w:val="000000"/>
                <w:sz w:val="18"/>
                <w:szCs w:val="18"/>
              </w:rPr>
            </w:pPr>
            <w:r>
              <w:rPr>
                <w:color w:val="000000"/>
                <w:sz w:val="18"/>
                <w:szCs w:val="18"/>
              </w:rPr>
              <w:t>-3.1</w:t>
            </w:r>
          </w:p>
        </w:tc>
      </w:tr>
      <w:tr w:rsidR="007F5DE6" w:rsidRPr="00E34826" w14:paraId="68087B09" w14:textId="77777777" w:rsidTr="006C6CF0">
        <w:trPr>
          <w:cantSplit/>
          <w:trHeight w:val="284"/>
          <w:jc w:val="center"/>
        </w:trPr>
        <w:tc>
          <w:tcPr>
            <w:tcW w:w="3629" w:type="dxa"/>
            <w:tcBorders>
              <w:top w:val="nil"/>
              <w:bottom w:val="nil"/>
              <w:right w:val="single" w:sz="6" w:space="0" w:color="948A54" w:themeColor="background2" w:themeShade="80"/>
            </w:tcBorders>
            <w:vAlign w:val="center"/>
          </w:tcPr>
          <w:p w14:paraId="33A564C4"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6B178D6A" w14:textId="77777777" w:rsidR="007F5DE6" w:rsidRPr="00484688" w:rsidRDefault="007F5DE6" w:rsidP="006C6CF0">
            <w:pPr>
              <w:tabs>
                <w:tab w:val="decimal" w:pos="995"/>
              </w:tabs>
              <w:jc w:val="left"/>
              <w:rPr>
                <w:color w:val="000000"/>
                <w:sz w:val="18"/>
                <w:szCs w:val="18"/>
              </w:rPr>
            </w:pPr>
            <w:r>
              <w:rPr>
                <w:color w:val="000000"/>
                <w:sz w:val="18"/>
                <w:szCs w:val="18"/>
              </w:rPr>
              <w:t>-1.9</w:t>
            </w:r>
          </w:p>
        </w:tc>
        <w:tc>
          <w:tcPr>
            <w:tcW w:w="1871" w:type="dxa"/>
            <w:vAlign w:val="center"/>
          </w:tcPr>
          <w:p w14:paraId="01991007" w14:textId="77777777" w:rsidR="007F5DE6" w:rsidRPr="00484688" w:rsidRDefault="007F5DE6" w:rsidP="006C6CF0">
            <w:pPr>
              <w:tabs>
                <w:tab w:val="decimal" w:pos="957"/>
              </w:tabs>
              <w:jc w:val="left"/>
              <w:rPr>
                <w:color w:val="000000"/>
                <w:sz w:val="18"/>
                <w:szCs w:val="18"/>
              </w:rPr>
            </w:pPr>
            <w:r>
              <w:rPr>
                <w:color w:val="000000"/>
                <w:sz w:val="18"/>
                <w:szCs w:val="18"/>
              </w:rPr>
              <w:t>-8.5</w:t>
            </w:r>
          </w:p>
        </w:tc>
      </w:tr>
      <w:tr w:rsidR="007F5DE6" w:rsidRPr="00E34826" w14:paraId="248D9FBC" w14:textId="77777777" w:rsidTr="006C6CF0">
        <w:trPr>
          <w:cantSplit/>
          <w:trHeight w:val="284"/>
          <w:jc w:val="center"/>
        </w:trPr>
        <w:tc>
          <w:tcPr>
            <w:tcW w:w="3629" w:type="dxa"/>
            <w:tcBorders>
              <w:top w:val="nil"/>
              <w:bottom w:val="nil"/>
              <w:right w:val="single" w:sz="6" w:space="0" w:color="948A54" w:themeColor="background2" w:themeShade="80"/>
            </w:tcBorders>
            <w:vAlign w:val="center"/>
          </w:tcPr>
          <w:p w14:paraId="286505B4"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46988BE1" w14:textId="77777777" w:rsidR="007F5DE6" w:rsidRPr="00484688" w:rsidRDefault="007F5DE6" w:rsidP="006C6CF0">
            <w:pPr>
              <w:tabs>
                <w:tab w:val="decimal" w:pos="995"/>
              </w:tabs>
              <w:jc w:val="left"/>
              <w:rPr>
                <w:color w:val="000000"/>
                <w:sz w:val="18"/>
                <w:szCs w:val="18"/>
              </w:rPr>
            </w:pPr>
            <w:r>
              <w:rPr>
                <w:color w:val="000000"/>
                <w:sz w:val="18"/>
                <w:szCs w:val="18"/>
              </w:rPr>
              <w:t>-0.9</w:t>
            </w:r>
          </w:p>
        </w:tc>
        <w:tc>
          <w:tcPr>
            <w:tcW w:w="1871" w:type="dxa"/>
            <w:vAlign w:val="center"/>
          </w:tcPr>
          <w:p w14:paraId="653B0722" w14:textId="77777777" w:rsidR="007F5DE6" w:rsidRPr="00484688" w:rsidRDefault="007F5DE6" w:rsidP="006C6CF0">
            <w:pPr>
              <w:tabs>
                <w:tab w:val="decimal" w:pos="957"/>
              </w:tabs>
              <w:jc w:val="left"/>
              <w:rPr>
                <w:color w:val="000000"/>
                <w:sz w:val="18"/>
                <w:szCs w:val="18"/>
              </w:rPr>
            </w:pPr>
            <w:r>
              <w:rPr>
                <w:color w:val="000000"/>
                <w:sz w:val="18"/>
                <w:szCs w:val="18"/>
              </w:rPr>
              <w:t>-4.2</w:t>
            </w:r>
          </w:p>
        </w:tc>
      </w:tr>
      <w:tr w:rsidR="007F5DE6" w:rsidRPr="00E34826" w14:paraId="2B7A0FE3" w14:textId="77777777" w:rsidTr="006C6CF0">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835B6DA" w14:textId="77777777" w:rsidR="007F5DE6" w:rsidRPr="00E34826" w:rsidRDefault="007F5DE6" w:rsidP="006C6CF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6FB4B4F1" w14:textId="77777777" w:rsidR="007F5DE6" w:rsidRPr="00484688" w:rsidRDefault="007F5DE6" w:rsidP="006C6CF0">
            <w:pPr>
              <w:tabs>
                <w:tab w:val="decimal" w:pos="995"/>
              </w:tabs>
              <w:jc w:val="left"/>
              <w:rPr>
                <w:color w:val="000000"/>
                <w:sz w:val="18"/>
                <w:szCs w:val="18"/>
              </w:rPr>
            </w:pPr>
            <w:r>
              <w:rPr>
                <w:color w:val="000000"/>
                <w:sz w:val="18"/>
                <w:szCs w:val="18"/>
              </w:rPr>
              <w:t>-9.4</w:t>
            </w:r>
          </w:p>
        </w:tc>
        <w:tc>
          <w:tcPr>
            <w:tcW w:w="1871" w:type="dxa"/>
            <w:tcBorders>
              <w:bottom w:val="single" w:sz="8" w:space="0" w:color="948A54" w:themeColor="background2" w:themeShade="80"/>
            </w:tcBorders>
            <w:vAlign w:val="center"/>
          </w:tcPr>
          <w:p w14:paraId="028E6309" w14:textId="77777777" w:rsidR="007F5DE6" w:rsidRPr="00484688" w:rsidRDefault="007F5DE6" w:rsidP="006C6CF0">
            <w:pPr>
              <w:tabs>
                <w:tab w:val="decimal" w:pos="957"/>
              </w:tabs>
              <w:jc w:val="left"/>
              <w:rPr>
                <w:color w:val="000000"/>
                <w:sz w:val="18"/>
                <w:szCs w:val="18"/>
              </w:rPr>
            </w:pPr>
            <w:r>
              <w:rPr>
                <w:color w:val="000000"/>
                <w:sz w:val="18"/>
                <w:szCs w:val="18"/>
              </w:rPr>
              <w:t>-23.0</w:t>
            </w:r>
          </w:p>
        </w:tc>
      </w:tr>
    </w:tbl>
    <w:p w14:paraId="04C0331D" w14:textId="77777777" w:rsidR="007F5DE6" w:rsidRPr="00E34826" w:rsidRDefault="007F5DE6" w:rsidP="007F5DE6">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5C759A21" w14:textId="77777777" w:rsidR="007F5DE6" w:rsidRPr="001607D5" w:rsidRDefault="007F5DE6" w:rsidP="007F5DE6">
      <w:pPr>
        <w:pStyle w:val="p0"/>
        <w:keepLines w:val="0"/>
        <w:spacing w:before="480"/>
        <w:rPr>
          <w:rFonts w:ascii="Arial" w:hAnsi="Arial"/>
          <w:b/>
          <w:i/>
          <w:smallCaps/>
          <w:color w:val="auto"/>
        </w:rPr>
      </w:pPr>
      <w:bookmarkStart w:id="2" w:name="_Hlk97203714"/>
      <w:r w:rsidRPr="001607D5">
        <w:rPr>
          <w:rFonts w:ascii="Arial" w:hAnsi="Arial"/>
          <w:b/>
          <w:i/>
          <w:smallCaps/>
          <w:color w:val="auto"/>
        </w:rPr>
        <w:lastRenderedPageBreak/>
        <w:t>Nota al usuario</w:t>
      </w:r>
    </w:p>
    <w:p w14:paraId="26A6BF7A" w14:textId="77777777" w:rsidR="007F5DE6" w:rsidRPr="007D4957" w:rsidRDefault="007F5DE6" w:rsidP="007F5DE6">
      <w:pPr>
        <w:pStyle w:val="p0"/>
        <w:rPr>
          <w:rFonts w:ascii="Arial" w:hAnsi="Arial"/>
          <w:color w:val="auto"/>
        </w:rPr>
      </w:pPr>
      <w:r w:rsidRPr="007D4957">
        <w:rPr>
          <w:rFonts w:ascii="Arial" w:hAnsi="Arial"/>
          <w:color w:val="auto"/>
        </w:rPr>
        <w:t>El Índice Global de Productividad Laboral de la Economía (IGPLE) se actualiz</w:t>
      </w:r>
      <w:r>
        <w:rPr>
          <w:rFonts w:ascii="Arial" w:hAnsi="Arial"/>
          <w:color w:val="auto"/>
        </w:rPr>
        <w:t>ó</w:t>
      </w:r>
      <w:r w:rsidRPr="007D4957">
        <w:rPr>
          <w:rFonts w:ascii="Arial" w:hAnsi="Arial"/>
          <w:color w:val="auto"/>
        </w:rPr>
        <w:t xml:space="preserve"> con base en los datos </w:t>
      </w:r>
      <w:r>
        <w:rPr>
          <w:rFonts w:ascii="Arial" w:hAnsi="Arial"/>
          <w:color w:val="auto"/>
        </w:rPr>
        <w:t>de</w:t>
      </w:r>
      <w:r w:rsidRPr="007D4957">
        <w:rPr>
          <w:rFonts w:ascii="Arial" w:hAnsi="Arial"/>
          <w:color w:val="auto"/>
        </w:rPr>
        <w:t xml:space="preserve"> la Encuesta Nacional de Ocupación y Empleo</w:t>
      </w:r>
      <w:r>
        <w:rPr>
          <w:rFonts w:ascii="Arial" w:hAnsi="Arial"/>
          <w:color w:val="auto"/>
        </w:rPr>
        <w:t>, Nueva Edición</w:t>
      </w:r>
      <w:r w:rsidRPr="007D4957">
        <w:rPr>
          <w:rFonts w:ascii="Arial" w:hAnsi="Arial"/>
          <w:color w:val="auto"/>
        </w:rPr>
        <w:t xml:space="preserve"> (ENOE</w:t>
      </w:r>
      <w:r w:rsidRPr="007D4957">
        <w:rPr>
          <w:rFonts w:ascii="Arial" w:hAnsi="Arial"/>
          <w:color w:val="auto"/>
          <w:vertAlign w:val="superscript"/>
        </w:rPr>
        <w:t>N</w:t>
      </w:r>
      <w:r w:rsidRPr="007D4957">
        <w:rPr>
          <w:rFonts w:ascii="Arial" w:hAnsi="Arial"/>
          <w:color w:val="auto"/>
        </w:rPr>
        <w:t>)</w:t>
      </w:r>
      <w:r>
        <w:rPr>
          <w:rFonts w:ascii="Arial" w:hAnsi="Arial"/>
          <w:color w:val="auto"/>
        </w:rPr>
        <w:t xml:space="preserve"> y en las actualizaciones del </w:t>
      </w:r>
      <w:r w:rsidRPr="007D4957">
        <w:rPr>
          <w:rFonts w:ascii="Arial" w:hAnsi="Arial"/>
          <w:color w:val="auto"/>
        </w:rPr>
        <w:t>Producto Interno Bruto (PIB)</w:t>
      </w:r>
      <w:r>
        <w:rPr>
          <w:rFonts w:ascii="Arial" w:hAnsi="Arial"/>
          <w:color w:val="auto"/>
        </w:rPr>
        <w:t xml:space="preserve"> </w:t>
      </w:r>
      <w:r w:rsidRPr="007D4957">
        <w:rPr>
          <w:rFonts w:ascii="Arial" w:hAnsi="Arial"/>
          <w:color w:val="auto"/>
        </w:rPr>
        <w:t>de 2021.</w:t>
      </w:r>
    </w:p>
    <w:p w14:paraId="660C7CD7" w14:textId="77777777" w:rsidR="007F5DE6" w:rsidRDefault="007F5DE6" w:rsidP="007F5DE6">
      <w:pPr>
        <w:spacing w:before="120"/>
      </w:pPr>
      <w:r w:rsidRPr="002A49E7">
        <w:t xml:space="preserve">La </w:t>
      </w:r>
      <w:r>
        <w:t>t</w:t>
      </w:r>
      <w:r w:rsidRPr="002A49E7">
        <w:t xml:space="preserve">asa de </w:t>
      </w:r>
      <w:r>
        <w:t>n</w:t>
      </w:r>
      <w:r w:rsidRPr="002A49E7">
        <w:t xml:space="preserve">o </w:t>
      </w:r>
      <w:r>
        <w:t>r</w:t>
      </w:r>
      <w:r w:rsidRPr="002A49E7">
        <w:t xml:space="preserve">espuesta de las </w:t>
      </w:r>
      <w:r>
        <w:t>e</w:t>
      </w:r>
      <w:r w:rsidRPr="002A49E7">
        <w:t xml:space="preserve">ncuestas </w:t>
      </w:r>
      <w:r>
        <w:t>e</w:t>
      </w:r>
      <w:r w:rsidRPr="002A49E7">
        <w:t xml:space="preserve">conómicas </w:t>
      </w:r>
      <w:r>
        <w:t>n</w:t>
      </w:r>
      <w:r w:rsidRPr="002A49E7">
        <w:t>acionales que se consideran para la integración de los Índices de Productividad Laboral y del Costo Unitario de la Mano de Obra, correspondiente al cuarto trimestre de 2021, registró porcentajes apropiados conforme al diseño estadístico de las encuestas</w:t>
      </w:r>
      <w:r>
        <w:t>. Esto</w:t>
      </w:r>
      <w:r w:rsidRPr="002A49E7">
        <w:t xml:space="preserve"> permitió la generación de estadísticas con niveles altos de cobertura y precisión estadística para su integración en los índices del periodo de referencia</w:t>
      </w:r>
      <w:r>
        <w:t>.</w:t>
      </w:r>
    </w:p>
    <w:p w14:paraId="081E35ED" w14:textId="77777777" w:rsidR="007F5DE6" w:rsidRDefault="007F5DE6" w:rsidP="007F5DE6">
      <w:pPr>
        <w:pStyle w:val="bullet"/>
        <w:keepLines w:val="0"/>
        <w:widowControl w:val="0"/>
        <w:spacing w:before="120" w:after="0"/>
        <w:ind w:left="3540" w:right="-547" w:firstLine="708"/>
        <w:jc w:val="left"/>
        <w:rPr>
          <w:rFonts w:cs="Arial"/>
          <w:b w:val="0"/>
          <w:color w:val="auto"/>
          <w:spacing w:val="0"/>
          <w:sz w:val="20"/>
          <w:lang w:val="es-ES_tradnl"/>
        </w:rPr>
      </w:pPr>
    </w:p>
    <w:p w14:paraId="0A077535" w14:textId="77777777" w:rsidR="007F5DE6" w:rsidRDefault="007F5DE6" w:rsidP="007F5DE6">
      <w:pPr>
        <w:spacing w:before="240"/>
      </w:pPr>
    </w:p>
    <w:bookmarkEnd w:id="2"/>
    <w:p w14:paraId="5B2816E4"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2C032237"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0F44555A"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4B8B081B"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2FC2C64E"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5E3E77A6"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1D8108ED"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7A403BF8"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0D498B10"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5968A2ED" w14:textId="672D7C3F"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5704736C" w14:textId="60CCDDB5" w:rsidR="00911172" w:rsidRDefault="00911172" w:rsidP="007F5DE6">
      <w:pPr>
        <w:pStyle w:val="NormalWeb"/>
        <w:spacing w:before="0" w:beforeAutospacing="0" w:after="0" w:afterAutospacing="0"/>
        <w:ind w:left="-426" w:right="-518"/>
        <w:contextualSpacing/>
        <w:jc w:val="center"/>
        <w:rPr>
          <w:rFonts w:ascii="Arial" w:hAnsi="Arial" w:cs="Arial"/>
          <w:sz w:val="22"/>
          <w:szCs w:val="22"/>
        </w:rPr>
      </w:pPr>
    </w:p>
    <w:p w14:paraId="2E62630A" w14:textId="77777777" w:rsidR="00911172" w:rsidRDefault="00911172" w:rsidP="007F5DE6">
      <w:pPr>
        <w:pStyle w:val="NormalWeb"/>
        <w:spacing w:before="0" w:beforeAutospacing="0" w:after="0" w:afterAutospacing="0"/>
        <w:ind w:left="-426" w:right="-518"/>
        <w:contextualSpacing/>
        <w:jc w:val="center"/>
        <w:rPr>
          <w:rFonts w:ascii="Arial" w:hAnsi="Arial" w:cs="Arial"/>
          <w:sz w:val="22"/>
          <w:szCs w:val="22"/>
        </w:rPr>
      </w:pPr>
    </w:p>
    <w:p w14:paraId="1E3F4E31"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7DA77D72"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1D8481D7"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7F75DFA8" w14:textId="77777777" w:rsidR="007F5DE6"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681225F7" w14:textId="77777777" w:rsidR="007F5DE6" w:rsidRPr="00676135"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1B477157" w14:textId="77777777" w:rsidR="007F5DE6" w:rsidRPr="00676135" w:rsidRDefault="007F5DE6" w:rsidP="007F5DE6">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8"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1ED3CCB5" w14:textId="77777777" w:rsidR="007F5DE6" w:rsidRPr="00676135" w:rsidRDefault="007F5DE6" w:rsidP="007F5DE6">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3E60F4C6" w14:textId="77777777" w:rsidR="007F5DE6" w:rsidRPr="00676135" w:rsidRDefault="007F5DE6" w:rsidP="007F5DE6">
      <w:pPr>
        <w:pStyle w:val="NormalWeb"/>
        <w:spacing w:before="0" w:beforeAutospacing="0" w:after="0" w:afterAutospacing="0"/>
        <w:ind w:left="-426" w:right="-518"/>
        <w:contextualSpacing/>
        <w:jc w:val="center"/>
        <w:rPr>
          <w:rFonts w:ascii="Arial" w:hAnsi="Arial" w:cs="Arial"/>
          <w:sz w:val="22"/>
          <w:szCs w:val="22"/>
        </w:rPr>
      </w:pPr>
    </w:p>
    <w:p w14:paraId="289B3289" w14:textId="77777777" w:rsidR="007F5DE6" w:rsidRPr="00676135" w:rsidRDefault="007F5DE6" w:rsidP="007F5DE6">
      <w:pPr>
        <w:ind w:left="-426" w:right="-518"/>
        <w:contextualSpacing/>
        <w:jc w:val="center"/>
        <w:rPr>
          <w:sz w:val="22"/>
          <w:szCs w:val="22"/>
        </w:rPr>
      </w:pPr>
      <w:r w:rsidRPr="00676135">
        <w:rPr>
          <w:sz w:val="22"/>
          <w:szCs w:val="22"/>
        </w:rPr>
        <w:t>Dirección de Atención a Medios / Dirección General Adjunta de Comunicación</w:t>
      </w:r>
    </w:p>
    <w:p w14:paraId="64EE8D1B" w14:textId="77777777" w:rsidR="007F5DE6" w:rsidRPr="0070622C" w:rsidRDefault="007F5DE6" w:rsidP="007F5DE6">
      <w:pPr>
        <w:ind w:left="-426" w:right="-518"/>
        <w:contextualSpacing/>
        <w:jc w:val="center"/>
        <w:rPr>
          <w:sz w:val="22"/>
          <w:szCs w:val="22"/>
        </w:rPr>
      </w:pPr>
    </w:p>
    <w:p w14:paraId="2EA82EC2" w14:textId="77777777" w:rsidR="007F5DE6" w:rsidRDefault="007F5DE6" w:rsidP="007F5DE6">
      <w:pPr>
        <w:ind w:left="-425" w:right="-516"/>
        <w:contextualSpacing/>
        <w:jc w:val="center"/>
      </w:pPr>
      <w:r w:rsidRPr="00FF1218">
        <w:rPr>
          <w:noProof/>
          <w:lang w:val="es-MX" w:eastAsia="es-MX"/>
        </w:rPr>
        <w:drawing>
          <wp:inline distT="0" distB="0" distL="0" distR="0" wp14:anchorId="5D5F463F" wp14:editId="2B16B6DB">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71AC7A" wp14:editId="20F291A6">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CA522B" wp14:editId="30BEEC53">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7D088A" wp14:editId="02BD6E8D">
            <wp:extent cx="365760" cy="365760"/>
            <wp:effectExtent l="0" t="0" r="0" b="0"/>
            <wp:docPr id="3" name="Imagen 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846D796" wp14:editId="10C97076">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5169C2D" w14:textId="77777777" w:rsidR="007F5DE6" w:rsidRDefault="007F5DE6" w:rsidP="007F5DE6">
      <w:pPr>
        <w:spacing w:line="220" w:lineRule="exact"/>
        <w:rPr>
          <w:b/>
        </w:rPr>
      </w:pPr>
    </w:p>
    <w:p w14:paraId="4F7219B4" w14:textId="77777777" w:rsidR="007F5DE6" w:rsidRPr="0083010F" w:rsidRDefault="007F5DE6" w:rsidP="007F5DE6">
      <w:pPr>
        <w:ind w:left="-567" w:right="-518"/>
        <w:contextualSpacing/>
        <w:jc w:val="center"/>
        <w:rPr>
          <w:sz w:val="20"/>
          <w:szCs w:val="20"/>
        </w:rPr>
      </w:pPr>
    </w:p>
    <w:p w14:paraId="6750E06F" w14:textId="77777777" w:rsidR="007F5DE6" w:rsidRDefault="007F5DE6" w:rsidP="007F5DE6">
      <w:pPr>
        <w:ind w:left="-567"/>
        <w:jc w:val="center"/>
        <w:rPr>
          <w:noProof/>
          <w:lang w:eastAsia="es-MX"/>
        </w:rPr>
        <w:sectPr w:rsidR="007F5DE6" w:rsidSect="006C6CF0">
          <w:headerReference w:type="default" r:id="rId19"/>
          <w:footerReference w:type="default" r:id="rId20"/>
          <w:pgSz w:w="12240" w:h="15840"/>
          <w:pgMar w:top="1418" w:right="1134" w:bottom="1276" w:left="1134" w:header="709" w:footer="709" w:gutter="0"/>
          <w:cols w:space="708"/>
          <w:docGrid w:linePitch="360"/>
        </w:sectPr>
      </w:pPr>
    </w:p>
    <w:p w14:paraId="1D2EB22E" w14:textId="77777777" w:rsidR="007F5DE6" w:rsidRDefault="007F5DE6" w:rsidP="007F5DE6">
      <w:pPr>
        <w:pStyle w:val="Profesin"/>
        <w:outlineLvl w:val="0"/>
        <w:rPr>
          <w:sz w:val="24"/>
          <w:szCs w:val="24"/>
          <w:lang w:val="es-MX"/>
        </w:rPr>
      </w:pPr>
      <w:r w:rsidRPr="002A470D">
        <w:rPr>
          <w:sz w:val="24"/>
          <w:szCs w:val="24"/>
          <w:lang w:val="es-MX"/>
        </w:rPr>
        <w:lastRenderedPageBreak/>
        <w:t>ANEXO</w:t>
      </w:r>
    </w:p>
    <w:p w14:paraId="025A257F" w14:textId="7E54FB04" w:rsidR="007F5DE6" w:rsidRPr="002A470D" w:rsidRDefault="007F5DE6" w:rsidP="007F5DE6">
      <w:pPr>
        <w:pStyle w:val="Profesin"/>
        <w:spacing w:before="120"/>
        <w:outlineLvl w:val="0"/>
        <w:rPr>
          <w:sz w:val="24"/>
          <w:szCs w:val="24"/>
          <w:lang w:val="es-MX"/>
        </w:rPr>
      </w:pPr>
      <w:r w:rsidRPr="002A470D">
        <w:rPr>
          <w:sz w:val="24"/>
          <w:szCs w:val="24"/>
          <w:lang w:val="es-MX"/>
        </w:rPr>
        <w:t>Nota técnica</w:t>
      </w:r>
    </w:p>
    <w:p w14:paraId="308866B2" w14:textId="67D064DA" w:rsidR="00EA5096" w:rsidRPr="00DC4DE5" w:rsidRDefault="00EA5096" w:rsidP="0027034A">
      <w:pPr>
        <w:pStyle w:val="bulnot"/>
        <w:widowControl w:val="0"/>
        <w:tabs>
          <w:tab w:val="clear" w:pos="851"/>
        </w:tabs>
        <w:ind w:left="0" w:right="567" w:firstLine="0"/>
        <w:rPr>
          <w:rFonts w:cs="Arial"/>
          <w:i/>
          <w:color w:val="auto"/>
          <w:sz w:val="24"/>
          <w:szCs w:val="24"/>
        </w:rPr>
      </w:pPr>
      <w:r w:rsidRPr="00DC4DE5">
        <w:rPr>
          <w:rFonts w:cs="Arial"/>
          <w:i/>
          <w:color w:val="auto"/>
          <w:sz w:val="24"/>
          <w:szCs w:val="24"/>
        </w:rPr>
        <w:t>Principales resultados:</w:t>
      </w:r>
    </w:p>
    <w:p w14:paraId="7BD88836" w14:textId="2A8A80BE" w:rsidR="00EA5096"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Los</w:t>
      </w:r>
      <w:r w:rsidRPr="00FF0E2F">
        <w:rPr>
          <w:rFonts w:cs="Arial"/>
          <w:b w:val="0"/>
          <w:color w:val="auto"/>
          <w:spacing w:val="0"/>
          <w:szCs w:val="24"/>
          <w:lang w:val="es-ES_tradnl"/>
        </w:rPr>
        <w:t xml:space="preserve"> </w:t>
      </w:r>
      <w:r w:rsidR="00351256" w:rsidRPr="00FF0E2F">
        <w:rPr>
          <w:b w:val="0"/>
          <w:color w:val="auto"/>
          <w:sz w:val="22"/>
          <w:szCs w:val="22"/>
        </w:rPr>
        <w:t>Índices de Productividad Laboral y del Costo Unitario de la Mano de Obra</w:t>
      </w:r>
      <w:r w:rsidR="00351256" w:rsidRPr="00351256">
        <w:rPr>
          <w:rFonts w:cs="Arial"/>
          <w:b w:val="0"/>
          <w:color w:val="auto"/>
          <w:spacing w:val="0"/>
          <w:szCs w:val="24"/>
          <w:lang w:val="es-ES_tradnl"/>
        </w:rPr>
        <w:t xml:space="preserve"> </w:t>
      </w:r>
      <w:r w:rsidRPr="00E34826">
        <w:rPr>
          <w:rFonts w:cs="Arial"/>
          <w:b w:val="0"/>
          <w:color w:val="auto"/>
          <w:spacing w:val="0"/>
          <w:szCs w:val="24"/>
          <w:lang w:val="es-ES_tradnl"/>
        </w:rPr>
        <w:t>s</w:t>
      </w:r>
      <w:r w:rsidR="006068B1">
        <w:rPr>
          <w:rFonts w:cs="Arial"/>
          <w:b w:val="0"/>
          <w:color w:val="auto"/>
          <w:spacing w:val="0"/>
          <w:szCs w:val="24"/>
          <w:lang w:val="es-ES_tradnl"/>
        </w:rPr>
        <w:t>e componen</w:t>
      </w:r>
      <w:r w:rsidRPr="00E34826">
        <w:rPr>
          <w:rFonts w:cs="Arial"/>
          <w:b w:val="0"/>
          <w:color w:val="auto"/>
          <w:spacing w:val="0"/>
          <w:szCs w:val="24"/>
          <w:lang w:val="es-ES_tradnl"/>
        </w:rPr>
        <w:t xml:space="preserve"> por el índice global de productividad laboral de la economía y sus tres grandes grupos de actividad, así como por los índices de productividad laboral y del costo unitario de la mano de obra de cinco sectores de actividad económica: construcción, industrias manufactureras, comercio al por mayor, comercio al por menor y servicios privados no financieros.</w:t>
      </w:r>
    </w:p>
    <w:p w14:paraId="3CEE7FBF" w14:textId="77777777" w:rsidR="00860AAE" w:rsidRPr="0027034A" w:rsidRDefault="00860AAE" w:rsidP="003914BB">
      <w:pPr>
        <w:pStyle w:val="bullet"/>
        <w:keepLines w:val="0"/>
        <w:widowControl w:val="0"/>
        <w:tabs>
          <w:tab w:val="left" w:pos="8364"/>
          <w:tab w:val="left" w:pos="8789"/>
        </w:tabs>
        <w:spacing w:before="360" w:after="0"/>
        <w:ind w:left="0" w:right="0" w:firstLine="0"/>
        <w:rPr>
          <w:rFonts w:cs="Arial"/>
          <w:i/>
          <w:iCs/>
          <w:color w:val="auto"/>
          <w:spacing w:val="0"/>
          <w:szCs w:val="24"/>
        </w:rPr>
      </w:pPr>
      <w:r w:rsidRPr="0027034A">
        <w:rPr>
          <w:rFonts w:cs="Arial"/>
          <w:i/>
          <w:iCs/>
          <w:color w:val="auto"/>
          <w:spacing w:val="0"/>
          <w:szCs w:val="24"/>
        </w:rPr>
        <w:t>Cifras desestacionalizadas</w:t>
      </w:r>
    </w:p>
    <w:p w14:paraId="24A78D3E" w14:textId="77777777"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t>Índice Global de Productividad Laboral de la Economía</w:t>
      </w:r>
    </w:p>
    <w:p w14:paraId="4AE2489B" w14:textId="4C43D3AC"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E86637">
        <w:rPr>
          <w:rFonts w:cs="Arial"/>
          <w:b w:val="0"/>
          <w:color w:val="auto"/>
          <w:spacing w:val="0"/>
          <w:szCs w:val="24"/>
          <w:lang w:val="es-ES_tradnl"/>
        </w:rPr>
        <w:t>cua</w:t>
      </w:r>
      <w:r w:rsidR="006D286F">
        <w:rPr>
          <w:rFonts w:cs="Arial"/>
          <w:b w:val="0"/>
          <w:color w:val="auto"/>
          <w:spacing w:val="0"/>
          <w:szCs w:val="24"/>
          <w:lang w:val="es-ES_tradnl"/>
        </w:rPr>
        <w:t>r</w:t>
      </w:r>
      <w:r w:rsidR="00E86637">
        <w:rPr>
          <w:rFonts w:cs="Arial"/>
          <w:b w:val="0"/>
          <w:color w:val="auto"/>
          <w:spacing w:val="0"/>
          <w:szCs w:val="24"/>
          <w:lang w:val="es-ES_tradnl"/>
        </w:rPr>
        <w:t>to</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2021</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240597">
        <w:rPr>
          <w:rFonts w:cs="Arial"/>
          <w:b w:val="0"/>
          <w:color w:val="auto"/>
          <w:spacing w:val="0"/>
          <w:szCs w:val="24"/>
          <w:lang w:val="es-ES_tradnl"/>
        </w:rPr>
        <w:t>9</w:t>
      </w:r>
      <w:r w:rsidR="00E86637">
        <w:rPr>
          <w:rFonts w:cs="Arial"/>
          <w:b w:val="0"/>
          <w:color w:val="auto"/>
          <w:spacing w:val="0"/>
          <w:szCs w:val="24"/>
          <w:lang w:val="es-ES_tradnl"/>
        </w:rPr>
        <w:t>5.4</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00C412D4">
        <w:rPr>
          <w:rFonts w:cs="Arial"/>
          <w:b w:val="0"/>
          <w:color w:val="auto"/>
          <w:spacing w:val="0"/>
          <w:szCs w:val="24"/>
          <w:lang w:val="es-ES_tradnl"/>
        </w:rPr>
        <w:t>=100)</w:t>
      </w:r>
      <w:r w:rsidR="00F80617">
        <w:rPr>
          <w:rFonts w:cs="Arial"/>
          <w:b w:val="0"/>
          <w:color w:val="auto"/>
          <w:spacing w:val="0"/>
          <w:szCs w:val="24"/>
          <w:lang w:val="es-ES_tradnl"/>
        </w:rPr>
        <w:t>,</w:t>
      </w:r>
      <w:r w:rsidR="00A31B68">
        <w:rPr>
          <w:rFonts w:cs="Arial"/>
          <w:b w:val="0"/>
          <w:color w:val="auto"/>
          <w:spacing w:val="0"/>
          <w:szCs w:val="24"/>
          <w:lang w:val="es-ES_tradnl"/>
        </w:rPr>
        <w:t xml:space="preserve"> un</w:t>
      </w:r>
      <w:r w:rsidR="00FB54F4">
        <w:rPr>
          <w:rFonts w:cs="Arial"/>
          <w:b w:val="0"/>
          <w:color w:val="auto"/>
          <w:spacing w:val="0"/>
          <w:szCs w:val="24"/>
          <w:lang w:val="es-ES_tradnl"/>
        </w:rPr>
        <w:t>a</w:t>
      </w:r>
      <w:r w:rsidR="0060180D">
        <w:rPr>
          <w:rFonts w:cs="Arial"/>
          <w:b w:val="0"/>
          <w:color w:val="auto"/>
          <w:spacing w:val="0"/>
          <w:szCs w:val="24"/>
          <w:lang w:val="es-ES_tradnl"/>
        </w:rPr>
        <w:t xml:space="preserve"> </w:t>
      </w:r>
      <w:r w:rsidR="00E43E3F">
        <w:rPr>
          <w:rFonts w:cs="Arial"/>
          <w:b w:val="0"/>
          <w:color w:val="auto"/>
          <w:spacing w:val="0"/>
          <w:szCs w:val="24"/>
          <w:lang w:val="es-ES_tradnl"/>
        </w:rPr>
        <w:t>reducción</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E43E3F">
        <w:rPr>
          <w:rFonts w:cs="Arial"/>
          <w:b w:val="0"/>
          <w:color w:val="auto"/>
          <w:spacing w:val="0"/>
          <w:szCs w:val="24"/>
          <w:lang w:val="es-ES_tradnl"/>
        </w:rPr>
        <w:t>1.</w:t>
      </w:r>
      <w:r w:rsidR="00F470C6">
        <w:rPr>
          <w:rFonts w:cs="Arial"/>
          <w:b w:val="0"/>
          <w:color w:val="auto"/>
          <w:spacing w:val="0"/>
          <w:szCs w:val="24"/>
          <w:lang w:val="es-ES_tradnl"/>
        </w:rPr>
        <w:t>2</w:t>
      </w:r>
      <w:r w:rsidR="00A31B68" w:rsidRPr="00E34826">
        <w:rPr>
          <w:rFonts w:cs="Arial"/>
          <w:b w:val="0"/>
          <w:color w:val="auto"/>
          <w:spacing w:val="0"/>
          <w:szCs w:val="24"/>
          <w:lang w:val="es-ES_tradnl"/>
        </w:rPr>
        <w:t>%</w:t>
      </w:r>
      <w:r w:rsidR="00F80617">
        <w:rPr>
          <w:rFonts w:cs="Arial"/>
          <w:b w:val="0"/>
          <w:color w:val="auto"/>
          <w:spacing w:val="0"/>
          <w:szCs w:val="24"/>
          <w:lang w:val="es-ES_tradnl"/>
        </w:rPr>
        <w:t xml:space="preserve"> a tasa trimestral con cifras desestacionalizadas.</w:t>
      </w:r>
    </w:p>
    <w:p w14:paraId="66084E47" w14:textId="416CEC70"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w:t>
      </w:r>
      <w:r w:rsidR="00291226">
        <w:rPr>
          <w:rFonts w:cs="Arial"/>
          <w:b w:val="0"/>
          <w:color w:val="auto"/>
          <w:spacing w:val="0"/>
          <w:szCs w:val="24"/>
          <w:lang w:val="es-ES_tradnl"/>
        </w:rPr>
        <w:t xml:space="preserve"> y </w:t>
      </w:r>
      <w:r w:rsidR="00291226" w:rsidRPr="001F7773">
        <w:rPr>
          <w:rFonts w:cs="Arial"/>
          <w:b w:val="0"/>
          <w:color w:val="auto"/>
          <w:spacing w:val="0"/>
          <w:szCs w:val="24"/>
          <w:lang w:val="es-ES_tradnl"/>
        </w:rPr>
        <w:t>con datos desestacionalizados</w:t>
      </w:r>
      <w:r w:rsidRPr="00E34826">
        <w:rPr>
          <w:rFonts w:cs="Arial"/>
          <w:b w:val="0"/>
          <w:color w:val="auto"/>
          <w:spacing w:val="0"/>
          <w:szCs w:val="24"/>
          <w:lang w:val="es-ES_tradnl"/>
        </w:rPr>
        <w:t xml:space="preserve">, </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 con base en las horas trabajadas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036B48" w:rsidRPr="001F7773">
        <w:rPr>
          <w:rFonts w:cs="Arial"/>
          <w:b w:val="0"/>
          <w:color w:val="auto"/>
          <w:spacing w:val="0"/>
          <w:szCs w:val="24"/>
          <w:lang w:val="es-ES_tradnl"/>
        </w:rPr>
        <w:t>prim</w:t>
      </w:r>
      <w:r w:rsidR="00240597" w:rsidRPr="001F7773">
        <w:rPr>
          <w:rFonts w:cs="Arial"/>
          <w:b w:val="0"/>
          <w:color w:val="auto"/>
          <w:spacing w:val="0"/>
          <w:szCs w:val="24"/>
          <w:lang w:val="es-ES_tradnl"/>
        </w:rPr>
        <w:t>ar</w:t>
      </w:r>
      <w:r w:rsidR="00EF516E" w:rsidRPr="001F7773">
        <w:rPr>
          <w:rFonts w:cs="Arial"/>
          <w:b w:val="0"/>
          <w:color w:val="auto"/>
          <w:spacing w:val="0"/>
          <w:szCs w:val="24"/>
          <w:lang w:val="es-ES_tradnl"/>
        </w:rPr>
        <w:t xml:space="preserve">ias </w:t>
      </w:r>
      <w:r w:rsidR="001473AC" w:rsidRPr="001F7773">
        <w:rPr>
          <w:rFonts w:cs="Arial"/>
          <w:b w:val="0"/>
          <w:color w:val="auto"/>
          <w:spacing w:val="0"/>
          <w:szCs w:val="24"/>
          <w:lang w:val="es-ES_tradnl"/>
        </w:rPr>
        <w:t xml:space="preserve">la productividad </w:t>
      </w:r>
      <w:r w:rsidR="00E43E3F">
        <w:rPr>
          <w:rFonts w:cs="Arial"/>
          <w:b w:val="0"/>
          <w:color w:val="auto"/>
          <w:spacing w:val="0"/>
          <w:szCs w:val="24"/>
          <w:lang w:val="es-ES_tradnl"/>
        </w:rPr>
        <w:t>creció</w:t>
      </w:r>
      <w:r w:rsidR="001A234E" w:rsidRPr="001F7773">
        <w:rPr>
          <w:rFonts w:cs="Arial"/>
          <w:b w:val="0"/>
          <w:color w:val="auto"/>
          <w:spacing w:val="0"/>
          <w:szCs w:val="24"/>
          <w:lang w:val="es-ES_tradnl"/>
        </w:rPr>
        <w:t xml:space="preserve"> </w:t>
      </w:r>
      <w:r w:rsidR="00036B48" w:rsidRPr="001F7773">
        <w:rPr>
          <w:rFonts w:cs="Arial"/>
          <w:b w:val="0"/>
          <w:color w:val="auto"/>
          <w:spacing w:val="0"/>
          <w:szCs w:val="24"/>
          <w:lang w:val="es-ES_tradnl"/>
        </w:rPr>
        <w:t>1.</w:t>
      </w:r>
      <w:r w:rsidR="00E43E3F">
        <w:rPr>
          <w:rFonts w:cs="Arial"/>
          <w:b w:val="0"/>
          <w:color w:val="auto"/>
          <w:spacing w:val="0"/>
          <w:szCs w:val="24"/>
          <w:lang w:val="es-ES_tradnl"/>
        </w:rPr>
        <w:t>3</w:t>
      </w:r>
      <w:r w:rsidR="001A234E" w:rsidRPr="001F7773">
        <w:rPr>
          <w:rFonts w:cs="Arial"/>
          <w:b w:val="0"/>
          <w:color w:val="auto"/>
          <w:spacing w:val="0"/>
          <w:szCs w:val="24"/>
          <w:lang w:val="es-ES_tradnl"/>
        </w:rPr>
        <w:t>%</w:t>
      </w:r>
      <w:r w:rsidR="00291226">
        <w:rPr>
          <w:rFonts w:cs="Arial"/>
          <w:b w:val="0"/>
          <w:color w:val="auto"/>
          <w:spacing w:val="0"/>
          <w:szCs w:val="24"/>
          <w:lang w:val="es-ES_tradnl"/>
        </w:rPr>
        <w:t>,</w:t>
      </w:r>
      <w:r w:rsidR="00F470C6" w:rsidRPr="001F7773">
        <w:rPr>
          <w:rFonts w:cs="Arial"/>
          <w:b w:val="0"/>
          <w:color w:val="auto"/>
          <w:spacing w:val="0"/>
          <w:szCs w:val="24"/>
          <w:lang w:val="es-ES_tradnl"/>
        </w:rPr>
        <w:t xml:space="preserve"> </w:t>
      </w:r>
      <w:r w:rsidR="00B05193" w:rsidRPr="001F7773">
        <w:rPr>
          <w:rFonts w:cs="Arial"/>
          <w:b w:val="0"/>
          <w:color w:val="auto"/>
          <w:spacing w:val="0"/>
          <w:szCs w:val="24"/>
          <w:lang w:val="es-ES_tradnl"/>
        </w:rPr>
        <w:t xml:space="preserve">en las </w:t>
      </w:r>
      <w:r w:rsidR="00036B48" w:rsidRPr="001F7773">
        <w:rPr>
          <w:rFonts w:cs="Arial"/>
          <w:b w:val="0"/>
          <w:color w:val="auto"/>
          <w:spacing w:val="0"/>
          <w:szCs w:val="24"/>
          <w:lang w:val="es-ES_tradnl"/>
        </w:rPr>
        <w:t>terciar</w:t>
      </w:r>
      <w:r w:rsidR="00B05193" w:rsidRPr="001F7773">
        <w:rPr>
          <w:rFonts w:cs="Arial"/>
          <w:b w:val="0"/>
          <w:color w:val="auto"/>
          <w:spacing w:val="0"/>
          <w:szCs w:val="24"/>
          <w:lang w:val="es-ES_tradnl"/>
        </w:rPr>
        <w:t xml:space="preserve">ias </w:t>
      </w:r>
      <w:r w:rsidR="00E43E3F">
        <w:rPr>
          <w:rFonts w:cs="Arial"/>
          <w:b w:val="0"/>
          <w:color w:val="auto"/>
          <w:spacing w:val="0"/>
          <w:szCs w:val="24"/>
          <w:lang w:val="es-ES_tradnl"/>
        </w:rPr>
        <w:t>descend</w:t>
      </w:r>
      <w:r w:rsidR="00F470C6" w:rsidRPr="001F7773">
        <w:rPr>
          <w:rFonts w:cs="Arial"/>
          <w:b w:val="0"/>
          <w:color w:val="auto"/>
          <w:spacing w:val="0"/>
          <w:szCs w:val="24"/>
          <w:lang w:val="es-ES_tradnl"/>
        </w:rPr>
        <w:t xml:space="preserve">ió </w:t>
      </w:r>
      <w:r w:rsidR="00E43E3F">
        <w:rPr>
          <w:rFonts w:cs="Arial"/>
          <w:b w:val="0"/>
          <w:color w:val="auto"/>
          <w:spacing w:val="0"/>
          <w:szCs w:val="24"/>
          <w:lang w:val="es-ES_tradnl"/>
        </w:rPr>
        <w:t>1.9</w:t>
      </w:r>
      <w:r w:rsidR="00B05193" w:rsidRPr="001F7773">
        <w:rPr>
          <w:rFonts w:cs="Arial"/>
          <w:b w:val="0"/>
          <w:color w:val="auto"/>
          <w:spacing w:val="0"/>
          <w:szCs w:val="24"/>
          <w:lang w:val="es-ES_tradnl"/>
        </w:rPr>
        <w:t>%</w:t>
      </w:r>
      <w:r w:rsidR="007C4A2E" w:rsidRPr="001F7773">
        <w:rPr>
          <w:rFonts w:cs="Arial"/>
          <w:b w:val="0"/>
          <w:color w:val="auto"/>
          <w:spacing w:val="0"/>
          <w:szCs w:val="24"/>
          <w:lang w:val="es-ES_tradnl"/>
        </w:rPr>
        <w:t xml:space="preserve"> y</w:t>
      </w:r>
      <w:r w:rsidR="00B05193" w:rsidRPr="001F7773">
        <w:rPr>
          <w:rFonts w:cs="Arial"/>
          <w:b w:val="0"/>
          <w:color w:val="auto"/>
          <w:spacing w:val="0"/>
          <w:szCs w:val="24"/>
          <w:lang w:val="es-ES_tradnl"/>
        </w:rPr>
        <w:t xml:space="preserve"> </w:t>
      </w:r>
      <w:r w:rsidR="00DA18C6" w:rsidRPr="001F7773">
        <w:rPr>
          <w:rFonts w:cs="Arial"/>
          <w:b w:val="0"/>
          <w:color w:val="auto"/>
          <w:spacing w:val="0"/>
          <w:szCs w:val="24"/>
          <w:lang w:val="es-ES_tradnl"/>
        </w:rPr>
        <w:t xml:space="preserve">en </w:t>
      </w:r>
      <w:r w:rsidR="009A31BF" w:rsidRPr="001F7773">
        <w:rPr>
          <w:rFonts w:cs="Arial"/>
          <w:b w:val="0"/>
          <w:color w:val="auto"/>
          <w:spacing w:val="0"/>
          <w:szCs w:val="24"/>
          <w:lang w:val="es-ES_tradnl"/>
        </w:rPr>
        <w:t xml:space="preserve">las </w:t>
      </w:r>
      <w:r w:rsidR="007C4A2E" w:rsidRPr="001F7773">
        <w:rPr>
          <w:rFonts w:cs="Arial"/>
          <w:b w:val="0"/>
          <w:color w:val="auto"/>
          <w:spacing w:val="0"/>
          <w:szCs w:val="24"/>
          <w:lang w:val="es-ES_tradnl"/>
        </w:rPr>
        <w:t xml:space="preserve">actividades </w:t>
      </w:r>
      <w:r w:rsidR="00036B48" w:rsidRPr="001F7773">
        <w:rPr>
          <w:rFonts w:cs="Arial"/>
          <w:b w:val="0"/>
          <w:color w:val="auto"/>
          <w:spacing w:val="0"/>
          <w:szCs w:val="24"/>
          <w:lang w:val="es-ES_tradnl"/>
        </w:rPr>
        <w:t>secundar</w:t>
      </w:r>
      <w:r w:rsidR="007C4A2E" w:rsidRPr="001F7773">
        <w:rPr>
          <w:rFonts w:cs="Arial"/>
          <w:b w:val="0"/>
          <w:color w:val="auto"/>
          <w:spacing w:val="0"/>
          <w:szCs w:val="24"/>
          <w:lang w:val="es-ES_tradnl"/>
        </w:rPr>
        <w:t>ias</w:t>
      </w:r>
      <w:r w:rsidR="009A31BF" w:rsidRPr="001F7773">
        <w:rPr>
          <w:rFonts w:cs="Arial"/>
          <w:b w:val="0"/>
          <w:color w:val="auto"/>
          <w:spacing w:val="0"/>
          <w:szCs w:val="24"/>
          <w:lang w:val="es-ES_tradnl"/>
        </w:rPr>
        <w:t xml:space="preserve"> </w:t>
      </w:r>
      <w:r w:rsidR="00291226">
        <w:rPr>
          <w:rFonts w:cs="Arial"/>
          <w:b w:val="0"/>
          <w:color w:val="auto"/>
          <w:spacing w:val="0"/>
          <w:szCs w:val="24"/>
          <w:lang w:val="es-ES_tradnl"/>
        </w:rPr>
        <w:t xml:space="preserve">retrocedió </w:t>
      </w:r>
      <w:r w:rsidR="00B05193" w:rsidRPr="001F7773">
        <w:rPr>
          <w:rFonts w:cs="Arial"/>
          <w:b w:val="0"/>
          <w:color w:val="auto"/>
          <w:spacing w:val="0"/>
          <w:szCs w:val="24"/>
          <w:lang w:val="es-ES_tradnl"/>
        </w:rPr>
        <w:t>0.</w:t>
      </w:r>
      <w:r w:rsidR="00E43E3F">
        <w:rPr>
          <w:rFonts w:cs="Arial"/>
          <w:b w:val="0"/>
          <w:color w:val="auto"/>
          <w:spacing w:val="0"/>
          <w:szCs w:val="24"/>
          <w:lang w:val="es-ES_tradnl"/>
        </w:rPr>
        <w:t>3</w:t>
      </w:r>
      <w:r w:rsidR="009A31BF" w:rsidRPr="001F7773">
        <w:rPr>
          <w:rFonts w:cs="Arial"/>
          <w:b w:val="0"/>
          <w:color w:val="auto"/>
          <w:spacing w:val="0"/>
          <w:szCs w:val="24"/>
          <w:lang w:val="es-ES_tradnl"/>
        </w:rPr>
        <w:t>%</w:t>
      </w:r>
      <w:r w:rsidR="009109B4" w:rsidRPr="001F7773">
        <w:rPr>
          <w:rFonts w:cs="Arial"/>
          <w:b w:val="0"/>
          <w:color w:val="auto"/>
          <w:spacing w:val="0"/>
          <w:szCs w:val="24"/>
          <w:lang w:val="es-ES_tradnl"/>
        </w:rPr>
        <w:t>.</w:t>
      </w:r>
    </w:p>
    <w:p w14:paraId="639DEE40" w14:textId="472D0ABF"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3CC9E96A" w14:textId="49CE7FEE"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3"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r w:rsidR="00655A54">
        <w:rPr>
          <w:rFonts w:cs="Arial"/>
          <w:smallCaps/>
          <w:color w:val="auto"/>
          <w:spacing w:val="0"/>
          <w:sz w:val="20"/>
          <w:lang w:val="es-ES_tradnl"/>
        </w:rPr>
        <w:t xml:space="preserve"> </w:t>
      </w:r>
      <w:r w:rsidR="00EC024A">
        <w:rPr>
          <w:rFonts w:cs="Arial"/>
          <w:smallCaps/>
          <w:color w:val="auto"/>
          <w:spacing w:val="0"/>
          <w:sz w:val="20"/>
          <w:lang w:val="es-ES_tradnl"/>
        </w:rPr>
        <w:t xml:space="preserve">en el </w:t>
      </w:r>
      <w:r w:rsidR="00095B75">
        <w:rPr>
          <w:rFonts w:cs="Arial"/>
          <w:smallCaps/>
          <w:color w:val="auto"/>
          <w:spacing w:val="0"/>
          <w:sz w:val="20"/>
          <w:lang w:val="es-ES_tradnl"/>
        </w:rPr>
        <w:t>cuarto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2C1117">
        <w:rPr>
          <w:rFonts w:cs="Arial"/>
          <w:smallCaps/>
          <w:color w:val="auto"/>
          <w:spacing w:val="0"/>
          <w:sz w:val="20"/>
          <w:lang w:val="es-ES_tradnl"/>
        </w:rPr>
        <w:t>21</w:t>
      </w:r>
    </w:p>
    <w:p w14:paraId="290C4B05" w14:textId="573506A5" w:rsidR="006E17DA" w:rsidRPr="00E34826"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6E17DA" w:rsidRPr="00E34826">
        <w:rPr>
          <w:rFonts w:cs="Arial"/>
          <w:smallCaps/>
          <w:color w:val="auto"/>
          <w:spacing w:val="0"/>
          <w:sz w:val="20"/>
          <w:lang w:val="es-ES_tradnl"/>
        </w:rPr>
        <w:t xml:space="preserve">ifras </w:t>
      </w:r>
      <w:r>
        <w:rPr>
          <w:rFonts w:cs="Arial"/>
          <w:smallCaps/>
          <w:color w:val="auto"/>
          <w:spacing w:val="0"/>
          <w:sz w:val="20"/>
          <w:lang w:val="es-ES_tradnl"/>
        </w:rPr>
        <w:t>d</w:t>
      </w:r>
      <w:r w:rsidR="006E17DA" w:rsidRPr="00E34826">
        <w:rPr>
          <w:rFonts w:cs="Arial"/>
          <w:smallCaps/>
          <w:color w:val="auto"/>
          <w:spacing w:val="0"/>
          <w:sz w:val="20"/>
          <w:lang w:val="es-ES_tradnl"/>
        </w:rPr>
        <w:t>esestacion</w:t>
      </w:r>
      <w:r w:rsidR="009A535B" w:rsidRPr="00E34826">
        <w:rPr>
          <w:rFonts w:cs="Arial"/>
          <w:smallCaps/>
          <w:color w:val="auto"/>
          <w:spacing w:val="0"/>
          <w:sz w:val="20"/>
          <w:lang w:val="es-ES_tradnl"/>
        </w:rPr>
        <w:t>a</w:t>
      </w:r>
      <w:r w:rsidR="006E17DA"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60FE4DEA"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7A6CB8B"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DB6D56"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173F55B3"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FFE366"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C38E47"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362BE8"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6A399E" w:rsidRPr="00E34826" w14:paraId="2952AEFC" w14:textId="77777777" w:rsidTr="006A399E">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3C77596" w14:textId="77777777"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5F6F939" w14:textId="5E4D3ED1" w:rsidR="006A399E" w:rsidRPr="00CA09F2" w:rsidRDefault="006A399E" w:rsidP="006A399E">
            <w:pPr>
              <w:tabs>
                <w:tab w:val="decimal" w:pos="944"/>
              </w:tabs>
              <w:jc w:val="left"/>
              <w:rPr>
                <w:b/>
                <w:bCs/>
                <w:color w:val="000000"/>
                <w:sz w:val="18"/>
                <w:szCs w:val="18"/>
                <w:lang w:val="es-MX" w:eastAsia="es-MX"/>
              </w:rPr>
            </w:pPr>
            <w:r>
              <w:rPr>
                <w:b/>
                <w:bCs/>
                <w:color w:val="000000"/>
                <w:sz w:val="18"/>
                <w:szCs w:val="18"/>
              </w:rPr>
              <w:t>-1.2</w:t>
            </w:r>
          </w:p>
        </w:tc>
        <w:tc>
          <w:tcPr>
            <w:tcW w:w="1871" w:type="dxa"/>
            <w:tcBorders>
              <w:top w:val="single" w:sz="6" w:space="0" w:color="948A54" w:themeColor="background2" w:themeShade="80"/>
            </w:tcBorders>
            <w:vAlign w:val="center"/>
          </w:tcPr>
          <w:p w14:paraId="2EC3D1C1" w14:textId="5CA476A2" w:rsidR="006A399E" w:rsidRPr="00CA09F2" w:rsidRDefault="006A399E" w:rsidP="006A399E">
            <w:pPr>
              <w:tabs>
                <w:tab w:val="decimal" w:pos="844"/>
              </w:tabs>
              <w:jc w:val="left"/>
              <w:rPr>
                <w:b/>
                <w:bCs/>
                <w:color w:val="000000"/>
                <w:sz w:val="18"/>
                <w:szCs w:val="18"/>
              </w:rPr>
            </w:pPr>
            <w:r>
              <w:rPr>
                <w:b/>
                <w:bCs/>
                <w:color w:val="000000"/>
                <w:sz w:val="18"/>
                <w:szCs w:val="18"/>
              </w:rPr>
              <w:t>-6.4</w:t>
            </w:r>
          </w:p>
        </w:tc>
      </w:tr>
      <w:tr w:rsidR="006A399E" w:rsidRPr="00E34826" w14:paraId="7C0BFD57" w14:textId="77777777" w:rsidTr="006A399E">
        <w:trPr>
          <w:cantSplit/>
          <w:trHeight w:val="284"/>
          <w:jc w:val="center"/>
        </w:trPr>
        <w:tc>
          <w:tcPr>
            <w:tcW w:w="3629" w:type="dxa"/>
            <w:tcBorders>
              <w:top w:val="nil"/>
              <w:bottom w:val="nil"/>
              <w:right w:val="single" w:sz="6" w:space="0" w:color="948A54" w:themeColor="background2" w:themeShade="80"/>
            </w:tcBorders>
            <w:vAlign w:val="center"/>
          </w:tcPr>
          <w:p w14:paraId="640FB32A" w14:textId="5FA6ED2F"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sidR="00DC720E">
              <w:rPr>
                <w:rFonts w:cs="Arial"/>
                <w:b w:val="0"/>
                <w:color w:val="auto"/>
                <w:spacing w:val="0"/>
                <w:sz w:val="18"/>
                <w:szCs w:val="18"/>
                <w:lang w:val="es-ES_tradnl"/>
              </w:rPr>
              <w:t>a</w:t>
            </w:r>
            <w:r w:rsidRPr="00E34826">
              <w:rPr>
                <w:rFonts w:cs="Arial"/>
                <w:b w:val="0"/>
                <w:color w:val="auto"/>
                <w:spacing w:val="0"/>
                <w:sz w:val="18"/>
                <w:szCs w:val="18"/>
                <w:lang w:val="es-ES_tradnl"/>
              </w:rPr>
              <w:t>ctividades</w:t>
            </w:r>
            <w:r w:rsidR="00DC720E">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4959463F" w14:textId="2C7A5FC9" w:rsidR="006A399E" w:rsidRPr="00CA09F2" w:rsidRDefault="006A399E" w:rsidP="006A399E">
            <w:pPr>
              <w:tabs>
                <w:tab w:val="decimal" w:pos="944"/>
              </w:tabs>
              <w:jc w:val="left"/>
              <w:rPr>
                <w:color w:val="000000"/>
                <w:sz w:val="18"/>
                <w:szCs w:val="18"/>
              </w:rPr>
            </w:pPr>
            <w:r>
              <w:rPr>
                <w:color w:val="000000"/>
                <w:sz w:val="18"/>
                <w:szCs w:val="18"/>
              </w:rPr>
              <w:t>1.3</w:t>
            </w:r>
          </w:p>
        </w:tc>
        <w:tc>
          <w:tcPr>
            <w:tcW w:w="1871" w:type="dxa"/>
            <w:vAlign w:val="center"/>
          </w:tcPr>
          <w:p w14:paraId="00E8BFA0" w14:textId="7CE61A37" w:rsidR="006A399E" w:rsidRPr="00CA09F2" w:rsidRDefault="006A399E" w:rsidP="006A399E">
            <w:pPr>
              <w:tabs>
                <w:tab w:val="decimal" w:pos="844"/>
              </w:tabs>
              <w:jc w:val="left"/>
              <w:rPr>
                <w:color w:val="000000"/>
                <w:sz w:val="18"/>
                <w:szCs w:val="18"/>
              </w:rPr>
            </w:pPr>
            <w:r>
              <w:rPr>
                <w:color w:val="000000"/>
                <w:sz w:val="18"/>
                <w:szCs w:val="18"/>
              </w:rPr>
              <w:t>1.9</w:t>
            </w:r>
          </w:p>
        </w:tc>
      </w:tr>
      <w:tr w:rsidR="006A399E" w:rsidRPr="00E34826" w14:paraId="2E489984" w14:textId="77777777" w:rsidTr="006A399E">
        <w:trPr>
          <w:cantSplit/>
          <w:trHeight w:val="284"/>
          <w:jc w:val="center"/>
        </w:trPr>
        <w:tc>
          <w:tcPr>
            <w:tcW w:w="3629" w:type="dxa"/>
            <w:tcBorders>
              <w:top w:val="nil"/>
              <w:bottom w:val="nil"/>
              <w:right w:val="single" w:sz="6" w:space="0" w:color="948A54" w:themeColor="background2" w:themeShade="80"/>
            </w:tcBorders>
            <w:vAlign w:val="center"/>
          </w:tcPr>
          <w:p w14:paraId="7302F6DA" w14:textId="419C460E"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sidR="00DC720E">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sidR="00DC720E">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53C50580" w14:textId="7068D1FE" w:rsidR="006A399E" w:rsidRPr="00CA09F2" w:rsidRDefault="006A399E" w:rsidP="006A399E">
            <w:pPr>
              <w:tabs>
                <w:tab w:val="decimal" w:pos="944"/>
              </w:tabs>
              <w:jc w:val="left"/>
              <w:rPr>
                <w:color w:val="000000"/>
                <w:sz w:val="18"/>
                <w:szCs w:val="18"/>
              </w:rPr>
            </w:pPr>
            <w:r>
              <w:rPr>
                <w:color w:val="000000"/>
                <w:sz w:val="18"/>
                <w:szCs w:val="18"/>
              </w:rPr>
              <w:t>-0.3</w:t>
            </w:r>
          </w:p>
        </w:tc>
        <w:tc>
          <w:tcPr>
            <w:tcW w:w="1871" w:type="dxa"/>
            <w:tcBorders>
              <w:bottom w:val="nil"/>
            </w:tcBorders>
            <w:vAlign w:val="center"/>
          </w:tcPr>
          <w:p w14:paraId="4870E687" w14:textId="21944673" w:rsidR="006A399E" w:rsidRPr="00CA09F2" w:rsidRDefault="006A399E" w:rsidP="006A399E">
            <w:pPr>
              <w:tabs>
                <w:tab w:val="decimal" w:pos="844"/>
              </w:tabs>
              <w:jc w:val="left"/>
              <w:rPr>
                <w:color w:val="000000"/>
                <w:sz w:val="18"/>
                <w:szCs w:val="18"/>
              </w:rPr>
            </w:pPr>
            <w:r>
              <w:rPr>
                <w:color w:val="000000"/>
                <w:sz w:val="18"/>
                <w:szCs w:val="18"/>
              </w:rPr>
              <w:t>-5.0</w:t>
            </w:r>
          </w:p>
        </w:tc>
      </w:tr>
      <w:tr w:rsidR="006A399E" w:rsidRPr="00E34826" w14:paraId="63E10E14" w14:textId="77777777" w:rsidTr="006A399E">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23639F1" w14:textId="3D77CAAE"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sidR="00DC720E">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sidR="00DC720E">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655995FC" w14:textId="796ED9CB" w:rsidR="006A399E" w:rsidRPr="00CA09F2" w:rsidRDefault="006A399E" w:rsidP="006A399E">
            <w:pPr>
              <w:tabs>
                <w:tab w:val="decimal" w:pos="944"/>
              </w:tabs>
              <w:jc w:val="left"/>
              <w:rPr>
                <w:color w:val="000000"/>
                <w:sz w:val="18"/>
                <w:szCs w:val="18"/>
              </w:rPr>
            </w:pPr>
            <w:r>
              <w:rPr>
                <w:color w:val="000000"/>
                <w:sz w:val="18"/>
                <w:szCs w:val="18"/>
              </w:rPr>
              <w:t>-1.9</w:t>
            </w:r>
          </w:p>
        </w:tc>
        <w:tc>
          <w:tcPr>
            <w:tcW w:w="1871" w:type="dxa"/>
            <w:tcBorders>
              <w:top w:val="nil"/>
              <w:bottom w:val="single" w:sz="8" w:space="0" w:color="948A54" w:themeColor="background2" w:themeShade="80"/>
            </w:tcBorders>
            <w:vAlign w:val="center"/>
          </w:tcPr>
          <w:p w14:paraId="38DBD0AB" w14:textId="7EB7F73C" w:rsidR="006A399E" w:rsidRPr="00CA09F2" w:rsidRDefault="006A399E" w:rsidP="006A399E">
            <w:pPr>
              <w:tabs>
                <w:tab w:val="decimal" w:pos="844"/>
              </w:tabs>
              <w:jc w:val="left"/>
              <w:rPr>
                <w:color w:val="000000"/>
                <w:sz w:val="18"/>
                <w:szCs w:val="18"/>
              </w:rPr>
            </w:pPr>
            <w:r>
              <w:rPr>
                <w:color w:val="000000"/>
                <w:sz w:val="18"/>
                <w:szCs w:val="18"/>
              </w:rPr>
              <w:t>-8.0</w:t>
            </w:r>
          </w:p>
        </w:tc>
      </w:tr>
    </w:tbl>
    <w:bookmarkEnd w:id="3"/>
    <w:p w14:paraId="4BE60CED"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212447A8" w14:textId="77777777" w:rsidR="003E2C3A" w:rsidRDefault="003E2C3A">
      <w:pPr>
        <w:jc w:val="left"/>
        <w:rPr>
          <w:lang w:val="es-MX" w:eastAsia="es-MX"/>
        </w:rPr>
      </w:pPr>
      <w:r>
        <w:rPr>
          <w:lang w:val="es-MX" w:eastAsia="es-MX"/>
        </w:rPr>
        <w:br w:type="page"/>
      </w:r>
    </w:p>
    <w:p w14:paraId="538ABD02" w14:textId="79432D0D"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0C81D88F"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6C5DAFD3" w14:textId="4918E87B"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y 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r w:rsidRPr="00E34826">
        <w:rPr>
          <w:rFonts w:cs="Arial"/>
          <w:smallCaps/>
          <w:color w:val="auto"/>
          <w:spacing w:val="0"/>
          <w:sz w:val="20"/>
          <w:lang w:val="es-ES_tradnl"/>
        </w:rPr>
        <w:br/>
      </w:r>
      <w:r w:rsidR="00ED110F">
        <w:rPr>
          <w:rFonts w:cs="Arial"/>
          <w:smallCaps/>
          <w:color w:val="auto"/>
          <w:spacing w:val="0"/>
          <w:sz w:val="20"/>
        </w:rPr>
        <w:t>s</w:t>
      </w:r>
      <w:r w:rsidRPr="00E34826">
        <w:rPr>
          <w:rFonts w:cs="Arial"/>
          <w:smallCaps/>
          <w:color w:val="auto"/>
          <w:spacing w:val="0"/>
          <w:sz w:val="20"/>
        </w:rPr>
        <w:t xml:space="preserve">eries de </w:t>
      </w:r>
      <w:r w:rsidR="00ED110F">
        <w:rPr>
          <w:rFonts w:cs="Arial"/>
          <w:smallCaps/>
          <w:color w:val="auto"/>
          <w:spacing w:val="0"/>
          <w:sz w:val="20"/>
        </w:rPr>
        <w:t>t</w:t>
      </w:r>
      <w:r w:rsidRPr="00E34826">
        <w:rPr>
          <w:rFonts w:cs="Arial"/>
          <w:smallCaps/>
          <w:color w:val="auto"/>
          <w:spacing w:val="0"/>
          <w:sz w:val="20"/>
        </w:rPr>
        <w:t>endencia-</w:t>
      </w:r>
      <w:r w:rsidR="00ED110F">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612F3599" w14:textId="1D967DD8" w:rsidR="00EA5096" w:rsidRPr="00E34826" w:rsidRDefault="00DC720E"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rPr>
        <w:drawing>
          <wp:inline distT="0" distB="0" distL="0" distR="0" wp14:anchorId="316699E4" wp14:editId="482A922D">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2829D6"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7ED9EF39" w14:textId="6B8C4724"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t>Índices de Productividad Laboral por Sector</w:t>
      </w:r>
      <w:r w:rsidR="00DC4DE5" w:rsidRPr="005D229C">
        <w:rPr>
          <w:rStyle w:val="Refdenotaalpie"/>
          <w:rFonts w:cs="Arial"/>
          <w:b w:val="0"/>
          <w:smallCaps/>
          <w:color w:val="auto"/>
          <w:spacing w:val="0"/>
          <w:szCs w:val="24"/>
        </w:rPr>
        <w:footnoteReference w:id="4"/>
      </w:r>
    </w:p>
    <w:p w14:paraId="74818037" w14:textId="5623A15A"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o</w:t>
      </w:r>
      <w:r w:rsidR="005A4AA1">
        <w:t>ctubre</w:t>
      </w:r>
      <w:r w:rsidR="005A4AA1" w:rsidRPr="001F7773">
        <w:noBreakHyphen/>
      </w:r>
      <w:r w:rsidR="005A4AA1">
        <w:t>dic</w:t>
      </w:r>
      <w:r w:rsidR="005A4AA1" w:rsidRPr="001F7773">
        <w:t>iembre de</w:t>
      </w:r>
      <w:r w:rsidR="005A4AA1">
        <w:t xml:space="preserve"> 2021 y </w:t>
      </w:r>
      <w:r w:rsidR="005A4AA1" w:rsidRPr="001F7773">
        <w:t>con cifras desestacionalizadas</w:t>
      </w:r>
      <w:r w:rsidR="005A4AA1">
        <w:t>, e</w:t>
      </w:r>
      <w:r w:rsidR="00EA5096" w:rsidRPr="00E34826">
        <w:rPr>
          <w:lang w:val="es-MX" w:eastAsia="es-MX"/>
        </w:rPr>
        <w:t>l Índice de Productividad Laboral con base en horas trabajadas</w:t>
      </w:r>
      <w:r w:rsidR="00E173A2" w:rsidRPr="00E34826">
        <w:rPr>
          <w:lang w:val="es-MX" w:eastAsia="es-MX"/>
        </w:rPr>
        <w:t xml:space="preserve"> </w:t>
      </w:r>
      <w:r w:rsidR="00E43E3F" w:rsidRPr="001F7773">
        <w:rPr>
          <w:lang w:val="es-MX" w:eastAsia="es-MX"/>
        </w:rPr>
        <w:t xml:space="preserve">en los establecimientos de las industrias manufactureras </w:t>
      </w:r>
      <w:r w:rsidR="00E43E3F">
        <w:rPr>
          <w:lang w:val="es-MX" w:eastAsia="es-MX"/>
        </w:rPr>
        <w:t>aumentó</w:t>
      </w:r>
      <w:r w:rsidR="00E43E3F" w:rsidRPr="001F7773">
        <w:rPr>
          <w:lang w:val="es-MX" w:eastAsia="es-MX"/>
        </w:rPr>
        <w:t xml:space="preserve"> </w:t>
      </w:r>
      <w:r w:rsidR="00E43E3F">
        <w:rPr>
          <w:lang w:val="es-MX" w:eastAsia="es-MX"/>
        </w:rPr>
        <w:t>2</w:t>
      </w:r>
      <w:r w:rsidR="00E43E3F" w:rsidRPr="001F7773">
        <w:rPr>
          <w:lang w:val="es-MX" w:eastAsia="es-MX"/>
        </w:rPr>
        <w:t>%</w:t>
      </w:r>
      <w:r w:rsidR="005A4AA1">
        <w:rPr>
          <w:lang w:val="es-MX" w:eastAsia="es-MX"/>
        </w:rPr>
        <w:t xml:space="preserve"> a tasa trimestral</w:t>
      </w:r>
      <w:r w:rsidR="00E43E3F">
        <w:rPr>
          <w:lang w:val="es-MX" w:eastAsia="es-MX"/>
        </w:rPr>
        <w:t xml:space="preserve"> y </w:t>
      </w:r>
      <w:r w:rsidR="00CA09F2">
        <w:rPr>
          <w:lang w:val="es-MX" w:eastAsia="es-MX"/>
        </w:rPr>
        <w:t xml:space="preserve">en </w:t>
      </w:r>
      <w:r w:rsidR="0061661D">
        <w:rPr>
          <w:lang w:val="es-MX" w:eastAsia="es-MX"/>
        </w:rPr>
        <w:t xml:space="preserve">las empresas de la construcción </w:t>
      </w:r>
      <w:r w:rsidR="00291226">
        <w:rPr>
          <w:lang w:val="es-MX" w:eastAsia="es-MX"/>
        </w:rPr>
        <w:t>crec</w:t>
      </w:r>
      <w:r w:rsidR="00E43E3F">
        <w:rPr>
          <w:lang w:val="es-MX" w:eastAsia="es-MX"/>
        </w:rPr>
        <w:t>ió</w:t>
      </w:r>
      <w:r w:rsidR="007C4A2E" w:rsidRPr="001F7773">
        <w:rPr>
          <w:lang w:val="es-MX" w:eastAsia="es-MX"/>
        </w:rPr>
        <w:t xml:space="preserve"> </w:t>
      </w:r>
      <w:r w:rsidR="00E43E3F">
        <w:rPr>
          <w:lang w:val="es-MX" w:eastAsia="es-MX"/>
        </w:rPr>
        <w:t>0.2</w:t>
      </w:r>
      <w:r w:rsidR="0061661D" w:rsidRPr="001F7773">
        <w:rPr>
          <w:lang w:val="es-MX" w:eastAsia="es-MX"/>
        </w:rPr>
        <w:t>%</w:t>
      </w:r>
      <w:r w:rsidR="00E34826" w:rsidRPr="001F7773">
        <w:t>.</w:t>
      </w:r>
    </w:p>
    <w:p w14:paraId="2720B950" w14:textId="429FB2C5" w:rsidR="00EA5096" w:rsidRDefault="0048579B" w:rsidP="0098737C">
      <w:pPr>
        <w:keepLines/>
        <w:widowControl w:val="0"/>
        <w:autoSpaceDE w:val="0"/>
        <w:autoSpaceDN w:val="0"/>
        <w:adjustRightInd w:val="0"/>
        <w:spacing w:before="400"/>
        <w:rPr>
          <w:spacing w:val="-2"/>
          <w:lang w:val="es-MX" w:eastAsia="es-MX"/>
        </w:rPr>
      </w:pPr>
      <w:r>
        <w:rPr>
          <w:spacing w:val="-2"/>
        </w:rPr>
        <w:t>Con datos ajustados por estacionalidad, e</w:t>
      </w:r>
      <w:r w:rsidR="003E7EB2" w:rsidRPr="002D1354">
        <w:rPr>
          <w:spacing w:val="-2"/>
        </w:rPr>
        <w:t xml:space="preserv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006363CA"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D22858">
        <w:rPr>
          <w:spacing w:val="-2"/>
          <w:lang w:val="es-MX" w:eastAsia="es-MX"/>
        </w:rPr>
        <w:t>de un</w:t>
      </w:r>
      <w:r w:rsidR="00936C2F">
        <w:rPr>
          <w:spacing w:val="-2"/>
          <w:lang w:val="es-MX" w:eastAsia="es-MX"/>
        </w:rPr>
        <w:t xml:space="preserve"> trimestr</w:t>
      </w:r>
      <w:r w:rsidR="00D22858">
        <w:rPr>
          <w:spacing w:val="-2"/>
          <w:lang w:val="es-MX" w:eastAsia="es-MX"/>
        </w:rPr>
        <w:t>e a otro</w:t>
      </w:r>
      <w:r w:rsidR="00E34826" w:rsidRPr="002D1354">
        <w:rPr>
          <w:spacing w:val="-2"/>
          <w:lang w:val="es-MX" w:eastAsia="es-MX"/>
        </w:rPr>
        <w:t>:</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7C4A2E" w:rsidRPr="002D1354">
        <w:rPr>
          <w:spacing w:val="-2"/>
          <w:lang w:val="es-MX" w:eastAsia="es-MX"/>
        </w:rPr>
        <w:t xml:space="preserve">servicios privados no financieros </w:t>
      </w:r>
      <w:r w:rsidR="00E43E3F">
        <w:rPr>
          <w:spacing w:val="-2"/>
          <w:lang w:val="es-MX" w:eastAsia="es-MX"/>
        </w:rPr>
        <w:t>se increment</w:t>
      </w:r>
      <w:r w:rsidR="007C4A2E">
        <w:rPr>
          <w:spacing w:val="-2"/>
          <w:lang w:val="es-MX" w:eastAsia="es-MX"/>
        </w:rPr>
        <w:t xml:space="preserve">ó </w:t>
      </w:r>
      <w:r w:rsidR="00E43E3F">
        <w:rPr>
          <w:spacing w:val="-2"/>
          <w:lang w:val="es-MX" w:eastAsia="es-MX"/>
        </w:rPr>
        <w:t>4.6</w:t>
      </w:r>
      <w:r w:rsidR="007C4A2E">
        <w:rPr>
          <w:spacing w:val="-2"/>
          <w:lang w:val="es-MX" w:eastAsia="es-MX"/>
        </w:rPr>
        <w:t>%</w:t>
      </w:r>
      <w:r w:rsidR="00036B48">
        <w:rPr>
          <w:spacing w:val="-2"/>
          <w:lang w:val="es-MX" w:eastAsia="es-MX"/>
        </w:rPr>
        <w:t xml:space="preserve"> y</w:t>
      </w:r>
      <w:r w:rsidR="007C4A2E">
        <w:rPr>
          <w:spacing w:val="-2"/>
          <w:lang w:val="es-MX" w:eastAsia="es-MX"/>
        </w:rPr>
        <w:t xml:space="preserve"> en las </w:t>
      </w:r>
      <w:r w:rsidR="00B05193" w:rsidRPr="002D1354">
        <w:rPr>
          <w:spacing w:val="-2"/>
          <w:lang w:val="es-MX" w:eastAsia="es-MX"/>
        </w:rPr>
        <w:t xml:space="preserve">de </w:t>
      </w:r>
      <w:r w:rsidR="0061661D">
        <w:rPr>
          <w:spacing w:val="-2"/>
          <w:lang w:val="es-MX" w:eastAsia="es-MX"/>
        </w:rPr>
        <w:t xml:space="preserve">comercio al por </w:t>
      </w:r>
      <w:r w:rsidR="00E43E3F">
        <w:rPr>
          <w:spacing w:val="-2"/>
          <w:lang w:val="es-MX" w:eastAsia="es-MX"/>
        </w:rPr>
        <w:t>men</w:t>
      </w:r>
      <w:r w:rsidR="0061661D">
        <w:rPr>
          <w:spacing w:val="-2"/>
          <w:lang w:val="es-MX" w:eastAsia="es-MX"/>
        </w:rPr>
        <w:t xml:space="preserve">or </w:t>
      </w:r>
      <w:r w:rsidR="004B3CB8">
        <w:rPr>
          <w:spacing w:val="-2"/>
          <w:lang w:val="es-MX" w:eastAsia="es-MX"/>
        </w:rPr>
        <w:t>1.</w:t>
      </w:r>
      <w:r w:rsidR="00E43E3F">
        <w:rPr>
          <w:spacing w:val="-2"/>
          <w:lang w:val="es-MX" w:eastAsia="es-MX"/>
        </w:rPr>
        <w:t>1</w:t>
      </w:r>
      <w:r w:rsidR="00091E29">
        <w:rPr>
          <w:spacing w:val="-2"/>
          <w:lang w:val="es-MX" w:eastAsia="es-MX"/>
        </w:rPr>
        <w:t>%</w:t>
      </w:r>
      <w:r w:rsidR="00DF5690">
        <w:rPr>
          <w:spacing w:val="-2"/>
          <w:lang w:val="es-MX" w:eastAsia="es-MX"/>
        </w:rPr>
        <w:t>;</w:t>
      </w:r>
      <w:r w:rsidR="00091E29">
        <w:rPr>
          <w:spacing w:val="-2"/>
          <w:lang w:val="es-MX" w:eastAsia="es-MX"/>
        </w:rPr>
        <w:t xml:space="preserve"> </w:t>
      </w:r>
      <w:r w:rsidR="00E43E3F">
        <w:rPr>
          <w:spacing w:val="-2"/>
          <w:lang w:val="es-MX" w:eastAsia="es-MX"/>
        </w:rPr>
        <w:t>por su parte</w:t>
      </w:r>
      <w:r w:rsidR="00DF5690">
        <w:rPr>
          <w:spacing w:val="-2"/>
          <w:lang w:val="es-MX" w:eastAsia="es-MX"/>
        </w:rPr>
        <w:t>,</w:t>
      </w:r>
      <w:r w:rsidR="00E53A19">
        <w:rPr>
          <w:spacing w:val="-2"/>
          <w:lang w:val="es-MX" w:eastAsia="es-MX"/>
        </w:rPr>
        <w:t xml:space="preserve"> en las de comercio al </w:t>
      </w:r>
      <w:r w:rsidR="00E43E3F">
        <w:rPr>
          <w:spacing w:val="-2"/>
          <w:lang w:val="es-MX" w:eastAsia="es-MX"/>
        </w:rPr>
        <w:t>mayoreo no registró variación</w:t>
      </w:r>
      <w:r w:rsidR="00DF5690">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DF5690">
        <w:rPr>
          <w:spacing w:val="-2"/>
          <w:lang w:val="es-MX" w:eastAsia="es-MX"/>
        </w:rPr>
        <w:t>cuarto</w:t>
      </w:r>
      <w:r w:rsidR="003112B2">
        <w:rPr>
          <w:spacing w:val="-2"/>
          <w:lang w:val="es-MX" w:eastAsia="es-MX"/>
        </w:rPr>
        <w:t xml:space="preserve"> </w:t>
      </w:r>
      <w:r w:rsidR="00BC1E2E">
        <w:rPr>
          <w:spacing w:val="-2"/>
          <w:lang w:val="es-MX" w:eastAsia="es-MX"/>
        </w:rPr>
        <w:t>trimestre</w:t>
      </w:r>
      <w:r w:rsidR="00133DA0" w:rsidRPr="002D1354">
        <w:rPr>
          <w:spacing w:val="-2"/>
          <w:lang w:val="es-MX" w:eastAsia="es-MX"/>
        </w:rPr>
        <w:t xml:space="preserve"> </w:t>
      </w:r>
      <w:r w:rsidR="00925742">
        <w:rPr>
          <w:spacing w:val="-2"/>
          <w:lang w:val="es-MX" w:eastAsia="es-MX"/>
        </w:rPr>
        <w:t>de</w:t>
      </w:r>
      <w:r w:rsidR="003112B2">
        <w:rPr>
          <w:spacing w:val="-2"/>
          <w:lang w:val="es-MX" w:eastAsia="es-MX"/>
        </w:rPr>
        <w:t xml:space="preserve"> </w:t>
      </w:r>
      <w:r w:rsidR="00377E27">
        <w:rPr>
          <w:spacing w:val="-2"/>
          <w:lang w:val="es-MX" w:eastAsia="es-MX"/>
        </w:rPr>
        <w:t>202</w:t>
      </w:r>
      <w:r w:rsidR="00E53A19">
        <w:rPr>
          <w:spacing w:val="-2"/>
          <w:lang w:val="es-MX" w:eastAsia="es-MX"/>
        </w:rPr>
        <w:t>1</w:t>
      </w:r>
      <w:r w:rsidR="004F2C1D" w:rsidRPr="002D1354">
        <w:rPr>
          <w:spacing w:val="-2"/>
          <w:lang w:val="es-MX" w:eastAsia="es-MX"/>
        </w:rPr>
        <w:t>.</w:t>
      </w:r>
    </w:p>
    <w:p w14:paraId="608D4EEE" w14:textId="2819D774" w:rsidR="003E2C3A" w:rsidRDefault="003E2C3A">
      <w:pPr>
        <w:jc w:val="left"/>
        <w:rPr>
          <w:spacing w:val="-2"/>
          <w:lang w:val="es-MX" w:eastAsia="es-MX"/>
        </w:rPr>
      </w:pPr>
      <w:r>
        <w:rPr>
          <w:spacing w:val="-2"/>
          <w:lang w:val="es-MX" w:eastAsia="es-MX"/>
        </w:rPr>
        <w:br w:type="page"/>
      </w:r>
    </w:p>
    <w:p w14:paraId="2D720B4E"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4" w:name="OLE_LINK2"/>
      <w:r w:rsidRPr="00E34826">
        <w:rPr>
          <w:rFonts w:cs="Arial"/>
          <w:b w:val="0"/>
          <w:color w:val="auto"/>
          <w:spacing w:val="0"/>
          <w:sz w:val="20"/>
          <w:lang w:val="es-ES_tradnl"/>
        </w:rPr>
        <w:lastRenderedPageBreak/>
        <w:t>Cuadro 2</w:t>
      </w:r>
    </w:p>
    <w:p w14:paraId="0B286FA1" w14:textId="2FE31431"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w:t>
      </w:r>
      <w:r w:rsidR="00ED110F">
        <w:rPr>
          <w:rFonts w:cs="Arial"/>
          <w:smallCaps/>
          <w:color w:val="auto"/>
          <w:spacing w:val="0"/>
          <w:sz w:val="20"/>
          <w:lang w:val="es-ES_tradnl"/>
        </w:rPr>
        <w:t>s</w:t>
      </w:r>
      <w:r w:rsidRPr="00E34826">
        <w:rPr>
          <w:rFonts w:cs="Arial"/>
          <w:smallCaps/>
          <w:color w:val="auto"/>
          <w:spacing w:val="0"/>
          <w:sz w:val="20"/>
          <w:lang w:val="es-ES_tradnl"/>
        </w:rPr>
        <w:t>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095B75">
        <w:rPr>
          <w:rFonts w:cs="Arial"/>
          <w:smallCaps/>
          <w:color w:val="auto"/>
          <w:spacing w:val="0"/>
          <w:sz w:val="20"/>
          <w:lang w:val="es-ES_tradnl"/>
        </w:rPr>
        <w:t>cuarto</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w:t>
      </w:r>
      <w:r w:rsidR="00E53A19">
        <w:rPr>
          <w:rFonts w:cs="Arial"/>
          <w:smallCaps/>
          <w:color w:val="auto"/>
          <w:spacing w:val="0"/>
          <w:sz w:val="20"/>
          <w:lang w:val="es-ES_tradnl"/>
        </w:rPr>
        <w:t>1</w:t>
      </w:r>
    </w:p>
    <w:p w14:paraId="294F211F" w14:textId="058194F3" w:rsidR="009A535B" w:rsidRPr="00E34826"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9A535B" w:rsidRPr="00E34826">
        <w:rPr>
          <w:rFonts w:cs="Arial"/>
          <w:smallCaps/>
          <w:color w:val="auto"/>
          <w:spacing w:val="0"/>
          <w:sz w:val="20"/>
          <w:lang w:val="es-ES_tradnl"/>
        </w:rPr>
        <w:t xml:space="preserve">ifras </w:t>
      </w:r>
      <w:r>
        <w:rPr>
          <w:rFonts w:cs="Arial"/>
          <w:smallCaps/>
          <w:color w:val="auto"/>
          <w:spacing w:val="0"/>
          <w:sz w:val="20"/>
          <w:lang w:val="es-ES_tradnl"/>
        </w:rPr>
        <w:t>d</w:t>
      </w:r>
      <w:r w:rsidR="009A535B"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9A535B" w:rsidRPr="00E34826" w14:paraId="2B7E869C" w14:textId="77777777" w:rsidTr="00DC720E">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4"/>
          <w:p w14:paraId="5BB66D7D"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0933C57"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756666EB" w14:textId="77777777" w:rsidTr="00DC720E">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FFEE092"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FFA1478"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7F03678"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6A399E" w:rsidRPr="00E34826" w14:paraId="5A270075" w14:textId="77777777" w:rsidTr="00DC720E">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74873097" w14:textId="782304E8" w:rsidR="006A399E" w:rsidRPr="00E34826" w:rsidRDefault="006A399E" w:rsidP="006A399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sidR="00ED110F">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sidR="00ED110F">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01600E5D" w14:textId="1C6D3252" w:rsidR="006A399E" w:rsidRPr="00484688" w:rsidRDefault="006A399E" w:rsidP="006A399E">
            <w:pPr>
              <w:tabs>
                <w:tab w:val="decimal" w:pos="967"/>
              </w:tabs>
              <w:jc w:val="left"/>
              <w:rPr>
                <w:color w:val="000000"/>
                <w:sz w:val="18"/>
                <w:szCs w:val="18"/>
              </w:rPr>
            </w:pPr>
            <w:r>
              <w:rPr>
                <w:color w:val="000000"/>
                <w:sz w:val="18"/>
                <w:szCs w:val="18"/>
              </w:rPr>
              <w:t>0.2</w:t>
            </w:r>
          </w:p>
        </w:tc>
        <w:tc>
          <w:tcPr>
            <w:tcW w:w="1871" w:type="dxa"/>
            <w:tcBorders>
              <w:top w:val="single" w:sz="6" w:space="0" w:color="948A54" w:themeColor="background2" w:themeShade="80"/>
            </w:tcBorders>
            <w:vAlign w:val="center"/>
          </w:tcPr>
          <w:p w14:paraId="5D13C2DA" w14:textId="6A729E6D" w:rsidR="006A399E" w:rsidRPr="00091E29" w:rsidRDefault="006A399E" w:rsidP="006A399E">
            <w:pPr>
              <w:tabs>
                <w:tab w:val="decimal" w:pos="967"/>
              </w:tabs>
              <w:jc w:val="left"/>
              <w:rPr>
                <w:color w:val="000000"/>
                <w:sz w:val="18"/>
                <w:szCs w:val="18"/>
              </w:rPr>
            </w:pPr>
            <w:r>
              <w:rPr>
                <w:color w:val="000000"/>
                <w:sz w:val="18"/>
                <w:szCs w:val="18"/>
              </w:rPr>
              <w:t>1.2</w:t>
            </w:r>
          </w:p>
        </w:tc>
      </w:tr>
      <w:tr w:rsidR="006A399E" w:rsidRPr="00E34826" w14:paraId="1EF30F15" w14:textId="77777777" w:rsidTr="00DC720E">
        <w:trPr>
          <w:cantSplit/>
          <w:trHeight w:val="284"/>
          <w:jc w:val="center"/>
        </w:trPr>
        <w:tc>
          <w:tcPr>
            <w:tcW w:w="3639" w:type="dxa"/>
            <w:tcBorders>
              <w:top w:val="nil"/>
              <w:bottom w:val="nil"/>
              <w:right w:val="single" w:sz="6" w:space="0" w:color="948A54" w:themeColor="background2" w:themeShade="80"/>
            </w:tcBorders>
            <w:vAlign w:val="center"/>
          </w:tcPr>
          <w:p w14:paraId="254976F3" w14:textId="0133F57C" w:rsidR="006A399E" w:rsidRPr="00E34826" w:rsidRDefault="006A399E" w:rsidP="006A399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sidR="00ED110F">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sidR="00ED110F">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0E651814" w14:textId="640CD988" w:rsidR="006A399E" w:rsidRPr="00484688" w:rsidRDefault="006A399E" w:rsidP="006A399E">
            <w:pPr>
              <w:tabs>
                <w:tab w:val="decimal" w:pos="967"/>
              </w:tabs>
              <w:jc w:val="left"/>
              <w:rPr>
                <w:color w:val="000000"/>
                <w:sz w:val="18"/>
                <w:szCs w:val="18"/>
              </w:rPr>
            </w:pPr>
            <w:r>
              <w:rPr>
                <w:color w:val="000000"/>
                <w:sz w:val="18"/>
                <w:szCs w:val="18"/>
              </w:rPr>
              <w:t>2.0</w:t>
            </w:r>
          </w:p>
        </w:tc>
        <w:tc>
          <w:tcPr>
            <w:tcW w:w="1871" w:type="dxa"/>
            <w:vAlign w:val="center"/>
          </w:tcPr>
          <w:p w14:paraId="57597BE6" w14:textId="57FF1DFF" w:rsidR="006A399E" w:rsidRPr="00091E29" w:rsidRDefault="006A399E" w:rsidP="006A399E">
            <w:pPr>
              <w:tabs>
                <w:tab w:val="decimal" w:pos="967"/>
              </w:tabs>
              <w:jc w:val="left"/>
              <w:rPr>
                <w:color w:val="000000"/>
                <w:sz w:val="18"/>
                <w:szCs w:val="18"/>
              </w:rPr>
            </w:pPr>
            <w:r>
              <w:rPr>
                <w:color w:val="000000"/>
                <w:sz w:val="18"/>
                <w:szCs w:val="18"/>
              </w:rPr>
              <w:t>-0.2</w:t>
            </w:r>
          </w:p>
        </w:tc>
      </w:tr>
      <w:tr w:rsidR="006A399E" w:rsidRPr="00E34826" w14:paraId="74280859" w14:textId="77777777" w:rsidTr="00DC720E">
        <w:trPr>
          <w:cantSplit/>
          <w:trHeight w:val="284"/>
          <w:jc w:val="center"/>
        </w:trPr>
        <w:tc>
          <w:tcPr>
            <w:tcW w:w="3639" w:type="dxa"/>
            <w:tcBorders>
              <w:top w:val="nil"/>
              <w:bottom w:val="nil"/>
              <w:right w:val="single" w:sz="6" w:space="0" w:color="948A54" w:themeColor="background2" w:themeShade="80"/>
            </w:tcBorders>
            <w:vAlign w:val="center"/>
          </w:tcPr>
          <w:p w14:paraId="6D965B03" w14:textId="569FFFAB" w:rsidR="006A399E" w:rsidRPr="002036A5"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sidR="00ED110F">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sidR="00ED110F">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3C2E7FBF" w14:textId="233B9513" w:rsidR="006A399E" w:rsidRPr="00484688" w:rsidRDefault="006A399E" w:rsidP="006A399E">
            <w:pPr>
              <w:tabs>
                <w:tab w:val="decimal" w:pos="967"/>
              </w:tabs>
              <w:jc w:val="left"/>
              <w:rPr>
                <w:color w:val="000000"/>
                <w:sz w:val="18"/>
                <w:szCs w:val="18"/>
              </w:rPr>
            </w:pPr>
            <w:r>
              <w:rPr>
                <w:color w:val="000000"/>
                <w:sz w:val="18"/>
                <w:szCs w:val="18"/>
              </w:rPr>
              <w:t>0.0</w:t>
            </w:r>
          </w:p>
        </w:tc>
        <w:tc>
          <w:tcPr>
            <w:tcW w:w="1871" w:type="dxa"/>
            <w:shd w:val="clear" w:color="auto" w:fill="auto"/>
            <w:vAlign w:val="center"/>
          </w:tcPr>
          <w:p w14:paraId="5EE78D63" w14:textId="108BB154" w:rsidR="006A399E" w:rsidRPr="00091E29" w:rsidRDefault="006A399E" w:rsidP="006A399E">
            <w:pPr>
              <w:tabs>
                <w:tab w:val="decimal" w:pos="967"/>
              </w:tabs>
              <w:jc w:val="left"/>
              <w:rPr>
                <w:color w:val="000000"/>
                <w:sz w:val="18"/>
                <w:szCs w:val="18"/>
              </w:rPr>
            </w:pPr>
            <w:r>
              <w:rPr>
                <w:color w:val="000000"/>
                <w:sz w:val="18"/>
                <w:szCs w:val="18"/>
              </w:rPr>
              <w:t>7.3</w:t>
            </w:r>
          </w:p>
        </w:tc>
      </w:tr>
      <w:tr w:rsidR="006A399E" w:rsidRPr="00E34826" w14:paraId="291CD91E" w14:textId="77777777" w:rsidTr="00DC720E">
        <w:trPr>
          <w:cantSplit/>
          <w:trHeight w:val="284"/>
          <w:jc w:val="center"/>
        </w:trPr>
        <w:tc>
          <w:tcPr>
            <w:tcW w:w="3639" w:type="dxa"/>
            <w:tcBorders>
              <w:top w:val="nil"/>
              <w:bottom w:val="nil"/>
              <w:right w:val="single" w:sz="6" w:space="0" w:color="948A54" w:themeColor="background2" w:themeShade="80"/>
            </w:tcBorders>
            <w:vAlign w:val="center"/>
          </w:tcPr>
          <w:p w14:paraId="3ED52210" w14:textId="5C8ECA3B" w:rsidR="006A399E" w:rsidRPr="002036A5"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sidR="00ED110F">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sidR="00ED110F">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118890AA" w14:textId="61A7AA8C" w:rsidR="006A399E" w:rsidRPr="00484688" w:rsidRDefault="006A399E" w:rsidP="006A399E">
            <w:pPr>
              <w:tabs>
                <w:tab w:val="decimal" w:pos="967"/>
              </w:tabs>
              <w:jc w:val="left"/>
              <w:rPr>
                <w:color w:val="000000"/>
                <w:sz w:val="18"/>
                <w:szCs w:val="18"/>
              </w:rPr>
            </w:pPr>
            <w:r>
              <w:rPr>
                <w:color w:val="000000"/>
                <w:sz w:val="18"/>
                <w:szCs w:val="18"/>
              </w:rPr>
              <w:t>1.1</w:t>
            </w:r>
          </w:p>
        </w:tc>
        <w:tc>
          <w:tcPr>
            <w:tcW w:w="1871" w:type="dxa"/>
            <w:shd w:val="clear" w:color="auto" w:fill="auto"/>
            <w:vAlign w:val="center"/>
          </w:tcPr>
          <w:p w14:paraId="3F227CDC" w14:textId="4BA4EDEF" w:rsidR="006A399E" w:rsidRPr="00091E29" w:rsidRDefault="006A399E" w:rsidP="006A399E">
            <w:pPr>
              <w:tabs>
                <w:tab w:val="decimal" w:pos="967"/>
              </w:tabs>
              <w:jc w:val="left"/>
              <w:rPr>
                <w:color w:val="000000"/>
                <w:sz w:val="18"/>
                <w:szCs w:val="18"/>
              </w:rPr>
            </w:pPr>
            <w:r>
              <w:rPr>
                <w:color w:val="000000"/>
                <w:sz w:val="18"/>
                <w:szCs w:val="18"/>
              </w:rPr>
              <w:t>5.5</w:t>
            </w:r>
          </w:p>
        </w:tc>
      </w:tr>
      <w:tr w:rsidR="006A399E" w:rsidRPr="00E34826" w14:paraId="150AA72C" w14:textId="77777777" w:rsidTr="00C81B78">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52C21B87" w14:textId="0CBD05FB"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sidR="00ED110F">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sidR="00ED110F">
              <w:rPr>
                <w:rFonts w:cs="Arial"/>
                <w:b w:val="0"/>
                <w:color w:val="auto"/>
                <w:spacing w:val="0"/>
                <w:sz w:val="18"/>
                <w:szCs w:val="18"/>
                <w:lang w:val="es-ES_tradnl"/>
              </w:rPr>
              <w:t>s</w:t>
            </w:r>
            <w:r w:rsidRPr="00E34826">
              <w:rPr>
                <w:rFonts w:cs="Arial"/>
                <w:b w:val="0"/>
                <w:color w:val="auto"/>
                <w:spacing w:val="0"/>
                <w:sz w:val="18"/>
                <w:szCs w:val="18"/>
                <w:lang w:val="es-ES_tradnl"/>
              </w:rPr>
              <w:t>ervicios</w:t>
            </w:r>
            <w:r w:rsidR="00C15223">
              <w:rPr>
                <w:rFonts w:cs="Arial"/>
                <w:b w:val="0"/>
                <w:color w:val="auto"/>
                <w:spacing w:val="0"/>
                <w:sz w:val="18"/>
                <w:szCs w:val="18"/>
                <w:lang w:val="es-ES_tradnl"/>
              </w:rPr>
              <w:t xml:space="preserve"> </w:t>
            </w:r>
            <w:r w:rsidR="00ED110F">
              <w:rPr>
                <w:rFonts w:cs="Arial"/>
                <w:b w:val="0"/>
                <w:color w:val="auto"/>
                <w:spacing w:val="0"/>
                <w:sz w:val="18"/>
                <w:szCs w:val="18"/>
                <w:lang w:val="es-ES_tradnl"/>
              </w:rPr>
              <w:t>p</w:t>
            </w:r>
            <w:r w:rsidR="00C15223">
              <w:rPr>
                <w:rFonts w:cs="Arial"/>
                <w:b w:val="0"/>
                <w:color w:val="auto"/>
                <w:spacing w:val="0"/>
                <w:sz w:val="18"/>
                <w:szCs w:val="18"/>
                <w:lang w:val="es-ES_tradnl"/>
              </w:rPr>
              <w:t xml:space="preserve">rivados no </w:t>
            </w:r>
            <w:r w:rsidR="00ED110F">
              <w:rPr>
                <w:rFonts w:cs="Arial"/>
                <w:b w:val="0"/>
                <w:color w:val="auto"/>
                <w:spacing w:val="0"/>
                <w:sz w:val="18"/>
                <w:szCs w:val="18"/>
                <w:lang w:val="es-ES_tradnl"/>
              </w:rPr>
              <w:t>f</w:t>
            </w:r>
            <w:r w:rsidR="00C15223">
              <w:rPr>
                <w:rFonts w:cs="Arial"/>
                <w:b w:val="0"/>
                <w:color w:val="auto"/>
                <w:spacing w:val="0"/>
                <w:sz w:val="18"/>
                <w:szCs w:val="18"/>
                <w:lang w:val="es-ES_tradnl"/>
              </w:rPr>
              <w:t>inancieros</w:t>
            </w:r>
          </w:p>
        </w:tc>
        <w:tc>
          <w:tcPr>
            <w:tcW w:w="1871" w:type="dxa"/>
            <w:tcBorders>
              <w:left w:val="single" w:sz="6" w:space="0" w:color="948A54" w:themeColor="background2" w:themeShade="80"/>
              <w:bottom w:val="single" w:sz="8" w:space="0" w:color="948A54" w:themeColor="background2" w:themeShade="80"/>
            </w:tcBorders>
            <w:vAlign w:val="center"/>
          </w:tcPr>
          <w:p w14:paraId="7BA6FCC1" w14:textId="30789791" w:rsidR="006A399E" w:rsidRPr="00484688" w:rsidRDefault="006A399E" w:rsidP="006A399E">
            <w:pPr>
              <w:tabs>
                <w:tab w:val="decimal" w:pos="967"/>
              </w:tabs>
              <w:jc w:val="left"/>
              <w:rPr>
                <w:color w:val="000000"/>
                <w:sz w:val="18"/>
                <w:szCs w:val="18"/>
              </w:rPr>
            </w:pPr>
            <w:r>
              <w:rPr>
                <w:color w:val="000000"/>
                <w:sz w:val="18"/>
                <w:szCs w:val="18"/>
              </w:rPr>
              <w:t>4.6</w:t>
            </w:r>
          </w:p>
        </w:tc>
        <w:tc>
          <w:tcPr>
            <w:tcW w:w="1871" w:type="dxa"/>
            <w:tcBorders>
              <w:bottom w:val="single" w:sz="8" w:space="0" w:color="948A54" w:themeColor="background2" w:themeShade="80"/>
            </w:tcBorders>
            <w:vAlign w:val="center"/>
          </w:tcPr>
          <w:p w14:paraId="503B7BD6" w14:textId="579E2EF4" w:rsidR="006A399E" w:rsidRPr="00091E29" w:rsidRDefault="006A399E" w:rsidP="006A399E">
            <w:pPr>
              <w:tabs>
                <w:tab w:val="decimal" w:pos="967"/>
              </w:tabs>
              <w:jc w:val="left"/>
              <w:rPr>
                <w:color w:val="000000"/>
                <w:sz w:val="18"/>
                <w:szCs w:val="18"/>
              </w:rPr>
            </w:pPr>
            <w:r>
              <w:rPr>
                <w:color w:val="000000"/>
                <w:sz w:val="18"/>
                <w:szCs w:val="18"/>
              </w:rPr>
              <w:t>19.7</w:t>
            </w:r>
          </w:p>
        </w:tc>
      </w:tr>
    </w:tbl>
    <w:p w14:paraId="4BA86A7E"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170A4A94" w14:textId="77777777" w:rsidR="00EA5096" w:rsidRPr="00E34826" w:rsidRDefault="00EA5096" w:rsidP="0098737C">
      <w:pPr>
        <w:pStyle w:val="bullet"/>
        <w:keepLines w:val="0"/>
        <w:widowControl w:val="0"/>
        <w:tabs>
          <w:tab w:val="left" w:pos="8364"/>
          <w:tab w:val="left" w:pos="8789"/>
        </w:tabs>
        <w:spacing w:before="48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0DBCB56" w14:textId="0A29F1BC"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w:t>
      </w:r>
      <w:r w:rsidR="00ED110F">
        <w:rPr>
          <w:rFonts w:cs="Arial"/>
          <w:smallCaps/>
          <w:color w:val="auto"/>
          <w:spacing w:val="0"/>
          <w:sz w:val="20"/>
          <w:lang w:val="es-ES_tradnl"/>
        </w:rPr>
        <w:t>s</w:t>
      </w:r>
      <w:r w:rsidR="00EA5096" w:rsidRPr="00E34826">
        <w:rPr>
          <w:rFonts w:cs="Arial"/>
          <w:smallCaps/>
          <w:color w:val="auto"/>
          <w:spacing w:val="0"/>
          <w:sz w:val="20"/>
          <w:lang w:val="es-ES_tradnl"/>
        </w:rPr>
        <w:t xml:space="preserve">ector </w:t>
      </w:r>
      <w:r w:rsidR="00EA5096" w:rsidRPr="00E34826">
        <w:rPr>
          <w:rFonts w:cs="Arial"/>
          <w:smallCaps/>
          <w:color w:val="auto"/>
          <w:spacing w:val="0"/>
          <w:sz w:val="20"/>
          <w:lang w:val="es-ES_tradnl"/>
        </w:rPr>
        <w:br/>
      </w:r>
      <w:r w:rsidR="00ED110F">
        <w:rPr>
          <w:rFonts w:cs="Arial"/>
          <w:smallCaps/>
          <w:color w:val="auto"/>
          <w:spacing w:val="0"/>
          <w:sz w:val="20"/>
        </w:rPr>
        <w:t>s</w:t>
      </w:r>
      <w:r w:rsidR="00EA5096" w:rsidRPr="00E34826">
        <w:rPr>
          <w:rFonts w:cs="Arial"/>
          <w:smallCaps/>
          <w:color w:val="auto"/>
          <w:spacing w:val="0"/>
          <w:sz w:val="20"/>
        </w:rPr>
        <w:t xml:space="preserve">eries de </w:t>
      </w:r>
      <w:r w:rsidR="00ED110F">
        <w:rPr>
          <w:rFonts w:cs="Arial"/>
          <w:smallCaps/>
          <w:color w:val="auto"/>
          <w:spacing w:val="0"/>
          <w:sz w:val="20"/>
        </w:rPr>
        <w:t>t</w:t>
      </w:r>
      <w:r w:rsidR="00EA5096" w:rsidRPr="00E34826">
        <w:rPr>
          <w:rFonts w:cs="Arial"/>
          <w:smallCaps/>
          <w:color w:val="auto"/>
          <w:spacing w:val="0"/>
          <w:sz w:val="20"/>
        </w:rPr>
        <w:t>endencia-</w:t>
      </w:r>
      <w:r w:rsidR="00ED110F">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0B14653B" w14:textId="47954183" w:rsidR="00EA5096" w:rsidRPr="00E34826" w:rsidRDefault="00DC720E"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rPr>
        <w:drawing>
          <wp:inline distT="0" distB="0" distL="0" distR="0" wp14:anchorId="43FF1C2D" wp14:editId="0394D1B7">
            <wp:extent cx="4680000" cy="2520000"/>
            <wp:effectExtent l="0" t="0" r="25400" b="1397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7C4AC0"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34C5D36" w14:textId="77777777" w:rsidR="0082695F" w:rsidRDefault="0082695F">
      <w:pPr>
        <w:jc w:val="left"/>
        <w:rPr>
          <w:b/>
        </w:rPr>
      </w:pPr>
      <w:r>
        <w:rPr>
          <w:b/>
        </w:rPr>
        <w:br w:type="page"/>
      </w:r>
    </w:p>
    <w:p w14:paraId="63A0BE50" w14:textId="1C3F3E50"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lastRenderedPageBreak/>
        <w:t>Costo Unitario de la Mano de Obra por Sector</w:t>
      </w:r>
      <w:r w:rsidR="00DC4DE5" w:rsidRPr="005D229C">
        <w:rPr>
          <w:rStyle w:val="Refdenotaalpie"/>
          <w:rFonts w:cs="Arial"/>
          <w:b w:val="0"/>
          <w:smallCaps/>
          <w:color w:val="auto"/>
          <w:spacing w:val="0"/>
          <w:szCs w:val="24"/>
        </w:rPr>
        <w:footnoteReference w:id="5"/>
      </w:r>
    </w:p>
    <w:p w14:paraId="4E26110B" w14:textId="5A129E5F"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n el trimestre octubre-diciembre de 2021 y con cifras desestacionalizadas, e</w:t>
      </w:r>
      <w:r w:rsidRPr="00377E27">
        <w:rPr>
          <w:spacing w:val="-2"/>
          <w:lang w:val="es-MX" w:eastAsia="es-MX"/>
        </w:rPr>
        <w:t xml:space="preserve">l Índice del Costo Unitario de la Mano de Obra </w:t>
      </w:r>
      <w:r w:rsidR="002B454B">
        <w:rPr>
          <w:bCs/>
          <w:spacing w:val="-2"/>
          <w:lang w:val="es-MX" w:eastAsia="es-MX"/>
        </w:rPr>
        <w:t xml:space="preserve">en </w:t>
      </w:r>
      <w:r w:rsidR="00C54B93">
        <w:rPr>
          <w:bCs/>
          <w:spacing w:val="-2"/>
          <w:lang w:val="es-MX" w:eastAsia="es-MX"/>
        </w:rPr>
        <w:t xml:space="preserve">las empresas </w:t>
      </w:r>
      <w:r w:rsidR="00C54B93" w:rsidRPr="00377E27">
        <w:rPr>
          <w:bCs/>
          <w:spacing w:val="-2"/>
          <w:lang w:val="es-MX" w:eastAsia="es-MX"/>
        </w:rPr>
        <w:t>d</w:t>
      </w:r>
      <w:r w:rsidR="00C54B93" w:rsidRPr="00377E27">
        <w:rPr>
          <w:spacing w:val="-2"/>
          <w:lang w:val="es-MX" w:eastAsia="es-MX"/>
        </w:rPr>
        <w:t xml:space="preserve">e </w:t>
      </w:r>
      <w:r w:rsidR="00C54B93">
        <w:rPr>
          <w:spacing w:val="-2"/>
          <w:lang w:val="es-MX" w:eastAsia="es-MX"/>
        </w:rPr>
        <w:t xml:space="preserve">servicios privados no financieros </w:t>
      </w:r>
      <w:r w:rsidR="00DF5690">
        <w:rPr>
          <w:spacing w:val="-2"/>
          <w:lang w:val="es-MX" w:eastAsia="es-MX"/>
        </w:rPr>
        <w:t>descendió 9.4</w:t>
      </w:r>
      <w:r w:rsidR="00C54B93">
        <w:rPr>
          <w:spacing w:val="-2"/>
          <w:lang w:val="es-MX" w:eastAsia="es-MX"/>
        </w:rPr>
        <w:t xml:space="preserve">% </w:t>
      </w:r>
      <w:r w:rsidR="00765E4B">
        <w:rPr>
          <w:spacing w:val="-2"/>
          <w:lang w:val="es-MX" w:eastAsia="es-MX"/>
        </w:rPr>
        <w:t xml:space="preserve">a tasa trimestral, </w:t>
      </w:r>
      <w:r w:rsidR="00C54B93">
        <w:rPr>
          <w:spacing w:val="-2"/>
          <w:lang w:val="es-MX" w:eastAsia="es-MX"/>
        </w:rPr>
        <w:t xml:space="preserve">en las de la construcción </w:t>
      </w:r>
      <w:r w:rsidR="00DF5690">
        <w:rPr>
          <w:spacing w:val="-2"/>
          <w:lang w:val="es-MX" w:eastAsia="es-MX"/>
        </w:rPr>
        <w:t>2.3</w:t>
      </w:r>
      <w:r w:rsidR="00C54B93">
        <w:rPr>
          <w:spacing w:val="-2"/>
          <w:lang w:val="es-MX" w:eastAsia="es-MX"/>
        </w:rPr>
        <w:t>%</w:t>
      </w:r>
      <w:r w:rsidR="00091E29">
        <w:rPr>
          <w:spacing w:val="-2"/>
          <w:lang w:val="es-MX" w:eastAsia="es-MX"/>
        </w:rPr>
        <w:t>,</w:t>
      </w:r>
      <w:r w:rsidR="00C54B93">
        <w:rPr>
          <w:spacing w:val="-2"/>
          <w:lang w:val="es-MX" w:eastAsia="es-MX"/>
        </w:rPr>
        <w:t xml:space="preserve"> </w:t>
      </w:r>
      <w:r w:rsidR="00091E29">
        <w:rPr>
          <w:spacing w:val="-2"/>
          <w:lang w:val="es-MX" w:eastAsia="es-MX"/>
        </w:rPr>
        <w:t xml:space="preserve">en </w:t>
      </w:r>
      <w:r w:rsidR="00091E29">
        <w:rPr>
          <w:bCs/>
          <w:spacing w:val="-2"/>
          <w:lang w:val="es-MX" w:eastAsia="es-MX"/>
        </w:rPr>
        <w:t xml:space="preserve">las de </w:t>
      </w:r>
      <w:r w:rsidR="00091E29">
        <w:rPr>
          <w:spacing w:val="-2"/>
          <w:lang w:val="es-MX" w:eastAsia="es-MX"/>
        </w:rPr>
        <w:t xml:space="preserve">comercio </w:t>
      </w:r>
      <w:r w:rsidR="00091E29">
        <w:rPr>
          <w:bCs/>
          <w:spacing w:val="-2"/>
          <w:lang w:val="es-MX" w:eastAsia="es-MX"/>
        </w:rPr>
        <w:t xml:space="preserve">al </w:t>
      </w:r>
      <w:r w:rsidR="00E12111">
        <w:rPr>
          <w:spacing w:val="-2"/>
          <w:lang w:val="es-MX" w:eastAsia="es-MX"/>
        </w:rPr>
        <w:t>mayoreo</w:t>
      </w:r>
      <w:r w:rsidR="00E12111">
        <w:rPr>
          <w:bCs/>
          <w:spacing w:val="-2"/>
          <w:lang w:val="es-MX" w:eastAsia="es-MX"/>
        </w:rPr>
        <w:t xml:space="preserve"> </w:t>
      </w:r>
      <w:r w:rsidR="00DF5690">
        <w:rPr>
          <w:bCs/>
          <w:spacing w:val="-2"/>
          <w:lang w:val="es-MX" w:eastAsia="es-MX"/>
        </w:rPr>
        <w:t>1.9</w:t>
      </w:r>
      <w:r w:rsidR="00E12111">
        <w:rPr>
          <w:bCs/>
          <w:spacing w:val="-2"/>
          <w:lang w:val="es-MX" w:eastAsia="es-MX"/>
        </w:rPr>
        <w:t xml:space="preserve">%, </w:t>
      </w:r>
      <w:r w:rsidR="004B3CB8">
        <w:rPr>
          <w:bCs/>
          <w:spacing w:val="-2"/>
          <w:lang w:val="es-MX" w:eastAsia="es-MX"/>
        </w:rPr>
        <w:t xml:space="preserve">en los </w:t>
      </w:r>
      <w:r w:rsidR="004B3CB8" w:rsidRPr="00377E27">
        <w:rPr>
          <w:bCs/>
          <w:spacing w:val="-2"/>
          <w:lang w:val="es-MX" w:eastAsia="es-MX"/>
        </w:rPr>
        <w:t>establecimientos manufactureros</w:t>
      </w:r>
      <w:r w:rsidR="004B3CB8">
        <w:rPr>
          <w:bCs/>
          <w:spacing w:val="-2"/>
          <w:lang w:val="es-MX" w:eastAsia="es-MX"/>
        </w:rPr>
        <w:t xml:space="preserve"> </w:t>
      </w:r>
      <w:r w:rsidR="00DF5690">
        <w:rPr>
          <w:spacing w:val="-2"/>
          <w:lang w:val="es-MX" w:eastAsia="es-MX"/>
        </w:rPr>
        <w:t>1.4</w:t>
      </w:r>
      <w:r w:rsidR="004B3CB8">
        <w:rPr>
          <w:spacing w:val="-2"/>
          <w:lang w:val="es-MX" w:eastAsia="es-MX"/>
        </w:rPr>
        <w:t xml:space="preserve">% </w:t>
      </w:r>
      <w:r w:rsidR="00E12111">
        <w:rPr>
          <w:bCs/>
          <w:spacing w:val="-2"/>
          <w:lang w:val="es-MX" w:eastAsia="es-MX"/>
        </w:rPr>
        <w:t xml:space="preserve">y </w:t>
      </w:r>
      <w:r w:rsidR="004B3CB8">
        <w:rPr>
          <w:bCs/>
          <w:spacing w:val="-2"/>
          <w:lang w:val="es-MX" w:eastAsia="es-MX"/>
        </w:rPr>
        <w:t>en las empresas de comercio al menudeo</w:t>
      </w:r>
      <w:r w:rsidR="004B3CB8">
        <w:rPr>
          <w:spacing w:val="-2"/>
          <w:lang w:val="es-MX" w:eastAsia="es-MX"/>
        </w:rPr>
        <w:t xml:space="preserve"> </w:t>
      </w:r>
      <w:r w:rsidR="00DF5690">
        <w:rPr>
          <w:spacing w:val="-2"/>
          <w:lang w:val="es-MX" w:eastAsia="es-MX"/>
        </w:rPr>
        <w:t>retroce</w:t>
      </w:r>
      <w:r w:rsidR="004B3CB8">
        <w:rPr>
          <w:spacing w:val="-2"/>
          <w:lang w:val="es-MX" w:eastAsia="es-MX"/>
        </w:rPr>
        <w:t>dió 0.</w:t>
      </w:r>
      <w:r w:rsidR="00DF5690">
        <w:rPr>
          <w:spacing w:val="-2"/>
          <w:lang w:val="es-MX" w:eastAsia="es-MX"/>
        </w:rPr>
        <w:t>9</w:t>
      </w:r>
      <w:r w:rsidR="004B3CB8">
        <w:rPr>
          <w:bCs/>
          <w:spacing w:val="-2"/>
          <w:lang w:val="es-MX" w:eastAsia="es-MX"/>
        </w:rPr>
        <w:t>%</w:t>
      </w:r>
      <w:r w:rsidR="00B9614E" w:rsidRPr="00377E27">
        <w:rPr>
          <w:spacing w:val="-2"/>
          <w:lang w:val="es-MX" w:eastAsia="es-MX"/>
        </w:rPr>
        <w:t>.</w:t>
      </w:r>
    </w:p>
    <w:p w14:paraId="25689F46"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9B316D3" w14:textId="59C2DC6A"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w:t>
      </w:r>
      <w:r w:rsidR="00ED110F">
        <w:rPr>
          <w:rFonts w:cs="Arial"/>
          <w:smallCaps/>
          <w:color w:val="auto"/>
          <w:spacing w:val="0"/>
          <w:sz w:val="20"/>
          <w:lang w:val="es-ES_tradnl"/>
        </w:rPr>
        <w:t>s</w:t>
      </w:r>
      <w:r w:rsidRPr="00E34826">
        <w:rPr>
          <w:rFonts w:cs="Arial"/>
          <w:smallCaps/>
          <w:color w:val="auto"/>
          <w:spacing w:val="0"/>
          <w:sz w:val="20"/>
          <w:lang w:val="es-ES_tradnl"/>
        </w:rPr>
        <w:t>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r>
      <w:r w:rsidR="00095B75">
        <w:rPr>
          <w:rFonts w:cs="Arial"/>
          <w:smallCaps/>
          <w:color w:val="auto"/>
          <w:spacing w:val="0"/>
          <w:sz w:val="20"/>
          <w:lang w:val="es-ES_tradnl"/>
        </w:rPr>
        <w:t>cuarto</w:t>
      </w:r>
      <w:r w:rsidR="00E12111">
        <w:rPr>
          <w:rFonts w:cs="Arial"/>
          <w:smallCaps/>
          <w:color w:val="auto"/>
          <w:spacing w:val="0"/>
          <w:sz w:val="20"/>
          <w:lang w:val="es-ES_tradnl"/>
        </w:rPr>
        <w:t xml:space="preserve"> </w:t>
      </w:r>
      <w:r w:rsidR="00655A54">
        <w:rPr>
          <w:rFonts w:cs="Arial"/>
          <w:smallCaps/>
          <w:color w:val="auto"/>
          <w:spacing w:val="0"/>
          <w:sz w:val="20"/>
          <w:lang w:val="es-ES_tradnl"/>
        </w:rPr>
        <w:t xml:space="preserve">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4101E7">
        <w:rPr>
          <w:rFonts w:cs="Arial"/>
          <w:smallCaps/>
          <w:color w:val="auto"/>
          <w:spacing w:val="0"/>
          <w:sz w:val="20"/>
          <w:lang w:val="es-ES_tradnl"/>
        </w:rPr>
        <w:t>1</w:t>
      </w:r>
    </w:p>
    <w:p w14:paraId="267F60B0" w14:textId="08EB4B10" w:rsidR="00F31DFE" w:rsidRPr="00E34826" w:rsidRDefault="00ED110F"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F31DFE" w:rsidRPr="00E34826">
        <w:rPr>
          <w:rFonts w:cs="Arial"/>
          <w:smallCaps/>
          <w:color w:val="auto"/>
          <w:spacing w:val="0"/>
          <w:sz w:val="20"/>
          <w:lang w:val="es-ES_tradnl"/>
        </w:rPr>
        <w:t xml:space="preserve">ifras </w:t>
      </w:r>
      <w:r>
        <w:rPr>
          <w:rFonts w:cs="Arial"/>
          <w:smallCaps/>
          <w:color w:val="auto"/>
          <w:spacing w:val="0"/>
          <w:sz w:val="20"/>
          <w:lang w:val="es-ES_tradnl"/>
        </w:rPr>
        <w:t>d</w:t>
      </w:r>
      <w:r w:rsidR="00F31DFE"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7D57D134"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AD1713"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E5B3D9F"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5BF2B9A3"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01ACEE"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453F5D0"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409EDC1"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6A399E" w:rsidRPr="00E34826" w14:paraId="3CED8A4B" w14:textId="77777777" w:rsidTr="006A399E">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9C888B8" w14:textId="3DDE297F" w:rsidR="006A399E" w:rsidRPr="00E34826" w:rsidRDefault="006A399E" w:rsidP="006A399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sidR="00ED110F">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sidR="00ED110F">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6D31C0E6" w14:textId="7B8EA43C" w:rsidR="006A399E" w:rsidRPr="001D6D3A" w:rsidRDefault="006A399E" w:rsidP="006A399E">
            <w:pPr>
              <w:tabs>
                <w:tab w:val="decimal" w:pos="995"/>
              </w:tabs>
              <w:jc w:val="left"/>
              <w:rPr>
                <w:color w:val="000000"/>
                <w:sz w:val="18"/>
                <w:szCs w:val="18"/>
              </w:rPr>
            </w:pPr>
            <w:r>
              <w:rPr>
                <w:color w:val="000000"/>
                <w:sz w:val="18"/>
                <w:szCs w:val="18"/>
              </w:rPr>
              <w:t>-2.3</w:t>
            </w:r>
          </w:p>
        </w:tc>
        <w:tc>
          <w:tcPr>
            <w:tcW w:w="1871" w:type="dxa"/>
            <w:tcBorders>
              <w:top w:val="single" w:sz="6" w:space="0" w:color="948A54" w:themeColor="background2" w:themeShade="80"/>
            </w:tcBorders>
            <w:vAlign w:val="center"/>
          </w:tcPr>
          <w:p w14:paraId="28C23164" w14:textId="62B168AD" w:rsidR="006A399E" w:rsidRPr="00484688" w:rsidRDefault="006A399E" w:rsidP="006A399E">
            <w:pPr>
              <w:tabs>
                <w:tab w:val="decimal" w:pos="957"/>
              </w:tabs>
              <w:jc w:val="left"/>
              <w:rPr>
                <w:color w:val="000000"/>
                <w:sz w:val="18"/>
                <w:szCs w:val="18"/>
              </w:rPr>
            </w:pPr>
            <w:r>
              <w:rPr>
                <w:color w:val="000000"/>
                <w:sz w:val="18"/>
                <w:szCs w:val="18"/>
              </w:rPr>
              <w:t>-11.0</w:t>
            </w:r>
          </w:p>
        </w:tc>
      </w:tr>
      <w:tr w:rsidR="006A399E" w:rsidRPr="00E34826" w14:paraId="6548632A" w14:textId="77777777" w:rsidTr="006A399E">
        <w:trPr>
          <w:cantSplit/>
          <w:trHeight w:val="284"/>
          <w:jc w:val="center"/>
        </w:trPr>
        <w:tc>
          <w:tcPr>
            <w:tcW w:w="3629" w:type="dxa"/>
            <w:tcBorders>
              <w:top w:val="nil"/>
              <w:bottom w:val="nil"/>
              <w:right w:val="single" w:sz="6" w:space="0" w:color="948A54" w:themeColor="background2" w:themeShade="80"/>
            </w:tcBorders>
            <w:vAlign w:val="center"/>
          </w:tcPr>
          <w:p w14:paraId="7FDF253A" w14:textId="69F78931" w:rsidR="006A399E" w:rsidRPr="00E34826" w:rsidRDefault="006A399E" w:rsidP="006A399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sidR="00ED110F">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sidR="00ED110F">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EA414F0" w14:textId="4DF22B37" w:rsidR="006A399E" w:rsidRPr="00484688" w:rsidRDefault="006A399E" w:rsidP="006A399E">
            <w:pPr>
              <w:tabs>
                <w:tab w:val="decimal" w:pos="995"/>
              </w:tabs>
              <w:jc w:val="left"/>
              <w:rPr>
                <w:color w:val="000000"/>
                <w:sz w:val="18"/>
                <w:szCs w:val="18"/>
              </w:rPr>
            </w:pPr>
            <w:r>
              <w:rPr>
                <w:color w:val="000000"/>
                <w:sz w:val="18"/>
                <w:szCs w:val="18"/>
              </w:rPr>
              <w:t>-1.4</w:t>
            </w:r>
          </w:p>
        </w:tc>
        <w:tc>
          <w:tcPr>
            <w:tcW w:w="1871" w:type="dxa"/>
            <w:vAlign w:val="center"/>
          </w:tcPr>
          <w:p w14:paraId="67C40032" w14:textId="241CD3BB" w:rsidR="006A399E" w:rsidRPr="00484688" w:rsidRDefault="006A399E" w:rsidP="006A399E">
            <w:pPr>
              <w:tabs>
                <w:tab w:val="decimal" w:pos="957"/>
              </w:tabs>
              <w:jc w:val="left"/>
              <w:rPr>
                <w:color w:val="000000"/>
                <w:sz w:val="18"/>
                <w:szCs w:val="18"/>
              </w:rPr>
            </w:pPr>
            <w:r>
              <w:rPr>
                <w:color w:val="000000"/>
                <w:sz w:val="18"/>
                <w:szCs w:val="18"/>
              </w:rPr>
              <w:t>-3.1</w:t>
            </w:r>
          </w:p>
        </w:tc>
      </w:tr>
      <w:tr w:rsidR="006A399E" w:rsidRPr="00E34826" w14:paraId="6009E87E" w14:textId="77777777" w:rsidTr="006A399E">
        <w:trPr>
          <w:cantSplit/>
          <w:trHeight w:val="284"/>
          <w:jc w:val="center"/>
        </w:trPr>
        <w:tc>
          <w:tcPr>
            <w:tcW w:w="3629" w:type="dxa"/>
            <w:tcBorders>
              <w:top w:val="nil"/>
              <w:bottom w:val="nil"/>
              <w:right w:val="single" w:sz="6" w:space="0" w:color="948A54" w:themeColor="background2" w:themeShade="80"/>
            </w:tcBorders>
            <w:vAlign w:val="center"/>
          </w:tcPr>
          <w:p w14:paraId="25113CC4" w14:textId="47780931"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sidR="00ED110F">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sidR="00ED110F">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2155045F" w14:textId="182A5B41" w:rsidR="006A399E" w:rsidRPr="00484688" w:rsidRDefault="006A399E" w:rsidP="006A399E">
            <w:pPr>
              <w:tabs>
                <w:tab w:val="decimal" w:pos="995"/>
              </w:tabs>
              <w:jc w:val="left"/>
              <w:rPr>
                <w:color w:val="000000"/>
                <w:sz w:val="18"/>
                <w:szCs w:val="18"/>
              </w:rPr>
            </w:pPr>
            <w:r>
              <w:rPr>
                <w:color w:val="000000"/>
                <w:sz w:val="18"/>
                <w:szCs w:val="18"/>
              </w:rPr>
              <w:t>-1.9</w:t>
            </w:r>
          </w:p>
        </w:tc>
        <w:tc>
          <w:tcPr>
            <w:tcW w:w="1871" w:type="dxa"/>
            <w:vAlign w:val="center"/>
          </w:tcPr>
          <w:p w14:paraId="559569D5" w14:textId="6A59B06F" w:rsidR="006A399E" w:rsidRPr="00484688" w:rsidRDefault="006A399E" w:rsidP="006A399E">
            <w:pPr>
              <w:tabs>
                <w:tab w:val="decimal" w:pos="957"/>
              </w:tabs>
              <w:jc w:val="left"/>
              <w:rPr>
                <w:color w:val="000000"/>
                <w:sz w:val="18"/>
                <w:szCs w:val="18"/>
              </w:rPr>
            </w:pPr>
            <w:r>
              <w:rPr>
                <w:color w:val="000000"/>
                <w:sz w:val="18"/>
                <w:szCs w:val="18"/>
              </w:rPr>
              <w:t>-8.5</w:t>
            </w:r>
          </w:p>
        </w:tc>
      </w:tr>
      <w:tr w:rsidR="006A399E" w:rsidRPr="00E34826" w14:paraId="103B74C0" w14:textId="77777777" w:rsidTr="006A399E">
        <w:trPr>
          <w:cantSplit/>
          <w:trHeight w:val="284"/>
          <w:jc w:val="center"/>
        </w:trPr>
        <w:tc>
          <w:tcPr>
            <w:tcW w:w="3629" w:type="dxa"/>
            <w:tcBorders>
              <w:top w:val="nil"/>
              <w:bottom w:val="nil"/>
              <w:right w:val="single" w:sz="6" w:space="0" w:color="948A54" w:themeColor="background2" w:themeShade="80"/>
            </w:tcBorders>
            <w:vAlign w:val="center"/>
          </w:tcPr>
          <w:p w14:paraId="77291AFD" w14:textId="11C19619"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sidR="00ED110F">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sidR="00ED110F">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7EFD475B" w14:textId="5D4000CF" w:rsidR="006A399E" w:rsidRPr="00484688" w:rsidRDefault="006A399E" w:rsidP="006A399E">
            <w:pPr>
              <w:tabs>
                <w:tab w:val="decimal" w:pos="995"/>
              </w:tabs>
              <w:jc w:val="left"/>
              <w:rPr>
                <w:color w:val="000000"/>
                <w:sz w:val="18"/>
                <w:szCs w:val="18"/>
              </w:rPr>
            </w:pPr>
            <w:r>
              <w:rPr>
                <w:color w:val="000000"/>
                <w:sz w:val="18"/>
                <w:szCs w:val="18"/>
              </w:rPr>
              <w:t>-0.9</w:t>
            </w:r>
          </w:p>
        </w:tc>
        <w:tc>
          <w:tcPr>
            <w:tcW w:w="1871" w:type="dxa"/>
            <w:vAlign w:val="center"/>
          </w:tcPr>
          <w:p w14:paraId="55A75A2E" w14:textId="75668825" w:rsidR="006A399E" w:rsidRPr="00484688" w:rsidRDefault="006A399E" w:rsidP="006A399E">
            <w:pPr>
              <w:tabs>
                <w:tab w:val="decimal" w:pos="957"/>
              </w:tabs>
              <w:jc w:val="left"/>
              <w:rPr>
                <w:color w:val="000000"/>
                <w:sz w:val="18"/>
                <w:szCs w:val="18"/>
              </w:rPr>
            </w:pPr>
            <w:r>
              <w:rPr>
                <w:color w:val="000000"/>
                <w:sz w:val="18"/>
                <w:szCs w:val="18"/>
              </w:rPr>
              <w:t>-4.2</w:t>
            </w:r>
          </w:p>
        </w:tc>
      </w:tr>
      <w:tr w:rsidR="006A399E" w:rsidRPr="00E34826" w14:paraId="4E730979" w14:textId="77777777" w:rsidTr="006A399E">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3FA9BA7" w14:textId="14C15186" w:rsidR="006A399E" w:rsidRPr="00E34826" w:rsidRDefault="006A399E" w:rsidP="006A399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w:t>
            </w:r>
            <w:r w:rsidR="00041732" w:rsidRPr="00E34826">
              <w:rPr>
                <w:rFonts w:cs="Arial"/>
                <w:b w:val="0"/>
                <w:color w:val="auto"/>
                <w:spacing w:val="0"/>
                <w:sz w:val="18"/>
                <w:szCs w:val="18"/>
                <w:lang w:val="es-ES_tradnl"/>
              </w:rPr>
              <w:t xml:space="preserve">las </w:t>
            </w:r>
            <w:r w:rsidR="00ED110F">
              <w:rPr>
                <w:rFonts w:cs="Arial"/>
                <w:b w:val="0"/>
                <w:color w:val="auto"/>
                <w:spacing w:val="0"/>
                <w:sz w:val="18"/>
                <w:szCs w:val="18"/>
                <w:lang w:val="es-ES_tradnl"/>
              </w:rPr>
              <w:t>e</w:t>
            </w:r>
            <w:r w:rsidR="00041732" w:rsidRPr="00E34826">
              <w:rPr>
                <w:rFonts w:cs="Arial"/>
                <w:b w:val="0"/>
                <w:color w:val="auto"/>
                <w:spacing w:val="0"/>
                <w:sz w:val="18"/>
                <w:szCs w:val="18"/>
                <w:lang w:val="es-ES_tradnl"/>
              </w:rPr>
              <w:t>mpresas de</w:t>
            </w:r>
            <w:r w:rsidRPr="00E34826">
              <w:rPr>
                <w:rFonts w:cs="Arial"/>
                <w:b w:val="0"/>
                <w:color w:val="auto"/>
                <w:spacing w:val="0"/>
                <w:sz w:val="18"/>
                <w:szCs w:val="18"/>
                <w:lang w:val="es-ES_tradnl"/>
              </w:rPr>
              <w:t xml:space="preserve"> </w:t>
            </w:r>
            <w:r w:rsidR="00ED110F">
              <w:rPr>
                <w:rFonts w:cs="Arial"/>
                <w:b w:val="0"/>
                <w:color w:val="auto"/>
                <w:spacing w:val="0"/>
                <w:sz w:val="18"/>
                <w:szCs w:val="18"/>
                <w:lang w:val="es-ES_tradnl"/>
              </w:rPr>
              <w:t>s</w:t>
            </w:r>
            <w:r w:rsidRPr="00E34826">
              <w:rPr>
                <w:rFonts w:cs="Arial"/>
                <w:b w:val="0"/>
                <w:color w:val="auto"/>
                <w:spacing w:val="0"/>
                <w:sz w:val="18"/>
                <w:szCs w:val="18"/>
                <w:lang w:val="es-ES_tradnl"/>
              </w:rPr>
              <w:t>ervicios</w:t>
            </w:r>
            <w:r w:rsidR="00041732">
              <w:rPr>
                <w:rFonts w:cs="Arial"/>
                <w:b w:val="0"/>
                <w:color w:val="auto"/>
                <w:spacing w:val="0"/>
                <w:sz w:val="18"/>
                <w:szCs w:val="18"/>
                <w:lang w:val="es-ES_tradnl"/>
              </w:rPr>
              <w:t xml:space="preserve"> </w:t>
            </w:r>
            <w:r w:rsidR="00ED110F">
              <w:rPr>
                <w:rFonts w:cs="Arial"/>
                <w:b w:val="0"/>
                <w:color w:val="auto"/>
                <w:spacing w:val="0"/>
                <w:sz w:val="18"/>
                <w:szCs w:val="18"/>
                <w:lang w:val="es-ES_tradnl"/>
              </w:rPr>
              <w:t>p</w:t>
            </w:r>
            <w:r w:rsidR="00041732">
              <w:rPr>
                <w:rFonts w:cs="Arial"/>
                <w:b w:val="0"/>
                <w:color w:val="auto"/>
                <w:spacing w:val="0"/>
                <w:sz w:val="18"/>
                <w:szCs w:val="18"/>
                <w:lang w:val="es-ES_tradnl"/>
              </w:rPr>
              <w:t xml:space="preserve">rivados no </w:t>
            </w:r>
            <w:r w:rsidR="00ED110F">
              <w:rPr>
                <w:rFonts w:cs="Arial"/>
                <w:b w:val="0"/>
                <w:color w:val="auto"/>
                <w:spacing w:val="0"/>
                <w:sz w:val="18"/>
                <w:szCs w:val="18"/>
                <w:lang w:val="es-ES_tradnl"/>
              </w:rPr>
              <w:t>f</w:t>
            </w:r>
            <w:r w:rsidR="00041732">
              <w:rPr>
                <w:rFonts w:cs="Arial"/>
                <w:b w:val="0"/>
                <w:color w:val="auto"/>
                <w:spacing w:val="0"/>
                <w:sz w:val="18"/>
                <w:szCs w:val="18"/>
                <w:lang w:val="es-ES_tradnl"/>
              </w:rPr>
              <w:t>inancieros</w:t>
            </w:r>
          </w:p>
        </w:tc>
        <w:tc>
          <w:tcPr>
            <w:tcW w:w="1871" w:type="dxa"/>
            <w:tcBorders>
              <w:left w:val="single" w:sz="6" w:space="0" w:color="948A54" w:themeColor="background2" w:themeShade="80"/>
              <w:bottom w:val="single" w:sz="8" w:space="0" w:color="948A54" w:themeColor="background2" w:themeShade="80"/>
            </w:tcBorders>
            <w:vAlign w:val="center"/>
          </w:tcPr>
          <w:p w14:paraId="50322E75" w14:textId="08CBD9EF" w:rsidR="006A399E" w:rsidRPr="00484688" w:rsidRDefault="006A399E" w:rsidP="006A399E">
            <w:pPr>
              <w:tabs>
                <w:tab w:val="decimal" w:pos="995"/>
              </w:tabs>
              <w:jc w:val="left"/>
              <w:rPr>
                <w:color w:val="000000"/>
                <w:sz w:val="18"/>
                <w:szCs w:val="18"/>
              </w:rPr>
            </w:pPr>
            <w:r>
              <w:rPr>
                <w:color w:val="000000"/>
                <w:sz w:val="18"/>
                <w:szCs w:val="18"/>
              </w:rPr>
              <w:t>-9.4</w:t>
            </w:r>
          </w:p>
        </w:tc>
        <w:tc>
          <w:tcPr>
            <w:tcW w:w="1871" w:type="dxa"/>
            <w:tcBorders>
              <w:bottom w:val="single" w:sz="8" w:space="0" w:color="948A54" w:themeColor="background2" w:themeShade="80"/>
            </w:tcBorders>
            <w:vAlign w:val="center"/>
          </w:tcPr>
          <w:p w14:paraId="302D21B6" w14:textId="7EA6A43A" w:rsidR="006A399E" w:rsidRPr="00484688" w:rsidRDefault="006A399E" w:rsidP="006A399E">
            <w:pPr>
              <w:tabs>
                <w:tab w:val="decimal" w:pos="957"/>
              </w:tabs>
              <w:jc w:val="left"/>
              <w:rPr>
                <w:color w:val="000000"/>
                <w:sz w:val="18"/>
                <w:szCs w:val="18"/>
              </w:rPr>
            </w:pPr>
            <w:r>
              <w:rPr>
                <w:color w:val="000000"/>
                <w:sz w:val="18"/>
                <w:szCs w:val="18"/>
              </w:rPr>
              <w:t>-23.0</w:t>
            </w:r>
          </w:p>
        </w:tc>
      </w:tr>
    </w:tbl>
    <w:p w14:paraId="4EDE9EAA"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D79BFAA" w14:textId="77777777" w:rsidR="00EA5096" w:rsidRPr="00E34826" w:rsidRDefault="00EA5096" w:rsidP="00BF5C36">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52BAC9C7" w14:textId="675BF005"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w:t>
      </w:r>
      <w:r w:rsidR="00ED110F">
        <w:rPr>
          <w:rFonts w:cs="Arial"/>
          <w:smallCaps/>
          <w:color w:val="auto"/>
          <w:spacing w:val="0"/>
          <w:sz w:val="20"/>
        </w:rPr>
        <w:t>s</w:t>
      </w:r>
      <w:r w:rsidR="00EA5096" w:rsidRPr="00E34826">
        <w:rPr>
          <w:rFonts w:cs="Arial"/>
          <w:smallCaps/>
          <w:color w:val="auto"/>
          <w:spacing w:val="0"/>
          <w:sz w:val="20"/>
        </w:rPr>
        <w:t xml:space="preserve">ector </w:t>
      </w:r>
      <w:r w:rsidR="00EA5096" w:rsidRPr="00E34826">
        <w:rPr>
          <w:rFonts w:cs="Arial"/>
          <w:smallCaps/>
          <w:color w:val="auto"/>
          <w:spacing w:val="0"/>
          <w:sz w:val="20"/>
        </w:rPr>
        <w:br/>
      </w:r>
      <w:r w:rsidR="00ED110F">
        <w:rPr>
          <w:rFonts w:cs="Arial"/>
          <w:smallCaps/>
          <w:color w:val="auto"/>
          <w:spacing w:val="0"/>
          <w:sz w:val="20"/>
        </w:rPr>
        <w:t>s</w:t>
      </w:r>
      <w:r w:rsidR="00EA5096" w:rsidRPr="00E34826">
        <w:rPr>
          <w:rFonts w:cs="Arial"/>
          <w:smallCaps/>
          <w:color w:val="auto"/>
          <w:spacing w:val="0"/>
          <w:sz w:val="20"/>
        </w:rPr>
        <w:t xml:space="preserve">eries de </w:t>
      </w:r>
      <w:r w:rsidR="00ED110F">
        <w:rPr>
          <w:rFonts w:cs="Arial"/>
          <w:smallCaps/>
          <w:color w:val="auto"/>
          <w:spacing w:val="0"/>
          <w:sz w:val="20"/>
        </w:rPr>
        <w:t>t</w:t>
      </w:r>
      <w:r w:rsidR="00EA5096" w:rsidRPr="00E34826">
        <w:rPr>
          <w:rFonts w:cs="Arial"/>
          <w:smallCaps/>
          <w:color w:val="auto"/>
          <w:spacing w:val="0"/>
          <w:sz w:val="20"/>
        </w:rPr>
        <w:t>endencia-</w:t>
      </w:r>
      <w:r w:rsidR="00ED110F">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62DBBC25" w14:textId="7235AFEF" w:rsidR="0058202B" w:rsidRPr="00E34826" w:rsidRDefault="00DC720E" w:rsidP="00C72B0D">
      <w:pPr>
        <w:widowControl w:val="0"/>
        <w:jc w:val="center"/>
        <w:rPr>
          <w:sz w:val="20"/>
          <w:szCs w:val="20"/>
          <w:lang w:val="es-MX" w:eastAsia="es-MX"/>
        </w:rPr>
      </w:pPr>
      <w:r>
        <w:rPr>
          <w:noProof/>
        </w:rPr>
        <w:drawing>
          <wp:inline distT="0" distB="0" distL="0" distR="0" wp14:anchorId="1BDBC9B3" wp14:editId="7F3E1C03">
            <wp:extent cx="4680000" cy="2520000"/>
            <wp:effectExtent l="0" t="0" r="25400" b="1397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CDC404"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AE5887F" w14:textId="77777777" w:rsidR="00EA5096" w:rsidRPr="0027034A" w:rsidRDefault="00EA5096" w:rsidP="00C72B0D">
      <w:pPr>
        <w:keepNext/>
        <w:keepLines/>
        <w:widowControl w:val="0"/>
        <w:autoSpaceDE w:val="0"/>
        <w:autoSpaceDN w:val="0"/>
        <w:adjustRightInd w:val="0"/>
        <w:spacing w:before="720"/>
        <w:rPr>
          <w:b/>
          <w:i/>
          <w:iCs/>
        </w:rPr>
      </w:pPr>
      <w:r w:rsidRPr="0027034A">
        <w:rPr>
          <w:b/>
          <w:i/>
          <w:iCs/>
        </w:rPr>
        <w:lastRenderedPageBreak/>
        <w:t>Cifras originales</w:t>
      </w:r>
    </w:p>
    <w:p w14:paraId="62B24F12"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5"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52A854BA" w14:textId="1F0646B0" w:rsidR="00EA5096" w:rsidRPr="00E34826"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 xml:space="preserve">ctividad y sus índices componentes </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1A75CB" w:rsidRPr="0002464A" w14:paraId="0708BC5F"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C74B59"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EA25EC3" w14:textId="0C6816FD" w:rsidR="001A75CB" w:rsidRPr="001F7773" w:rsidRDefault="006322C2" w:rsidP="006322C2">
            <w:pPr>
              <w:widowControl w:val="0"/>
              <w:jc w:val="center"/>
              <w:rPr>
                <w:sz w:val="16"/>
                <w:szCs w:val="16"/>
              </w:rPr>
            </w:pPr>
            <w:r>
              <w:rPr>
                <w:sz w:val="16"/>
                <w:szCs w:val="16"/>
              </w:rPr>
              <w:t>4</w:t>
            </w:r>
            <w:r>
              <w:rPr>
                <w:sz w:val="16"/>
                <w:szCs w:val="16"/>
                <w:vertAlign w:val="superscript"/>
              </w:rPr>
              <w:t>to</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CB40BD" w:rsidRPr="001F7773">
              <w:rPr>
                <w:position w:val="2"/>
                <w:sz w:val="16"/>
                <w:szCs w:val="16"/>
                <w:vertAlign w:val="superscript"/>
              </w:rPr>
              <w:t xml:space="preserve"> </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161A38FB"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2928F1DB"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2F2B0D"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9387D0" w14:textId="39775865" w:rsidR="001A75CB" w:rsidRPr="001F7773" w:rsidRDefault="001A75CB" w:rsidP="00FA3BBA">
            <w:pPr>
              <w:widowControl w:val="0"/>
              <w:jc w:val="center"/>
              <w:rPr>
                <w:sz w:val="16"/>
                <w:szCs w:val="16"/>
              </w:rPr>
            </w:pPr>
            <w:r w:rsidRPr="001F7773">
              <w:rPr>
                <w:sz w:val="16"/>
                <w:szCs w:val="16"/>
              </w:rPr>
              <w:t>20</w:t>
            </w:r>
            <w:r w:rsidR="004101E7" w:rsidRPr="001F7773">
              <w:rPr>
                <w:sz w:val="16"/>
                <w:szCs w:val="16"/>
              </w:rPr>
              <w:t>20</w:t>
            </w:r>
            <w:r w:rsidR="00FA3BBA" w:rsidRPr="001F7773">
              <w:rPr>
                <w:position w:val="2"/>
                <w:sz w:val="16"/>
                <w:szCs w:val="16"/>
                <w:vertAlign w:val="superscript"/>
              </w:rPr>
              <w:t xml:space="preserve"> </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CDF43B" w14:textId="2A74703B" w:rsidR="001A75CB" w:rsidRPr="001F7773" w:rsidRDefault="001A75CB" w:rsidP="00CB40BD">
            <w:pPr>
              <w:widowControl w:val="0"/>
              <w:jc w:val="center"/>
              <w:rPr>
                <w:sz w:val="16"/>
                <w:szCs w:val="16"/>
              </w:rPr>
            </w:pPr>
            <w:r w:rsidRPr="001F7773">
              <w:rPr>
                <w:sz w:val="16"/>
                <w:szCs w:val="16"/>
              </w:rPr>
              <w:t>202</w:t>
            </w:r>
            <w:r w:rsidR="004101E7" w:rsidRPr="001F7773">
              <w:rPr>
                <w:sz w:val="16"/>
                <w:szCs w:val="16"/>
              </w:rPr>
              <w:t>1</w:t>
            </w:r>
            <w:r w:rsidR="00365427" w:rsidRPr="001F7773">
              <w:rPr>
                <w:position w:val="2"/>
                <w:sz w:val="16"/>
                <w:szCs w:val="16"/>
                <w:vertAlign w:val="superscript"/>
              </w:rPr>
              <w:t xml:space="preserve"> 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6B1F41B7" w14:textId="77777777" w:rsidR="001A75CB" w:rsidRPr="00E34826" w:rsidRDefault="001A75CB" w:rsidP="001A75CB">
            <w:pPr>
              <w:widowControl w:val="0"/>
              <w:jc w:val="center"/>
              <w:rPr>
                <w:sz w:val="16"/>
                <w:szCs w:val="16"/>
              </w:rPr>
            </w:pPr>
          </w:p>
        </w:tc>
      </w:tr>
      <w:tr w:rsidR="006322C2" w:rsidRPr="0002464A" w14:paraId="37022B23" w14:textId="77777777" w:rsidTr="006322C2">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22D33973" w14:textId="77777777" w:rsidR="006322C2" w:rsidRPr="00E34826" w:rsidRDefault="006322C2" w:rsidP="006322C2">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1C4FB0EB" w14:textId="02182D8F" w:rsidR="006322C2" w:rsidRPr="00646634" w:rsidRDefault="006322C2" w:rsidP="006322C2">
            <w:pPr>
              <w:tabs>
                <w:tab w:val="decimal" w:pos="584"/>
              </w:tabs>
              <w:jc w:val="left"/>
              <w:rPr>
                <w:b/>
                <w:bCs/>
                <w:color w:val="000000"/>
                <w:sz w:val="16"/>
                <w:szCs w:val="16"/>
                <w:lang w:val="es-MX" w:eastAsia="es-MX"/>
              </w:rPr>
            </w:pPr>
            <w:r>
              <w:rPr>
                <w:b/>
                <w:bCs/>
                <w:color w:val="000000"/>
                <w:sz w:val="16"/>
                <w:szCs w:val="16"/>
              </w:rPr>
              <w:t>103.3</w:t>
            </w:r>
          </w:p>
        </w:tc>
        <w:tc>
          <w:tcPr>
            <w:tcW w:w="1216" w:type="dxa"/>
            <w:tcBorders>
              <w:top w:val="single" w:sz="6" w:space="0" w:color="948A54" w:themeColor="background2" w:themeShade="80"/>
            </w:tcBorders>
            <w:shd w:val="clear" w:color="auto" w:fill="DDD9C3" w:themeFill="background2" w:themeFillShade="E6"/>
            <w:vAlign w:val="center"/>
          </w:tcPr>
          <w:p w14:paraId="3842ED6E" w14:textId="1B077D78" w:rsidR="006322C2" w:rsidRPr="00646634" w:rsidRDefault="006322C2" w:rsidP="006322C2">
            <w:pPr>
              <w:tabs>
                <w:tab w:val="decimal" w:pos="584"/>
              </w:tabs>
              <w:jc w:val="left"/>
              <w:rPr>
                <w:b/>
                <w:bCs/>
                <w:color w:val="000000"/>
                <w:sz w:val="16"/>
                <w:szCs w:val="16"/>
              </w:rPr>
            </w:pPr>
            <w:r>
              <w:rPr>
                <w:b/>
                <w:bCs/>
                <w:color w:val="000000"/>
                <w:sz w:val="16"/>
                <w:szCs w:val="16"/>
              </w:rPr>
              <w:t>96.6</w:t>
            </w:r>
          </w:p>
        </w:tc>
        <w:tc>
          <w:tcPr>
            <w:tcW w:w="1216" w:type="dxa"/>
            <w:tcBorders>
              <w:top w:val="single" w:sz="6" w:space="0" w:color="948A54" w:themeColor="background2" w:themeShade="80"/>
            </w:tcBorders>
            <w:shd w:val="clear" w:color="auto" w:fill="DDD9C3" w:themeFill="background2" w:themeFillShade="E6"/>
            <w:vAlign w:val="center"/>
          </w:tcPr>
          <w:p w14:paraId="7A9B686E" w14:textId="092D9BA0" w:rsidR="006322C2" w:rsidRPr="005D5179" w:rsidRDefault="006322C2" w:rsidP="00EA58BB">
            <w:pPr>
              <w:tabs>
                <w:tab w:val="decimal" w:pos="517"/>
              </w:tabs>
              <w:jc w:val="left"/>
              <w:rPr>
                <w:b/>
                <w:color w:val="000000"/>
                <w:sz w:val="16"/>
                <w:szCs w:val="16"/>
              </w:rPr>
            </w:pPr>
            <w:r>
              <w:rPr>
                <w:b/>
                <w:bCs/>
                <w:color w:val="000000"/>
                <w:sz w:val="16"/>
                <w:szCs w:val="16"/>
              </w:rPr>
              <w:t>-6.4</w:t>
            </w:r>
          </w:p>
        </w:tc>
      </w:tr>
      <w:tr w:rsidR="006322C2" w:rsidRPr="0002464A" w14:paraId="044582E5"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693DBC32" w14:textId="4BAD2979"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Índice del</w:t>
            </w:r>
            <w:r w:rsidR="00ED110F">
              <w:rPr>
                <w:sz w:val="16"/>
                <w:szCs w:val="16"/>
              </w:rPr>
              <w:t xml:space="preserve"> p</w:t>
            </w:r>
            <w:r w:rsidRPr="00E34826">
              <w:rPr>
                <w:sz w:val="16"/>
                <w:szCs w:val="16"/>
              </w:rPr>
              <w:t>roducto</w:t>
            </w:r>
            <w:r w:rsidR="00ED110F">
              <w:rPr>
                <w:sz w:val="16"/>
                <w:szCs w:val="16"/>
              </w:rPr>
              <w:t xml:space="preserve"> i</w:t>
            </w:r>
            <w:r w:rsidRPr="00E34826">
              <w:rPr>
                <w:sz w:val="16"/>
                <w:szCs w:val="16"/>
              </w:rPr>
              <w:t xml:space="preserve">nterno </w:t>
            </w:r>
            <w:r w:rsidR="00ED110F">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0069CC3E" w14:textId="6DE9B70C" w:rsidR="006322C2" w:rsidRDefault="006322C2" w:rsidP="006322C2">
            <w:pPr>
              <w:tabs>
                <w:tab w:val="decimal" w:pos="584"/>
              </w:tabs>
              <w:jc w:val="left"/>
              <w:rPr>
                <w:color w:val="000000"/>
                <w:sz w:val="16"/>
                <w:szCs w:val="16"/>
              </w:rPr>
            </w:pPr>
            <w:r>
              <w:rPr>
                <w:color w:val="000000"/>
                <w:sz w:val="16"/>
                <w:szCs w:val="16"/>
              </w:rPr>
              <w:t>110.4</w:t>
            </w:r>
          </w:p>
        </w:tc>
        <w:tc>
          <w:tcPr>
            <w:tcW w:w="1216" w:type="dxa"/>
            <w:vAlign w:val="center"/>
          </w:tcPr>
          <w:p w14:paraId="75CD2696" w14:textId="0086522C" w:rsidR="006322C2" w:rsidRDefault="006322C2" w:rsidP="006322C2">
            <w:pPr>
              <w:tabs>
                <w:tab w:val="decimal" w:pos="584"/>
              </w:tabs>
              <w:jc w:val="left"/>
              <w:rPr>
                <w:color w:val="000000"/>
                <w:sz w:val="16"/>
                <w:szCs w:val="16"/>
              </w:rPr>
            </w:pPr>
            <w:r>
              <w:rPr>
                <w:color w:val="000000"/>
                <w:sz w:val="16"/>
                <w:szCs w:val="16"/>
              </w:rPr>
              <w:t>111.3</w:t>
            </w:r>
          </w:p>
        </w:tc>
        <w:tc>
          <w:tcPr>
            <w:tcW w:w="1216" w:type="dxa"/>
            <w:vAlign w:val="center"/>
          </w:tcPr>
          <w:p w14:paraId="5A4E2DF2" w14:textId="0E5D5766" w:rsidR="006322C2" w:rsidRDefault="006322C2" w:rsidP="00EA58BB">
            <w:pPr>
              <w:tabs>
                <w:tab w:val="decimal" w:pos="517"/>
              </w:tabs>
              <w:jc w:val="left"/>
              <w:rPr>
                <w:color w:val="000000"/>
                <w:sz w:val="16"/>
                <w:szCs w:val="16"/>
              </w:rPr>
            </w:pPr>
            <w:r>
              <w:rPr>
                <w:color w:val="000000"/>
                <w:sz w:val="16"/>
                <w:szCs w:val="16"/>
              </w:rPr>
              <w:t>0.8</w:t>
            </w:r>
          </w:p>
        </w:tc>
      </w:tr>
      <w:tr w:rsidR="006322C2" w:rsidRPr="0002464A" w14:paraId="4C0B626A"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79BB46D5" w14:textId="03F82347"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 xml:space="preserve">Índice de </w:t>
            </w:r>
            <w:r w:rsidR="00ED110F">
              <w:rPr>
                <w:sz w:val="16"/>
                <w:szCs w:val="16"/>
              </w:rPr>
              <w:t>h</w:t>
            </w:r>
            <w:r w:rsidRPr="00E34826">
              <w:rPr>
                <w:sz w:val="16"/>
                <w:szCs w:val="16"/>
              </w:rPr>
              <w:t xml:space="preserve">oras </w:t>
            </w:r>
            <w:r w:rsidR="00ED110F">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209949B3" w14:textId="37C1B0DA" w:rsidR="006322C2" w:rsidRDefault="006322C2" w:rsidP="006322C2">
            <w:pPr>
              <w:tabs>
                <w:tab w:val="decimal" w:pos="584"/>
              </w:tabs>
              <w:jc w:val="left"/>
              <w:rPr>
                <w:color w:val="000000"/>
                <w:sz w:val="16"/>
                <w:szCs w:val="16"/>
              </w:rPr>
            </w:pPr>
            <w:r>
              <w:rPr>
                <w:color w:val="000000"/>
                <w:sz w:val="16"/>
                <w:szCs w:val="16"/>
              </w:rPr>
              <w:t>106.9</w:t>
            </w:r>
          </w:p>
        </w:tc>
        <w:tc>
          <w:tcPr>
            <w:tcW w:w="1216" w:type="dxa"/>
            <w:vAlign w:val="center"/>
          </w:tcPr>
          <w:p w14:paraId="33AD164B" w14:textId="50AF3F15" w:rsidR="006322C2" w:rsidRDefault="006322C2" w:rsidP="006322C2">
            <w:pPr>
              <w:tabs>
                <w:tab w:val="decimal" w:pos="584"/>
              </w:tabs>
              <w:jc w:val="left"/>
              <w:rPr>
                <w:color w:val="000000"/>
                <w:sz w:val="16"/>
                <w:szCs w:val="16"/>
              </w:rPr>
            </w:pPr>
            <w:r>
              <w:rPr>
                <w:color w:val="000000"/>
                <w:sz w:val="16"/>
                <w:szCs w:val="16"/>
              </w:rPr>
              <w:t>115.2</w:t>
            </w:r>
          </w:p>
        </w:tc>
        <w:tc>
          <w:tcPr>
            <w:tcW w:w="1216" w:type="dxa"/>
            <w:vAlign w:val="center"/>
          </w:tcPr>
          <w:p w14:paraId="123D12EA" w14:textId="0B3D2EC5" w:rsidR="006322C2" w:rsidRDefault="006322C2" w:rsidP="00EA58BB">
            <w:pPr>
              <w:tabs>
                <w:tab w:val="decimal" w:pos="517"/>
              </w:tabs>
              <w:jc w:val="left"/>
              <w:rPr>
                <w:color w:val="000000"/>
                <w:sz w:val="16"/>
                <w:szCs w:val="16"/>
              </w:rPr>
            </w:pPr>
            <w:r>
              <w:rPr>
                <w:color w:val="000000"/>
                <w:sz w:val="16"/>
                <w:szCs w:val="16"/>
              </w:rPr>
              <w:t>7.8</w:t>
            </w:r>
          </w:p>
        </w:tc>
      </w:tr>
      <w:tr w:rsidR="006322C2" w:rsidRPr="0002464A" w14:paraId="0E497CAE" w14:textId="77777777" w:rsidTr="006322C2">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BCB5A51" w14:textId="4374749B" w:rsidR="006322C2" w:rsidRPr="00E34826" w:rsidRDefault="006322C2" w:rsidP="006322C2">
            <w:pPr>
              <w:widowControl w:val="0"/>
              <w:spacing w:before="20" w:after="20"/>
              <w:ind w:left="142"/>
              <w:jc w:val="left"/>
              <w:rPr>
                <w:sz w:val="16"/>
                <w:szCs w:val="16"/>
              </w:rPr>
            </w:pPr>
            <w:r w:rsidRPr="00E34826">
              <w:rPr>
                <w:sz w:val="16"/>
                <w:szCs w:val="16"/>
              </w:rPr>
              <w:t xml:space="preserve">IGPL de las </w:t>
            </w:r>
            <w:r w:rsidR="00ED110F">
              <w:rPr>
                <w:sz w:val="16"/>
                <w:szCs w:val="16"/>
              </w:rPr>
              <w:t>a</w:t>
            </w:r>
            <w:r w:rsidRPr="00E34826">
              <w:rPr>
                <w:sz w:val="16"/>
                <w:szCs w:val="16"/>
              </w:rPr>
              <w:t xml:space="preserve">ctividades </w:t>
            </w:r>
            <w:r w:rsidR="00ED110F">
              <w:rPr>
                <w:sz w:val="16"/>
                <w:szCs w:val="16"/>
              </w:rPr>
              <w:t>p</w:t>
            </w:r>
            <w:r w:rsidRPr="00E34826">
              <w:rPr>
                <w:sz w:val="16"/>
                <w:szCs w:val="16"/>
              </w:rPr>
              <w:t>rimarias</w:t>
            </w:r>
          </w:p>
        </w:tc>
        <w:tc>
          <w:tcPr>
            <w:tcW w:w="1216" w:type="dxa"/>
            <w:tcBorders>
              <w:left w:val="single" w:sz="6" w:space="0" w:color="948A54" w:themeColor="background2" w:themeShade="80"/>
            </w:tcBorders>
            <w:shd w:val="clear" w:color="auto" w:fill="DDD9C3" w:themeFill="background2" w:themeFillShade="E6"/>
            <w:vAlign w:val="center"/>
          </w:tcPr>
          <w:p w14:paraId="7354BF26" w14:textId="0F1C3C30" w:rsidR="006322C2" w:rsidRDefault="006322C2" w:rsidP="006322C2">
            <w:pPr>
              <w:tabs>
                <w:tab w:val="decimal" w:pos="584"/>
              </w:tabs>
              <w:jc w:val="left"/>
              <w:rPr>
                <w:color w:val="000000"/>
                <w:sz w:val="16"/>
                <w:szCs w:val="16"/>
              </w:rPr>
            </w:pPr>
            <w:r>
              <w:rPr>
                <w:color w:val="000000"/>
                <w:sz w:val="16"/>
                <w:szCs w:val="16"/>
              </w:rPr>
              <w:t>135.7</w:t>
            </w:r>
          </w:p>
        </w:tc>
        <w:tc>
          <w:tcPr>
            <w:tcW w:w="1216" w:type="dxa"/>
            <w:shd w:val="clear" w:color="auto" w:fill="DDD9C3" w:themeFill="background2" w:themeFillShade="E6"/>
            <w:vAlign w:val="center"/>
          </w:tcPr>
          <w:p w14:paraId="1535FA09" w14:textId="5E799586" w:rsidR="006322C2" w:rsidRDefault="006322C2" w:rsidP="006322C2">
            <w:pPr>
              <w:tabs>
                <w:tab w:val="decimal" w:pos="584"/>
              </w:tabs>
              <w:jc w:val="left"/>
              <w:rPr>
                <w:color w:val="000000"/>
                <w:sz w:val="16"/>
                <w:szCs w:val="16"/>
              </w:rPr>
            </w:pPr>
            <w:r>
              <w:rPr>
                <w:color w:val="000000"/>
                <w:sz w:val="16"/>
                <w:szCs w:val="16"/>
              </w:rPr>
              <w:t>138.6</w:t>
            </w:r>
          </w:p>
        </w:tc>
        <w:tc>
          <w:tcPr>
            <w:tcW w:w="1216" w:type="dxa"/>
            <w:shd w:val="clear" w:color="auto" w:fill="DDD9C3" w:themeFill="background2" w:themeFillShade="E6"/>
            <w:vAlign w:val="center"/>
          </w:tcPr>
          <w:p w14:paraId="52C5EE08" w14:textId="76E79BB5" w:rsidR="006322C2" w:rsidRDefault="006322C2" w:rsidP="00EA58BB">
            <w:pPr>
              <w:tabs>
                <w:tab w:val="decimal" w:pos="517"/>
              </w:tabs>
              <w:jc w:val="left"/>
              <w:rPr>
                <w:color w:val="000000"/>
                <w:sz w:val="16"/>
                <w:szCs w:val="16"/>
              </w:rPr>
            </w:pPr>
            <w:r>
              <w:rPr>
                <w:color w:val="000000"/>
                <w:sz w:val="16"/>
                <w:szCs w:val="16"/>
              </w:rPr>
              <w:t>2.1</w:t>
            </w:r>
          </w:p>
        </w:tc>
      </w:tr>
      <w:tr w:rsidR="006322C2" w:rsidRPr="0002464A" w14:paraId="07E51869"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3440D589" w14:textId="3CF134F5"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 xml:space="preserve">Índice del </w:t>
            </w:r>
            <w:r w:rsidR="00ED110F">
              <w:rPr>
                <w:sz w:val="16"/>
                <w:szCs w:val="16"/>
              </w:rPr>
              <w:t>p</w:t>
            </w:r>
            <w:r w:rsidRPr="00E34826">
              <w:rPr>
                <w:sz w:val="16"/>
                <w:szCs w:val="16"/>
              </w:rPr>
              <w:t xml:space="preserve">roducto </w:t>
            </w:r>
            <w:r w:rsidR="00ED110F">
              <w:rPr>
                <w:sz w:val="16"/>
                <w:szCs w:val="16"/>
              </w:rPr>
              <w:t>i</w:t>
            </w:r>
            <w:r w:rsidRPr="00E34826">
              <w:rPr>
                <w:sz w:val="16"/>
                <w:szCs w:val="16"/>
              </w:rPr>
              <w:t xml:space="preserve">nterno </w:t>
            </w:r>
            <w:r w:rsidR="00ED110F">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364CB6B2" w14:textId="69AC9583" w:rsidR="006322C2" w:rsidRDefault="006322C2" w:rsidP="006322C2">
            <w:pPr>
              <w:tabs>
                <w:tab w:val="decimal" w:pos="584"/>
              </w:tabs>
              <w:jc w:val="left"/>
              <w:rPr>
                <w:color w:val="000000"/>
                <w:sz w:val="16"/>
                <w:szCs w:val="16"/>
              </w:rPr>
            </w:pPr>
            <w:r>
              <w:rPr>
                <w:color w:val="000000"/>
                <w:sz w:val="16"/>
                <w:szCs w:val="16"/>
              </w:rPr>
              <w:t>137.3</w:t>
            </w:r>
          </w:p>
        </w:tc>
        <w:tc>
          <w:tcPr>
            <w:tcW w:w="1216" w:type="dxa"/>
            <w:vAlign w:val="center"/>
          </w:tcPr>
          <w:p w14:paraId="3809A0E8" w14:textId="561E1497" w:rsidR="006322C2" w:rsidRDefault="006322C2" w:rsidP="006322C2">
            <w:pPr>
              <w:tabs>
                <w:tab w:val="decimal" w:pos="584"/>
              </w:tabs>
              <w:jc w:val="left"/>
              <w:rPr>
                <w:color w:val="000000"/>
                <w:sz w:val="16"/>
                <w:szCs w:val="16"/>
              </w:rPr>
            </w:pPr>
            <w:r>
              <w:rPr>
                <w:color w:val="000000"/>
                <w:sz w:val="16"/>
                <w:szCs w:val="16"/>
              </w:rPr>
              <w:t>143.8</w:t>
            </w:r>
          </w:p>
        </w:tc>
        <w:tc>
          <w:tcPr>
            <w:tcW w:w="1216" w:type="dxa"/>
            <w:vAlign w:val="center"/>
          </w:tcPr>
          <w:p w14:paraId="646EC0BE" w14:textId="786071A7" w:rsidR="006322C2" w:rsidRDefault="006322C2" w:rsidP="00EA58BB">
            <w:pPr>
              <w:tabs>
                <w:tab w:val="decimal" w:pos="517"/>
              </w:tabs>
              <w:jc w:val="left"/>
              <w:rPr>
                <w:color w:val="000000"/>
                <w:sz w:val="16"/>
                <w:szCs w:val="16"/>
              </w:rPr>
            </w:pPr>
            <w:r>
              <w:rPr>
                <w:color w:val="000000"/>
                <w:sz w:val="16"/>
                <w:szCs w:val="16"/>
              </w:rPr>
              <w:t>4.7</w:t>
            </w:r>
          </w:p>
        </w:tc>
      </w:tr>
      <w:tr w:rsidR="006322C2" w:rsidRPr="0002464A" w14:paraId="31575871"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7AE63062" w14:textId="2EBC2848"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 xml:space="preserve">Índice de </w:t>
            </w:r>
            <w:r w:rsidR="00ED110F">
              <w:rPr>
                <w:sz w:val="16"/>
                <w:szCs w:val="16"/>
              </w:rPr>
              <w:t>h</w:t>
            </w:r>
            <w:r w:rsidRPr="00E34826">
              <w:rPr>
                <w:sz w:val="16"/>
                <w:szCs w:val="16"/>
              </w:rPr>
              <w:t xml:space="preserve">oras </w:t>
            </w:r>
            <w:r w:rsidR="00ED110F">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BDB214D" w14:textId="2355C058" w:rsidR="006322C2" w:rsidRDefault="006322C2" w:rsidP="006322C2">
            <w:pPr>
              <w:tabs>
                <w:tab w:val="decimal" w:pos="584"/>
              </w:tabs>
              <w:jc w:val="left"/>
              <w:rPr>
                <w:color w:val="000000"/>
                <w:sz w:val="16"/>
                <w:szCs w:val="16"/>
              </w:rPr>
            </w:pPr>
            <w:r>
              <w:rPr>
                <w:color w:val="000000"/>
                <w:sz w:val="16"/>
                <w:szCs w:val="16"/>
              </w:rPr>
              <w:t>101.2</w:t>
            </w:r>
          </w:p>
        </w:tc>
        <w:tc>
          <w:tcPr>
            <w:tcW w:w="1216" w:type="dxa"/>
            <w:vAlign w:val="center"/>
          </w:tcPr>
          <w:p w14:paraId="509970FF" w14:textId="1AE32037" w:rsidR="006322C2" w:rsidRDefault="006322C2" w:rsidP="006322C2">
            <w:pPr>
              <w:tabs>
                <w:tab w:val="decimal" w:pos="584"/>
              </w:tabs>
              <w:jc w:val="left"/>
              <w:rPr>
                <w:color w:val="000000"/>
                <w:sz w:val="16"/>
                <w:szCs w:val="16"/>
              </w:rPr>
            </w:pPr>
            <w:r>
              <w:rPr>
                <w:color w:val="000000"/>
                <w:sz w:val="16"/>
                <w:szCs w:val="16"/>
              </w:rPr>
              <w:t>103.7</w:t>
            </w:r>
          </w:p>
        </w:tc>
        <w:tc>
          <w:tcPr>
            <w:tcW w:w="1216" w:type="dxa"/>
            <w:vAlign w:val="center"/>
          </w:tcPr>
          <w:p w14:paraId="2990C160" w14:textId="3973DBAB" w:rsidR="006322C2" w:rsidRDefault="006322C2" w:rsidP="00EA58BB">
            <w:pPr>
              <w:tabs>
                <w:tab w:val="decimal" w:pos="517"/>
              </w:tabs>
              <w:jc w:val="left"/>
              <w:rPr>
                <w:color w:val="000000"/>
                <w:sz w:val="16"/>
                <w:szCs w:val="16"/>
              </w:rPr>
            </w:pPr>
            <w:r>
              <w:rPr>
                <w:color w:val="000000"/>
                <w:sz w:val="16"/>
                <w:szCs w:val="16"/>
              </w:rPr>
              <w:t>2.5</w:t>
            </w:r>
          </w:p>
        </w:tc>
      </w:tr>
      <w:tr w:rsidR="006322C2" w:rsidRPr="0002464A" w14:paraId="53B3F603" w14:textId="77777777" w:rsidTr="006322C2">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EE8B559" w14:textId="439E476F" w:rsidR="006322C2" w:rsidRPr="00E34826" w:rsidRDefault="006322C2" w:rsidP="006322C2">
            <w:pPr>
              <w:widowControl w:val="0"/>
              <w:spacing w:before="20" w:after="20"/>
              <w:ind w:left="142"/>
              <w:jc w:val="left"/>
              <w:rPr>
                <w:sz w:val="16"/>
                <w:szCs w:val="16"/>
              </w:rPr>
            </w:pPr>
            <w:r w:rsidRPr="00E34826">
              <w:rPr>
                <w:sz w:val="16"/>
                <w:szCs w:val="16"/>
              </w:rPr>
              <w:t xml:space="preserve">IGPL de las </w:t>
            </w:r>
            <w:r w:rsidR="00ED110F">
              <w:rPr>
                <w:sz w:val="16"/>
                <w:szCs w:val="16"/>
              </w:rPr>
              <w:t>a</w:t>
            </w:r>
            <w:r w:rsidRPr="00E34826">
              <w:rPr>
                <w:sz w:val="16"/>
                <w:szCs w:val="16"/>
              </w:rPr>
              <w:t xml:space="preserve">ctividades </w:t>
            </w:r>
            <w:r w:rsidR="00ED110F">
              <w:rPr>
                <w:sz w:val="16"/>
                <w:szCs w:val="16"/>
              </w:rPr>
              <w:t>s</w:t>
            </w:r>
            <w:r w:rsidRPr="00E34826">
              <w:rPr>
                <w:sz w:val="16"/>
                <w:szCs w:val="16"/>
              </w:rPr>
              <w:t>ecundarias</w:t>
            </w:r>
          </w:p>
        </w:tc>
        <w:tc>
          <w:tcPr>
            <w:tcW w:w="1216" w:type="dxa"/>
            <w:tcBorders>
              <w:left w:val="single" w:sz="6" w:space="0" w:color="948A54" w:themeColor="background2" w:themeShade="80"/>
            </w:tcBorders>
            <w:shd w:val="clear" w:color="auto" w:fill="DDD9C3" w:themeFill="background2" w:themeFillShade="E6"/>
            <w:vAlign w:val="center"/>
          </w:tcPr>
          <w:p w14:paraId="4082106B" w14:textId="347D5CEF" w:rsidR="006322C2" w:rsidRDefault="006322C2" w:rsidP="006322C2">
            <w:pPr>
              <w:tabs>
                <w:tab w:val="decimal" w:pos="584"/>
              </w:tabs>
              <w:jc w:val="left"/>
              <w:rPr>
                <w:color w:val="000000"/>
                <w:sz w:val="16"/>
                <w:szCs w:val="16"/>
              </w:rPr>
            </w:pPr>
            <w:r>
              <w:rPr>
                <w:color w:val="000000"/>
                <w:sz w:val="16"/>
                <w:szCs w:val="16"/>
              </w:rPr>
              <w:t>86.0</w:t>
            </w:r>
          </w:p>
        </w:tc>
        <w:tc>
          <w:tcPr>
            <w:tcW w:w="1216" w:type="dxa"/>
            <w:shd w:val="clear" w:color="auto" w:fill="DDD9C3" w:themeFill="background2" w:themeFillShade="E6"/>
            <w:vAlign w:val="center"/>
          </w:tcPr>
          <w:p w14:paraId="58BCA0BA" w14:textId="1952CCFF" w:rsidR="006322C2" w:rsidRDefault="006322C2" w:rsidP="006322C2">
            <w:pPr>
              <w:tabs>
                <w:tab w:val="decimal" w:pos="584"/>
              </w:tabs>
              <w:jc w:val="left"/>
              <w:rPr>
                <w:color w:val="000000"/>
                <w:sz w:val="16"/>
                <w:szCs w:val="16"/>
              </w:rPr>
            </w:pPr>
            <w:r>
              <w:rPr>
                <w:color w:val="000000"/>
                <w:sz w:val="16"/>
                <w:szCs w:val="16"/>
              </w:rPr>
              <w:t>81.7</w:t>
            </w:r>
          </w:p>
        </w:tc>
        <w:tc>
          <w:tcPr>
            <w:tcW w:w="1216" w:type="dxa"/>
            <w:shd w:val="clear" w:color="auto" w:fill="DDD9C3" w:themeFill="background2" w:themeFillShade="E6"/>
            <w:vAlign w:val="center"/>
          </w:tcPr>
          <w:p w14:paraId="576EE0D3" w14:textId="44F55529" w:rsidR="006322C2" w:rsidRDefault="006322C2" w:rsidP="00EA58BB">
            <w:pPr>
              <w:tabs>
                <w:tab w:val="decimal" w:pos="517"/>
              </w:tabs>
              <w:jc w:val="left"/>
              <w:rPr>
                <w:color w:val="000000"/>
                <w:sz w:val="16"/>
                <w:szCs w:val="16"/>
              </w:rPr>
            </w:pPr>
            <w:r>
              <w:rPr>
                <w:color w:val="000000"/>
                <w:sz w:val="16"/>
                <w:szCs w:val="16"/>
              </w:rPr>
              <w:t>-5.0</w:t>
            </w:r>
          </w:p>
        </w:tc>
      </w:tr>
      <w:tr w:rsidR="006322C2" w:rsidRPr="0002464A" w14:paraId="7EDEE2CA"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39F1B87E" w14:textId="6B6E568B"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Índice del</w:t>
            </w:r>
            <w:r w:rsidR="00ED110F">
              <w:rPr>
                <w:sz w:val="16"/>
                <w:szCs w:val="16"/>
              </w:rPr>
              <w:t xml:space="preserve"> p</w:t>
            </w:r>
            <w:r w:rsidRPr="00E34826">
              <w:rPr>
                <w:sz w:val="16"/>
                <w:szCs w:val="16"/>
              </w:rPr>
              <w:t xml:space="preserve">roducto </w:t>
            </w:r>
            <w:r w:rsidR="00ED110F">
              <w:rPr>
                <w:sz w:val="16"/>
                <w:szCs w:val="16"/>
              </w:rPr>
              <w:t>i</w:t>
            </w:r>
            <w:r w:rsidRPr="00E34826">
              <w:rPr>
                <w:sz w:val="16"/>
                <w:szCs w:val="16"/>
              </w:rPr>
              <w:t xml:space="preserve">nterno </w:t>
            </w:r>
            <w:r w:rsidR="00ED110F">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093F86BA" w14:textId="716EE91D" w:rsidR="006322C2" w:rsidRDefault="006322C2" w:rsidP="006322C2">
            <w:pPr>
              <w:tabs>
                <w:tab w:val="decimal" w:pos="584"/>
              </w:tabs>
              <w:jc w:val="left"/>
              <w:rPr>
                <w:color w:val="000000"/>
                <w:sz w:val="16"/>
                <w:szCs w:val="16"/>
              </w:rPr>
            </w:pPr>
            <w:r>
              <w:rPr>
                <w:color w:val="000000"/>
                <w:sz w:val="16"/>
                <w:szCs w:val="16"/>
              </w:rPr>
              <w:t>96.8</w:t>
            </w:r>
          </w:p>
        </w:tc>
        <w:tc>
          <w:tcPr>
            <w:tcW w:w="1216" w:type="dxa"/>
            <w:vAlign w:val="center"/>
          </w:tcPr>
          <w:p w14:paraId="652055F3" w14:textId="4B38BDA6" w:rsidR="006322C2" w:rsidRDefault="006322C2" w:rsidP="006322C2">
            <w:pPr>
              <w:tabs>
                <w:tab w:val="decimal" w:pos="584"/>
              </w:tabs>
              <w:jc w:val="left"/>
              <w:rPr>
                <w:color w:val="000000"/>
                <w:sz w:val="16"/>
                <w:szCs w:val="16"/>
              </w:rPr>
            </w:pPr>
            <w:r>
              <w:rPr>
                <w:color w:val="000000"/>
                <w:sz w:val="16"/>
                <w:szCs w:val="16"/>
              </w:rPr>
              <w:t>98.5</w:t>
            </w:r>
          </w:p>
        </w:tc>
        <w:tc>
          <w:tcPr>
            <w:tcW w:w="1216" w:type="dxa"/>
            <w:vAlign w:val="center"/>
          </w:tcPr>
          <w:p w14:paraId="248E36F4" w14:textId="063382BB" w:rsidR="006322C2" w:rsidRDefault="006322C2" w:rsidP="00EA58BB">
            <w:pPr>
              <w:tabs>
                <w:tab w:val="decimal" w:pos="517"/>
              </w:tabs>
              <w:jc w:val="left"/>
              <w:rPr>
                <w:color w:val="000000"/>
                <w:sz w:val="16"/>
                <w:szCs w:val="16"/>
              </w:rPr>
            </w:pPr>
            <w:r>
              <w:rPr>
                <w:color w:val="000000"/>
                <w:sz w:val="16"/>
                <w:szCs w:val="16"/>
              </w:rPr>
              <w:t>1.7</w:t>
            </w:r>
          </w:p>
        </w:tc>
      </w:tr>
      <w:tr w:rsidR="006322C2" w:rsidRPr="0002464A" w14:paraId="5D09FD23"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47AF4968" w14:textId="452A4B19"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 xml:space="preserve">Índice de </w:t>
            </w:r>
            <w:r w:rsidR="00ED110F">
              <w:rPr>
                <w:sz w:val="16"/>
                <w:szCs w:val="16"/>
              </w:rPr>
              <w:t>h</w:t>
            </w:r>
            <w:r w:rsidRPr="00E34826">
              <w:rPr>
                <w:sz w:val="16"/>
                <w:szCs w:val="16"/>
              </w:rPr>
              <w:t xml:space="preserve">oras </w:t>
            </w:r>
            <w:r w:rsidR="00ED110F">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2A9FF585" w14:textId="6883AC68" w:rsidR="006322C2" w:rsidRDefault="006322C2" w:rsidP="006322C2">
            <w:pPr>
              <w:tabs>
                <w:tab w:val="decimal" w:pos="584"/>
              </w:tabs>
              <w:jc w:val="left"/>
              <w:rPr>
                <w:color w:val="000000"/>
                <w:sz w:val="16"/>
                <w:szCs w:val="16"/>
              </w:rPr>
            </w:pPr>
            <w:r>
              <w:rPr>
                <w:color w:val="000000"/>
                <w:sz w:val="16"/>
                <w:szCs w:val="16"/>
              </w:rPr>
              <w:t>112.6</w:t>
            </w:r>
          </w:p>
        </w:tc>
        <w:tc>
          <w:tcPr>
            <w:tcW w:w="1216" w:type="dxa"/>
            <w:vAlign w:val="center"/>
          </w:tcPr>
          <w:p w14:paraId="559AC7E1" w14:textId="4C196D4B" w:rsidR="006322C2" w:rsidRDefault="006322C2" w:rsidP="006322C2">
            <w:pPr>
              <w:tabs>
                <w:tab w:val="decimal" w:pos="584"/>
              </w:tabs>
              <w:jc w:val="left"/>
              <w:rPr>
                <w:color w:val="000000"/>
                <w:sz w:val="16"/>
                <w:szCs w:val="16"/>
              </w:rPr>
            </w:pPr>
            <w:r>
              <w:rPr>
                <w:color w:val="000000"/>
                <w:sz w:val="16"/>
                <w:szCs w:val="16"/>
              </w:rPr>
              <w:t>120.6</w:t>
            </w:r>
          </w:p>
        </w:tc>
        <w:tc>
          <w:tcPr>
            <w:tcW w:w="1216" w:type="dxa"/>
            <w:vAlign w:val="center"/>
          </w:tcPr>
          <w:p w14:paraId="2DF2F767" w14:textId="614AAF66" w:rsidR="006322C2" w:rsidRDefault="006322C2" w:rsidP="00EA58BB">
            <w:pPr>
              <w:tabs>
                <w:tab w:val="decimal" w:pos="517"/>
              </w:tabs>
              <w:jc w:val="left"/>
              <w:rPr>
                <w:color w:val="000000"/>
                <w:sz w:val="16"/>
                <w:szCs w:val="16"/>
              </w:rPr>
            </w:pPr>
            <w:r>
              <w:rPr>
                <w:color w:val="000000"/>
                <w:sz w:val="16"/>
                <w:szCs w:val="16"/>
              </w:rPr>
              <w:t>7.1</w:t>
            </w:r>
          </w:p>
        </w:tc>
      </w:tr>
      <w:tr w:rsidR="006322C2" w:rsidRPr="0002464A" w14:paraId="23AB89FF" w14:textId="77777777" w:rsidTr="006322C2">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34115EF" w14:textId="0B8C73F7" w:rsidR="006322C2" w:rsidRPr="00E34826" w:rsidRDefault="006322C2" w:rsidP="006322C2">
            <w:pPr>
              <w:widowControl w:val="0"/>
              <w:spacing w:before="20" w:after="20"/>
              <w:ind w:left="142"/>
              <w:jc w:val="left"/>
              <w:rPr>
                <w:sz w:val="16"/>
                <w:szCs w:val="16"/>
              </w:rPr>
            </w:pPr>
            <w:r w:rsidRPr="00E34826">
              <w:rPr>
                <w:sz w:val="16"/>
                <w:szCs w:val="16"/>
              </w:rPr>
              <w:t xml:space="preserve">IGPL de las </w:t>
            </w:r>
            <w:r w:rsidR="00ED110F">
              <w:rPr>
                <w:sz w:val="16"/>
                <w:szCs w:val="16"/>
              </w:rPr>
              <w:t>a</w:t>
            </w:r>
            <w:r w:rsidRPr="00E34826">
              <w:rPr>
                <w:sz w:val="16"/>
                <w:szCs w:val="16"/>
              </w:rPr>
              <w:t xml:space="preserve">ctividades </w:t>
            </w:r>
            <w:r w:rsidR="00ED110F">
              <w:rPr>
                <w:sz w:val="16"/>
                <w:szCs w:val="16"/>
              </w:rPr>
              <w:t>t</w:t>
            </w:r>
            <w:r w:rsidRPr="00E34826">
              <w:rPr>
                <w:sz w:val="16"/>
                <w:szCs w:val="16"/>
              </w:rPr>
              <w:t>erciarias</w:t>
            </w:r>
          </w:p>
        </w:tc>
        <w:tc>
          <w:tcPr>
            <w:tcW w:w="1216" w:type="dxa"/>
            <w:tcBorders>
              <w:left w:val="single" w:sz="6" w:space="0" w:color="948A54" w:themeColor="background2" w:themeShade="80"/>
            </w:tcBorders>
            <w:shd w:val="clear" w:color="auto" w:fill="DDD9C3" w:themeFill="background2" w:themeFillShade="E6"/>
            <w:vAlign w:val="center"/>
          </w:tcPr>
          <w:p w14:paraId="52F35315" w14:textId="3E2F2B7A" w:rsidR="006322C2" w:rsidRDefault="006322C2" w:rsidP="006322C2">
            <w:pPr>
              <w:tabs>
                <w:tab w:val="decimal" w:pos="584"/>
              </w:tabs>
              <w:jc w:val="left"/>
              <w:rPr>
                <w:color w:val="000000"/>
                <w:sz w:val="16"/>
                <w:szCs w:val="16"/>
              </w:rPr>
            </w:pPr>
            <w:r>
              <w:rPr>
                <w:color w:val="000000"/>
                <w:sz w:val="16"/>
                <w:szCs w:val="16"/>
              </w:rPr>
              <w:t>109.9</w:t>
            </w:r>
          </w:p>
        </w:tc>
        <w:tc>
          <w:tcPr>
            <w:tcW w:w="1216" w:type="dxa"/>
            <w:shd w:val="clear" w:color="auto" w:fill="DDD9C3" w:themeFill="background2" w:themeFillShade="E6"/>
            <w:vAlign w:val="center"/>
          </w:tcPr>
          <w:p w14:paraId="5BC71DA0" w14:textId="5016497A" w:rsidR="006322C2" w:rsidRDefault="006322C2" w:rsidP="006322C2">
            <w:pPr>
              <w:tabs>
                <w:tab w:val="decimal" w:pos="584"/>
              </w:tabs>
              <w:jc w:val="left"/>
              <w:rPr>
                <w:color w:val="000000"/>
                <w:sz w:val="16"/>
                <w:szCs w:val="16"/>
              </w:rPr>
            </w:pPr>
            <w:r>
              <w:rPr>
                <w:color w:val="000000"/>
                <w:sz w:val="16"/>
                <w:szCs w:val="16"/>
              </w:rPr>
              <w:t>100.9</w:t>
            </w:r>
          </w:p>
        </w:tc>
        <w:tc>
          <w:tcPr>
            <w:tcW w:w="1216" w:type="dxa"/>
            <w:shd w:val="clear" w:color="auto" w:fill="DDD9C3" w:themeFill="background2" w:themeFillShade="E6"/>
            <w:vAlign w:val="center"/>
          </w:tcPr>
          <w:p w14:paraId="00C86A88" w14:textId="64537937" w:rsidR="006322C2" w:rsidRDefault="006322C2" w:rsidP="00EA58BB">
            <w:pPr>
              <w:tabs>
                <w:tab w:val="decimal" w:pos="517"/>
              </w:tabs>
              <w:jc w:val="left"/>
              <w:rPr>
                <w:color w:val="000000"/>
                <w:sz w:val="16"/>
                <w:szCs w:val="16"/>
              </w:rPr>
            </w:pPr>
            <w:r>
              <w:rPr>
                <w:color w:val="000000"/>
                <w:sz w:val="16"/>
                <w:szCs w:val="16"/>
              </w:rPr>
              <w:t>-8.1</w:t>
            </w:r>
          </w:p>
        </w:tc>
      </w:tr>
      <w:tr w:rsidR="006322C2" w:rsidRPr="0002464A" w14:paraId="6B2F2F62" w14:textId="77777777" w:rsidTr="006322C2">
        <w:trPr>
          <w:cantSplit/>
          <w:trHeight w:val="20"/>
          <w:jc w:val="center"/>
        </w:trPr>
        <w:tc>
          <w:tcPr>
            <w:tcW w:w="4600" w:type="dxa"/>
            <w:tcBorders>
              <w:top w:val="nil"/>
              <w:bottom w:val="nil"/>
              <w:right w:val="single" w:sz="6" w:space="0" w:color="948A54" w:themeColor="background2" w:themeShade="80"/>
            </w:tcBorders>
            <w:vAlign w:val="center"/>
          </w:tcPr>
          <w:p w14:paraId="06D9C406" w14:textId="4A054190"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 xml:space="preserve">Índice del </w:t>
            </w:r>
            <w:r w:rsidR="00ED110F">
              <w:rPr>
                <w:sz w:val="16"/>
                <w:szCs w:val="16"/>
              </w:rPr>
              <w:t>p</w:t>
            </w:r>
            <w:r w:rsidRPr="00E34826">
              <w:rPr>
                <w:sz w:val="16"/>
                <w:szCs w:val="16"/>
              </w:rPr>
              <w:t xml:space="preserve">roducto </w:t>
            </w:r>
            <w:r w:rsidR="00ED110F">
              <w:rPr>
                <w:sz w:val="16"/>
                <w:szCs w:val="16"/>
              </w:rPr>
              <w:t>i</w:t>
            </w:r>
            <w:r w:rsidRPr="00E34826">
              <w:rPr>
                <w:sz w:val="16"/>
                <w:szCs w:val="16"/>
              </w:rPr>
              <w:t xml:space="preserve">nterno </w:t>
            </w:r>
            <w:r w:rsidR="00ED110F">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6B41C4A0" w14:textId="42D65DAB" w:rsidR="006322C2" w:rsidRDefault="006322C2" w:rsidP="006322C2">
            <w:pPr>
              <w:tabs>
                <w:tab w:val="decimal" w:pos="584"/>
              </w:tabs>
              <w:jc w:val="left"/>
              <w:rPr>
                <w:color w:val="000000"/>
                <w:sz w:val="16"/>
                <w:szCs w:val="16"/>
              </w:rPr>
            </w:pPr>
            <w:r>
              <w:rPr>
                <w:color w:val="000000"/>
                <w:sz w:val="16"/>
                <w:szCs w:val="16"/>
              </w:rPr>
              <w:t>116.1</w:t>
            </w:r>
          </w:p>
        </w:tc>
        <w:tc>
          <w:tcPr>
            <w:tcW w:w="1216" w:type="dxa"/>
            <w:vAlign w:val="center"/>
          </w:tcPr>
          <w:p w14:paraId="55211749" w14:textId="4CB53913" w:rsidR="006322C2" w:rsidRDefault="006322C2" w:rsidP="006322C2">
            <w:pPr>
              <w:tabs>
                <w:tab w:val="decimal" w:pos="584"/>
              </w:tabs>
              <w:jc w:val="left"/>
              <w:rPr>
                <w:color w:val="000000"/>
                <w:sz w:val="16"/>
                <w:szCs w:val="16"/>
              </w:rPr>
            </w:pPr>
            <w:r>
              <w:rPr>
                <w:color w:val="000000"/>
                <w:sz w:val="16"/>
                <w:szCs w:val="16"/>
              </w:rPr>
              <w:t>116.3</w:t>
            </w:r>
          </w:p>
        </w:tc>
        <w:tc>
          <w:tcPr>
            <w:tcW w:w="1216" w:type="dxa"/>
            <w:vAlign w:val="center"/>
          </w:tcPr>
          <w:p w14:paraId="718735FD" w14:textId="526DE143" w:rsidR="006322C2" w:rsidRDefault="006322C2" w:rsidP="00EA58BB">
            <w:pPr>
              <w:tabs>
                <w:tab w:val="decimal" w:pos="517"/>
              </w:tabs>
              <w:jc w:val="left"/>
              <w:rPr>
                <w:color w:val="000000"/>
                <w:sz w:val="16"/>
                <w:szCs w:val="16"/>
              </w:rPr>
            </w:pPr>
            <w:r>
              <w:rPr>
                <w:color w:val="000000"/>
                <w:sz w:val="16"/>
                <w:szCs w:val="16"/>
              </w:rPr>
              <w:t>0.2</w:t>
            </w:r>
          </w:p>
        </w:tc>
      </w:tr>
      <w:tr w:rsidR="006322C2" w:rsidRPr="0002464A" w14:paraId="087760BA" w14:textId="77777777" w:rsidTr="006322C2">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0C39A1D7" w14:textId="6F03A8F7" w:rsidR="006322C2" w:rsidRPr="00E34826" w:rsidRDefault="006322C2" w:rsidP="006322C2">
            <w:pPr>
              <w:widowControl w:val="0"/>
              <w:numPr>
                <w:ilvl w:val="0"/>
                <w:numId w:val="25"/>
              </w:numPr>
              <w:spacing w:before="20" w:after="20"/>
              <w:ind w:left="397" w:hanging="113"/>
              <w:rPr>
                <w:sz w:val="16"/>
                <w:szCs w:val="16"/>
              </w:rPr>
            </w:pPr>
            <w:r w:rsidRPr="00E34826">
              <w:rPr>
                <w:sz w:val="16"/>
                <w:szCs w:val="16"/>
              </w:rPr>
              <w:t xml:space="preserve">Índice de </w:t>
            </w:r>
            <w:r w:rsidR="00ED110F">
              <w:rPr>
                <w:sz w:val="16"/>
                <w:szCs w:val="16"/>
              </w:rPr>
              <w:t>h</w:t>
            </w:r>
            <w:r w:rsidRPr="00E34826">
              <w:rPr>
                <w:sz w:val="16"/>
                <w:szCs w:val="16"/>
              </w:rPr>
              <w:t xml:space="preserve">oras </w:t>
            </w:r>
            <w:r w:rsidR="00ED110F">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1A02637D" w14:textId="0EB6325A" w:rsidR="006322C2" w:rsidRDefault="006322C2" w:rsidP="006322C2">
            <w:pPr>
              <w:tabs>
                <w:tab w:val="decimal" w:pos="584"/>
              </w:tabs>
              <w:jc w:val="left"/>
              <w:rPr>
                <w:color w:val="000000"/>
                <w:sz w:val="16"/>
                <w:szCs w:val="16"/>
              </w:rPr>
            </w:pPr>
            <w:r>
              <w:rPr>
                <w:color w:val="000000"/>
                <w:sz w:val="16"/>
                <w:szCs w:val="16"/>
              </w:rPr>
              <w:t>105.7</w:t>
            </w:r>
          </w:p>
        </w:tc>
        <w:tc>
          <w:tcPr>
            <w:tcW w:w="1216" w:type="dxa"/>
            <w:vAlign w:val="center"/>
          </w:tcPr>
          <w:p w14:paraId="68AF7698" w14:textId="356BD31F" w:rsidR="006322C2" w:rsidRDefault="006322C2" w:rsidP="006322C2">
            <w:pPr>
              <w:tabs>
                <w:tab w:val="decimal" w:pos="584"/>
              </w:tabs>
              <w:jc w:val="left"/>
              <w:rPr>
                <w:color w:val="000000"/>
                <w:sz w:val="16"/>
                <w:szCs w:val="16"/>
              </w:rPr>
            </w:pPr>
            <w:r>
              <w:rPr>
                <w:color w:val="000000"/>
                <w:sz w:val="16"/>
                <w:szCs w:val="16"/>
              </w:rPr>
              <w:t>115.2</w:t>
            </w:r>
          </w:p>
        </w:tc>
        <w:tc>
          <w:tcPr>
            <w:tcW w:w="1216" w:type="dxa"/>
            <w:vAlign w:val="center"/>
          </w:tcPr>
          <w:p w14:paraId="2E658A4C" w14:textId="02200BD9" w:rsidR="006322C2" w:rsidRDefault="006322C2" w:rsidP="00EA58BB">
            <w:pPr>
              <w:tabs>
                <w:tab w:val="decimal" w:pos="517"/>
              </w:tabs>
              <w:jc w:val="left"/>
              <w:rPr>
                <w:color w:val="000000"/>
                <w:sz w:val="16"/>
                <w:szCs w:val="16"/>
              </w:rPr>
            </w:pPr>
            <w:r>
              <w:rPr>
                <w:color w:val="000000"/>
                <w:sz w:val="16"/>
                <w:szCs w:val="16"/>
              </w:rPr>
              <w:t>9.1</w:t>
            </w:r>
          </w:p>
        </w:tc>
      </w:tr>
    </w:tbl>
    <w:p w14:paraId="66C66E40"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65806D4E"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5"/>
    <w:p w14:paraId="0AEE444C"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71BECDDB" w14:textId="3D122368"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 xml:space="preserve">por </w:t>
      </w:r>
      <w:r w:rsidR="00ED110F">
        <w:rPr>
          <w:rFonts w:cs="Arial"/>
          <w:smallCaps/>
          <w:color w:val="auto"/>
          <w:spacing w:val="0"/>
          <w:sz w:val="20"/>
        </w:rPr>
        <w:t>s</w:t>
      </w:r>
      <w:r w:rsidRPr="00E34826">
        <w:rPr>
          <w:rFonts w:cs="Arial"/>
          <w:smallCaps/>
          <w:color w:val="auto"/>
          <w:spacing w:val="0"/>
          <w:sz w:val="20"/>
        </w:rPr>
        <w:t>ector</w:t>
      </w:r>
      <w:r w:rsidR="00A96CED" w:rsidRPr="00E34826">
        <w:rPr>
          <w:rFonts w:cs="Arial"/>
          <w:smallCaps/>
          <w:color w:val="auto"/>
          <w:spacing w:val="0"/>
          <w:sz w:val="20"/>
        </w:rPr>
        <w:t xml:space="preserve"> </w:t>
      </w:r>
      <w:r w:rsidRPr="00E34826">
        <w:rPr>
          <w:rFonts w:cs="Arial"/>
          <w:smallCaps/>
          <w:color w:val="auto"/>
          <w:spacing w:val="0"/>
          <w:sz w:val="20"/>
        </w:rPr>
        <w:br/>
      </w:r>
      <w:r w:rsidR="000A2928">
        <w:rPr>
          <w:rFonts w:cs="Arial"/>
          <w:smallCaps/>
          <w:color w:val="auto"/>
          <w:spacing w:val="0"/>
          <w:sz w:val="20"/>
          <w:lang w:val="es-ES_tradnl"/>
        </w:rPr>
        <w:t>y sus índices componentes</w:t>
      </w:r>
    </w:p>
    <w:p w14:paraId="3FEC37E1"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612A1C1D"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4288D2D"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2BCDA68" w14:textId="7EACF874" w:rsidR="001A75CB" w:rsidRPr="00E34826" w:rsidRDefault="006322C2" w:rsidP="00747C80">
            <w:pPr>
              <w:widowControl w:val="0"/>
              <w:jc w:val="center"/>
              <w:rPr>
                <w:sz w:val="16"/>
                <w:szCs w:val="16"/>
              </w:rPr>
            </w:pPr>
            <w:r>
              <w:rPr>
                <w:sz w:val="16"/>
                <w:szCs w:val="16"/>
              </w:rPr>
              <w:t>4</w:t>
            </w:r>
            <w:r>
              <w:rPr>
                <w:sz w:val="16"/>
                <w:szCs w:val="16"/>
                <w:vertAlign w:val="superscript"/>
              </w:rPr>
              <w:t>to</w:t>
            </w:r>
            <w:r w:rsidRPr="001F7773">
              <w:rPr>
                <w:sz w:val="16"/>
                <w:szCs w:val="16"/>
                <w:vertAlign w:val="superscript"/>
              </w:rPr>
              <w:t>.</w:t>
            </w:r>
            <w:r w:rsidRPr="001F7773">
              <w:rPr>
                <w:sz w:val="16"/>
                <w:szCs w:val="16"/>
              </w:rPr>
              <w:t xml:space="preserve"> Trimestre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22138034"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2365823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785717C"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5F5992" w14:textId="524E30AF" w:rsidR="001A75CB" w:rsidRPr="00E34826" w:rsidRDefault="001A75CB" w:rsidP="00917606">
            <w:pPr>
              <w:widowControl w:val="0"/>
              <w:jc w:val="center"/>
              <w:rPr>
                <w:sz w:val="16"/>
                <w:szCs w:val="16"/>
              </w:rPr>
            </w:pPr>
            <w:r>
              <w:rPr>
                <w:sz w:val="16"/>
                <w:szCs w:val="16"/>
              </w:rPr>
              <w:t>20</w:t>
            </w:r>
            <w:r w:rsidR="00917606">
              <w:rPr>
                <w:sz w:val="16"/>
                <w:szCs w:val="16"/>
              </w:rPr>
              <w:t>20</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FC005D" w14:textId="40CDB243" w:rsidR="001A75CB" w:rsidRPr="00E34826" w:rsidRDefault="001A75CB" w:rsidP="00CB40BD">
            <w:pPr>
              <w:widowControl w:val="0"/>
              <w:jc w:val="center"/>
              <w:rPr>
                <w:sz w:val="16"/>
                <w:szCs w:val="16"/>
              </w:rPr>
            </w:pPr>
            <w:r>
              <w:rPr>
                <w:sz w:val="16"/>
                <w:szCs w:val="16"/>
              </w:rPr>
              <w:t>202</w:t>
            </w:r>
            <w:r w:rsidR="00917606">
              <w:rPr>
                <w:sz w:val="16"/>
                <w:szCs w:val="16"/>
              </w:rPr>
              <w:t>1</w:t>
            </w:r>
            <w:r w:rsidR="00747C80" w:rsidRPr="001F3A06">
              <w:rPr>
                <w:position w:val="2"/>
                <w:sz w:val="16"/>
                <w:szCs w:val="16"/>
                <w:vertAlign w:val="superscript"/>
              </w:rPr>
              <w:t xml:space="preserve"> p/</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FA6F72E" w14:textId="77777777" w:rsidR="001A75CB" w:rsidRPr="00E34826" w:rsidRDefault="001A75CB" w:rsidP="001A75CB">
            <w:pPr>
              <w:widowControl w:val="0"/>
              <w:jc w:val="center"/>
              <w:rPr>
                <w:sz w:val="16"/>
                <w:szCs w:val="16"/>
              </w:rPr>
            </w:pPr>
          </w:p>
        </w:tc>
      </w:tr>
      <w:tr w:rsidR="006322C2" w:rsidRPr="00E34826" w14:paraId="60BD59AF" w14:textId="77777777" w:rsidTr="006322C2">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84258E5" w14:textId="39D076CE" w:rsidR="006322C2" w:rsidRPr="00E34826" w:rsidRDefault="006322C2" w:rsidP="006322C2">
            <w:pPr>
              <w:widowControl w:val="0"/>
              <w:spacing w:before="20" w:after="20"/>
              <w:ind w:left="142"/>
              <w:rPr>
                <w:sz w:val="16"/>
                <w:szCs w:val="16"/>
              </w:rPr>
            </w:pPr>
            <w:r w:rsidRPr="00E34826">
              <w:rPr>
                <w:sz w:val="16"/>
                <w:szCs w:val="16"/>
              </w:rPr>
              <w:t xml:space="preserve">IPL en las </w:t>
            </w:r>
            <w:r w:rsidR="00ED110F">
              <w:rPr>
                <w:sz w:val="16"/>
                <w:szCs w:val="16"/>
              </w:rPr>
              <w:t>e</w:t>
            </w:r>
            <w:r w:rsidRPr="00E34826">
              <w:rPr>
                <w:sz w:val="16"/>
                <w:szCs w:val="16"/>
              </w:rPr>
              <w:t xml:space="preserve">mpresas </w:t>
            </w:r>
            <w:r w:rsidR="00ED110F">
              <w:rPr>
                <w:sz w:val="16"/>
                <w:szCs w:val="16"/>
              </w:rPr>
              <w:t>co</w:t>
            </w:r>
            <w:r w:rsidRPr="00E34826">
              <w:rPr>
                <w:sz w:val="16"/>
                <w:szCs w:val="16"/>
              </w:rPr>
              <w:t>nstructoras</w:t>
            </w:r>
            <w:r>
              <w:rPr>
                <w:sz w:val="16"/>
                <w:szCs w:val="16"/>
              </w:rPr>
              <w:t xml:space="preserve"> </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45910E5" w14:textId="38B30246" w:rsidR="006322C2" w:rsidRDefault="006322C2" w:rsidP="006322C2">
            <w:pPr>
              <w:tabs>
                <w:tab w:val="decimal" w:pos="610"/>
              </w:tabs>
              <w:jc w:val="left"/>
              <w:rPr>
                <w:sz w:val="16"/>
                <w:szCs w:val="16"/>
                <w:lang w:val="es-MX" w:eastAsia="es-MX"/>
              </w:rPr>
            </w:pPr>
            <w:r>
              <w:rPr>
                <w:sz w:val="16"/>
                <w:szCs w:val="16"/>
              </w:rPr>
              <w:t>96.9</w:t>
            </w:r>
          </w:p>
        </w:tc>
        <w:tc>
          <w:tcPr>
            <w:tcW w:w="1213" w:type="dxa"/>
            <w:tcBorders>
              <w:top w:val="single" w:sz="6" w:space="0" w:color="948A54" w:themeColor="background2" w:themeShade="80"/>
              <w:bottom w:val="nil"/>
            </w:tcBorders>
            <w:shd w:val="clear" w:color="auto" w:fill="DDD9C3" w:themeFill="background2" w:themeFillShade="E6"/>
            <w:vAlign w:val="center"/>
          </w:tcPr>
          <w:p w14:paraId="17EA1AE1" w14:textId="13D8BD5F" w:rsidR="006322C2" w:rsidRDefault="006322C2" w:rsidP="006322C2">
            <w:pPr>
              <w:tabs>
                <w:tab w:val="decimal" w:pos="610"/>
              </w:tabs>
              <w:jc w:val="left"/>
              <w:rPr>
                <w:sz w:val="16"/>
                <w:szCs w:val="16"/>
              </w:rPr>
            </w:pPr>
            <w:r>
              <w:rPr>
                <w:sz w:val="16"/>
                <w:szCs w:val="16"/>
              </w:rPr>
              <w:t>97.8</w:t>
            </w:r>
          </w:p>
        </w:tc>
        <w:tc>
          <w:tcPr>
            <w:tcW w:w="1213" w:type="dxa"/>
            <w:tcBorders>
              <w:top w:val="single" w:sz="6" w:space="0" w:color="948A54" w:themeColor="background2" w:themeShade="80"/>
              <w:bottom w:val="nil"/>
            </w:tcBorders>
            <w:shd w:val="clear" w:color="auto" w:fill="DDD9C3" w:themeFill="background2" w:themeFillShade="E6"/>
            <w:vAlign w:val="center"/>
          </w:tcPr>
          <w:p w14:paraId="0B15DC9E" w14:textId="110AFDFD" w:rsidR="006322C2" w:rsidRPr="00770064" w:rsidRDefault="006322C2" w:rsidP="006322C2">
            <w:pPr>
              <w:tabs>
                <w:tab w:val="decimal" w:pos="559"/>
              </w:tabs>
              <w:jc w:val="left"/>
              <w:rPr>
                <w:color w:val="000000"/>
                <w:sz w:val="16"/>
                <w:szCs w:val="16"/>
              </w:rPr>
            </w:pPr>
            <w:r>
              <w:rPr>
                <w:sz w:val="16"/>
                <w:szCs w:val="16"/>
              </w:rPr>
              <w:t>1.0</w:t>
            </w:r>
          </w:p>
        </w:tc>
      </w:tr>
      <w:tr w:rsidR="006322C2" w:rsidRPr="00E34826" w14:paraId="6DA23140"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B2688EE" w14:textId="58A10923" w:rsidR="006322C2" w:rsidRPr="00E34826" w:rsidRDefault="006322C2" w:rsidP="006322C2">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sidR="00ED110F">
              <w:rPr>
                <w:sz w:val="16"/>
                <w:szCs w:val="16"/>
              </w:rPr>
              <w:t>v</w:t>
            </w:r>
            <w:r w:rsidRPr="00E34826">
              <w:rPr>
                <w:sz w:val="16"/>
                <w:szCs w:val="16"/>
              </w:rPr>
              <w:t xml:space="preserve">alor de la </w:t>
            </w:r>
            <w:r w:rsidR="00ED110F">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7060040D" w14:textId="41811246" w:rsidR="006322C2" w:rsidRDefault="006322C2" w:rsidP="006322C2">
            <w:pPr>
              <w:tabs>
                <w:tab w:val="decimal" w:pos="610"/>
              </w:tabs>
              <w:jc w:val="left"/>
              <w:rPr>
                <w:sz w:val="16"/>
                <w:szCs w:val="16"/>
              </w:rPr>
            </w:pPr>
            <w:r>
              <w:rPr>
                <w:sz w:val="16"/>
                <w:szCs w:val="16"/>
              </w:rPr>
              <w:t>68.9</w:t>
            </w:r>
          </w:p>
        </w:tc>
        <w:tc>
          <w:tcPr>
            <w:tcW w:w="1213" w:type="dxa"/>
            <w:tcBorders>
              <w:top w:val="nil"/>
              <w:bottom w:val="nil"/>
            </w:tcBorders>
            <w:shd w:val="clear" w:color="auto" w:fill="auto"/>
            <w:vAlign w:val="center"/>
          </w:tcPr>
          <w:p w14:paraId="2E884EA6" w14:textId="113C58CF" w:rsidR="006322C2" w:rsidRDefault="006322C2" w:rsidP="006322C2">
            <w:pPr>
              <w:tabs>
                <w:tab w:val="decimal" w:pos="610"/>
              </w:tabs>
              <w:jc w:val="left"/>
              <w:rPr>
                <w:sz w:val="16"/>
                <w:szCs w:val="16"/>
              </w:rPr>
            </w:pPr>
            <w:r>
              <w:rPr>
                <w:sz w:val="16"/>
                <w:szCs w:val="16"/>
              </w:rPr>
              <w:t>73.5</w:t>
            </w:r>
          </w:p>
        </w:tc>
        <w:tc>
          <w:tcPr>
            <w:tcW w:w="1213" w:type="dxa"/>
            <w:tcBorders>
              <w:top w:val="nil"/>
              <w:bottom w:val="nil"/>
            </w:tcBorders>
            <w:shd w:val="clear" w:color="auto" w:fill="auto"/>
            <w:vAlign w:val="center"/>
          </w:tcPr>
          <w:p w14:paraId="3E3E0DBF" w14:textId="361BDE3A" w:rsidR="006322C2" w:rsidRPr="00770064" w:rsidRDefault="006322C2" w:rsidP="006322C2">
            <w:pPr>
              <w:tabs>
                <w:tab w:val="decimal" w:pos="559"/>
              </w:tabs>
              <w:jc w:val="left"/>
              <w:rPr>
                <w:color w:val="000000"/>
                <w:sz w:val="16"/>
                <w:szCs w:val="16"/>
              </w:rPr>
            </w:pPr>
            <w:r>
              <w:rPr>
                <w:sz w:val="16"/>
                <w:szCs w:val="16"/>
              </w:rPr>
              <w:t>6.8</w:t>
            </w:r>
          </w:p>
        </w:tc>
      </w:tr>
      <w:tr w:rsidR="006322C2" w:rsidRPr="00E34826" w14:paraId="30606F6B"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2484E6D" w14:textId="241B27FF" w:rsidR="006322C2" w:rsidRPr="00E34826" w:rsidRDefault="006322C2" w:rsidP="006322C2">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w:t>
            </w:r>
            <w:r w:rsidR="00ED110F">
              <w:rPr>
                <w:sz w:val="16"/>
                <w:szCs w:val="16"/>
              </w:rPr>
              <w:t>h</w:t>
            </w:r>
            <w:r w:rsidRPr="00E34826">
              <w:rPr>
                <w:sz w:val="16"/>
                <w:szCs w:val="16"/>
              </w:rPr>
              <w:t xml:space="preserve">oras </w:t>
            </w:r>
            <w:r w:rsidR="00ED110F">
              <w:rPr>
                <w:sz w:val="16"/>
                <w:szCs w:val="16"/>
              </w:rPr>
              <w:t>t</w:t>
            </w:r>
            <w:r w:rsidRPr="00E34826">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2AF56DE9" w14:textId="52215087" w:rsidR="006322C2" w:rsidRDefault="006322C2" w:rsidP="006322C2">
            <w:pPr>
              <w:tabs>
                <w:tab w:val="decimal" w:pos="610"/>
              </w:tabs>
              <w:jc w:val="left"/>
              <w:rPr>
                <w:sz w:val="16"/>
                <w:szCs w:val="16"/>
              </w:rPr>
            </w:pPr>
            <w:r>
              <w:rPr>
                <w:sz w:val="16"/>
                <w:szCs w:val="16"/>
              </w:rPr>
              <w:t>71.1</w:t>
            </w:r>
          </w:p>
        </w:tc>
        <w:tc>
          <w:tcPr>
            <w:tcW w:w="1213" w:type="dxa"/>
            <w:tcBorders>
              <w:top w:val="nil"/>
              <w:bottom w:val="nil"/>
            </w:tcBorders>
            <w:shd w:val="clear" w:color="auto" w:fill="auto"/>
            <w:vAlign w:val="center"/>
          </w:tcPr>
          <w:p w14:paraId="248653F9" w14:textId="23C47F61" w:rsidR="006322C2" w:rsidRDefault="006322C2" w:rsidP="006322C2">
            <w:pPr>
              <w:tabs>
                <w:tab w:val="decimal" w:pos="610"/>
              </w:tabs>
              <w:jc w:val="left"/>
              <w:rPr>
                <w:sz w:val="16"/>
                <w:szCs w:val="16"/>
              </w:rPr>
            </w:pPr>
            <w:r>
              <w:rPr>
                <w:sz w:val="16"/>
                <w:szCs w:val="16"/>
              </w:rPr>
              <w:t>75.2</w:t>
            </w:r>
          </w:p>
        </w:tc>
        <w:tc>
          <w:tcPr>
            <w:tcW w:w="1213" w:type="dxa"/>
            <w:tcBorders>
              <w:top w:val="nil"/>
              <w:bottom w:val="nil"/>
            </w:tcBorders>
            <w:shd w:val="clear" w:color="auto" w:fill="auto"/>
            <w:vAlign w:val="center"/>
          </w:tcPr>
          <w:p w14:paraId="50503725" w14:textId="68EE2AE8" w:rsidR="006322C2" w:rsidRPr="00770064" w:rsidRDefault="006322C2" w:rsidP="006322C2">
            <w:pPr>
              <w:tabs>
                <w:tab w:val="decimal" w:pos="559"/>
              </w:tabs>
              <w:jc w:val="left"/>
              <w:rPr>
                <w:color w:val="000000"/>
                <w:sz w:val="16"/>
                <w:szCs w:val="16"/>
              </w:rPr>
            </w:pPr>
            <w:r>
              <w:rPr>
                <w:sz w:val="16"/>
                <w:szCs w:val="16"/>
              </w:rPr>
              <w:t>5.7</w:t>
            </w:r>
          </w:p>
        </w:tc>
      </w:tr>
      <w:tr w:rsidR="006322C2" w:rsidRPr="00E34826" w14:paraId="35312CA7"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E9F21B3" w14:textId="1891E456" w:rsidR="006322C2" w:rsidRPr="00E34826" w:rsidRDefault="006322C2" w:rsidP="006322C2">
            <w:pPr>
              <w:widowControl w:val="0"/>
              <w:spacing w:before="20" w:after="20"/>
              <w:ind w:left="142"/>
              <w:rPr>
                <w:sz w:val="16"/>
                <w:szCs w:val="16"/>
              </w:rPr>
            </w:pPr>
            <w:r w:rsidRPr="00E34826">
              <w:rPr>
                <w:sz w:val="16"/>
                <w:szCs w:val="16"/>
              </w:rPr>
              <w:t xml:space="preserve">IPL en las </w:t>
            </w:r>
            <w:r w:rsidR="00ED110F">
              <w:rPr>
                <w:sz w:val="16"/>
                <w:szCs w:val="16"/>
              </w:rPr>
              <w:t>i</w:t>
            </w:r>
            <w:r w:rsidRPr="00E34826">
              <w:rPr>
                <w:sz w:val="16"/>
                <w:szCs w:val="16"/>
              </w:rPr>
              <w:t xml:space="preserve">ndustrias </w:t>
            </w:r>
            <w:r w:rsidR="00ED110F">
              <w:rPr>
                <w:sz w:val="16"/>
                <w:szCs w:val="16"/>
              </w:rPr>
              <w:t>m</w:t>
            </w:r>
            <w:r w:rsidRPr="00E34826">
              <w:rPr>
                <w:sz w:val="16"/>
                <w:szCs w:val="16"/>
              </w:rPr>
              <w:t>anufactureras</w:t>
            </w:r>
            <w:r>
              <w:rPr>
                <w:sz w:val="16"/>
                <w:szCs w:val="16"/>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9DCDB52" w14:textId="1DC3F50D" w:rsidR="006322C2" w:rsidRDefault="006322C2" w:rsidP="006322C2">
            <w:pPr>
              <w:tabs>
                <w:tab w:val="decimal" w:pos="610"/>
              </w:tabs>
              <w:jc w:val="left"/>
              <w:rPr>
                <w:sz w:val="16"/>
                <w:szCs w:val="16"/>
              </w:rPr>
            </w:pPr>
            <w:r>
              <w:rPr>
                <w:sz w:val="16"/>
                <w:szCs w:val="16"/>
              </w:rPr>
              <w:t>95.2</w:t>
            </w:r>
          </w:p>
        </w:tc>
        <w:tc>
          <w:tcPr>
            <w:tcW w:w="1213" w:type="dxa"/>
            <w:tcBorders>
              <w:top w:val="nil"/>
              <w:bottom w:val="nil"/>
            </w:tcBorders>
            <w:shd w:val="clear" w:color="auto" w:fill="DDD9C3" w:themeFill="background2" w:themeFillShade="E6"/>
            <w:vAlign w:val="center"/>
          </w:tcPr>
          <w:p w14:paraId="68D6A60A" w14:textId="76A0E954" w:rsidR="006322C2" w:rsidRDefault="006322C2" w:rsidP="006322C2">
            <w:pPr>
              <w:tabs>
                <w:tab w:val="decimal" w:pos="610"/>
              </w:tabs>
              <w:jc w:val="left"/>
              <w:rPr>
                <w:sz w:val="16"/>
                <w:szCs w:val="16"/>
              </w:rPr>
            </w:pPr>
            <w:r>
              <w:rPr>
                <w:sz w:val="16"/>
                <w:szCs w:val="16"/>
              </w:rPr>
              <w:t>95.1</w:t>
            </w:r>
          </w:p>
        </w:tc>
        <w:tc>
          <w:tcPr>
            <w:tcW w:w="1213" w:type="dxa"/>
            <w:tcBorders>
              <w:top w:val="nil"/>
              <w:bottom w:val="nil"/>
            </w:tcBorders>
            <w:shd w:val="clear" w:color="auto" w:fill="DDD9C3" w:themeFill="background2" w:themeFillShade="E6"/>
            <w:vAlign w:val="center"/>
          </w:tcPr>
          <w:p w14:paraId="0DACB1E4" w14:textId="04ACBACF" w:rsidR="006322C2" w:rsidRPr="00770064" w:rsidRDefault="006322C2" w:rsidP="006322C2">
            <w:pPr>
              <w:tabs>
                <w:tab w:val="decimal" w:pos="559"/>
              </w:tabs>
              <w:jc w:val="left"/>
              <w:rPr>
                <w:color w:val="000000"/>
                <w:sz w:val="16"/>
                <w:szCs w:val="16"/>
              </w:rPr>
            </w:pPr>
            <w:r>
              <w:rPr>
                <w:sz w:val="16"/>
                <w:szCs w:val="16"/>
              </w:rPr>
              <w:t>-0.1</w:t>
            </w:r>
          </w:p>
        </w:tc>
      </w:tr>
      <w:tr w:rsidR="006322C2" w:rsidRPr="00C27691" w14:paraId="0BE8C847"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A8ADEAE" w14:textId="68D15FF9" w:rsidR="006322C2" w:rsidRPr="00C27691" w:rsidRDefault="006322C2" w:rsidP="006322C2">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sidR="00ED110F">
              <w:rPr>
                <w:sz w:val="16"/>
                <w:szCs w:val="16"/>
              </w:rPr>
              <w:t>v</w:t>
            </w:r>
            <w:r w:rsidRPr="00C27691">
              <w:rPr>
                <w:sz w:val="16"/>
                <w:szCs w:val="16"/>
              </w:rPr>
              <w:t xml:space="preserve">olumen </w:t>
            </w:r>
            <w:r w:rsidR="00ED110F">
              <w:rPr>
                <w:sz w:val="16"/>
                <w:szCs w:val="16"/>
              </w:rPr>
              <w:t>f</w:t>
            </w:r>
            <w:r w:rsidRPr="00C27691">
              <w:rPr>
                <w:sz w:val="16"/>
                <w:szCs w:val="16"/>
              </w:rPr>
              <w:t xml:space="preserve">ísico de la </w:t>
            </w:r>
            <w:r w:rsidR="00ED110F">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7C8D9525" w14:textId="6F0937DA" w:rsidR="006322C2" w:rsidRDefault="006322C2" w:rsidP="006322C2">
            <w:pPr>
              <w:tabs>
                <w:tab w:val="decimal" w:pos="610"/>
              </w:tabs>
              <w:jc w:val="left"/>
              <w:rPr>
                <w:sz w:val="16"/>
                <w:szCs w:val="16"/>
              </w:rPr>
            </w:pPr>
            <w:r>
              <w:rPr>
                <w:sz w:val="16"/>
                <w:szCs w:val="16"/>
              </w:rPr>
              <w:t>105.9</w:t>
            </w:r>
          </w:p>
        </w:tc>
        <w:tc>
          <w:tcPr>
            <w:tcW w:w="1213" w:type="dxa"/>
            <w:tcBorders>
              <w:top w:val="nil"/>
              <w:bottom w:val="nil"/>
            </w:tcBorders>
            <w:shd w:val="clear" w:color="auto" w:fill="auto"/>
            <w:vAlign w:val="center"/>
          </w:tcPr>
          <w:p w14:paraId="5E9FA7C6" w14:textId="45BBB683" w:rsidR="006322C2" w:rsidRDefault="006322C2" w:rsidP="006322C2">
            <w:pPr>
              <w:tabs>
                <w:tab w:val="decimal" w:pos="610"/>
              </w:tabs>
              <w:jc w:val="left"/>
              <w:rPr>
                <w:sz w:val="16"/>
                <w:szCs w:val="16"/>
              </w:rPr>
            </w:pPr>
            <w:r>
              <w:rPr>
                <w:sz w:val="16"/>
                <w:szCs w:val="16"/>
              </w:rPr>
              <w:t>108.8</w:t>
            </w:r>
          </w:p>
        </w:tc>
        <w:tc>
          <w:tcPr>
            <w:tcW w:w="1213" w:type="dxa"/>
            <w:tcBorders>
              <w:top w:val="nil"/>
              <w:bottom w:val="nil"/>
            </w:tcBorders>
            <w:shd w:val="clear" w:color="auto" w:fill="auto"/>
            <w:vAlign w:val="center"/>
          </w:tcPr>
          <w:p w14:paraId="2DF4302C" w14:textId="655F5FFD" w:rsidR="006322C2" w:rsidRPr="00770064" w:rsidRDefault="006322C2" w:rsidP="006322C2">
            <w:pPr>
              <w:tabs>
                <w:tab w:val="decimal" w:pos="559"/>
              </w:tabs>
              <w:jc w:val="left"/>
              <w:rPr>
                <w:color w:val="000000"/>
                <w:sz w:val="16"/>
                <w:szCs w:val="16"/>
              </w:rPr>
            </w:pPr>
            <w:r>
              <w:rPr>
                <w:sz w:val="16"/>
                <w:szCs w:val="16"/>
              </w:rPr>
              <w:t>2.7</w:t>
            </w:r>
          </w:p>
        </w:tc>
      </w:tr>
      <w:tr w:rsidR="006322C2" w:rsidRPr="00C27691" w14:paraId="09FEDA40"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C57F96C" w14:textId="4E0AAA28" w:rsidR="006322C2" w:rsidRPr="00C27691" w:rsidRDefault="006322C2" w:rsidP="006322C2">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sidR="00ED110F">
              <w:rPr>
                <w:sz w:val="16"/>
                <w:szCs w:val="16"/>
              </w:rPr>
              <w:t>h</w:t>
            </w:r>
            <w:r w:rsidRPr="00C27691">
              <w:rPr>
                <w:sz w:val="16"/>
                <w:szCs w:val="16"/>
              </w:rPr>
              <w:t xml:space="preserve">oras </w:t>
            </w:r>
            <w:r w:rsidR="00ED110F">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560895D3" w14:textId="69B60CB8" w:rsidR="006322C2" w:rsidRDefault="006322C2" w:rsidP="006322C2">
            <w:pPr>
              <w:tabs>
                <w:tab w:val="decimal" w:pos="610"/>
              </w:tabs>
              <w:jc w:val="left"/>
              <w:rPr>
                <w:sz w:val="16"/>
                <w:szCs w:val="16"/>
              </w:rPr>
            </w:pPr>
            <w:r>
              <w:rPr>
                <w:sz w:val="16"/>
                <w:szCs w:val="16"/>
              </w:rPr>
              <w:t>111.2</w:t>
            </w:r>
          </w:p>
        </w:tc>
        <w:tc>
          <w:tcPr>
            <w:tcW w:w="1213" w:type="dxa"/>
            <w:tcBorders>
              <w:top w:val="nil"/>
              <w:bottom w:val="nil"/>
            </w:tcBorders>
            <w:shd w:val="clear" w:color="auto" w:fill="auto"/>
            <w:vAlign w:val="center"/>
          </w:tcPr>
          <w:p w14:paraId="2268A794" w14:textId="565E7414" w:rsidR="006322C2" w:rsidRDefault="006322C2" w:rsidP="006322C2">
            <w:pPr>
              <w:tabs>
                <w:tab w:val="decimal" w:pos="610"/>
              </w:tabs>
              <w:jc w:val="left"/>
              <w:rPr>
                <w:sz w:val="16"/>
                <w:szCs w:val="16"/>
              </w:rPr>
            </w:pPr>
            <w:r>
              <w:rPr>
                <w:sz w:val="16"/>
                <w:szCs w:val="16"/>
              </w:rPr>
              <w:t>114.4</w:t>
            </w:r>
          </w:p>
        </w:tc>
        <w:tc>
          <w:tcPr>
            <w:tcW w:w="1213" w:type="dxa"/>
            <w:tcBorders>
              <w:top w:val="nil"/>
              <w:bottom w:val="nil"/>
            </w:tcBorders>
            <w:shd w:val="clear" w:color="auto" w:fill="auto"/>
            <w:vAlign w:val="center"/>
          </w:tcPr>
          <w:p w14:paraId="23F1B022" w14:textId="62685FE2" w:rsidR="006322C2" w:rsidRPr="00770064" w:rsidRDefault="006322C2" w:rsidP="006322C2">
            <w:pPr>
              <w:tabs>
                <w:tab w:val="decimal" w:pos="559"/>
              </w:tabs>
              <w:jc w:val="left"/>
              <w:rPr>
                <w:color w:val="000000"/>
                <w:sz w:val="16"/>
                <w:szCs w:val="16"/>
              </w:rPr>
            </w:pPr>
            <w:r>
              <w:rPr>
                <w:sz w:val="16"/>
                <w:szCs w:val="16"/>
              </w:rPr>
              <w:t>2.9</w:t>
            </w:r>
          </w:p>
        </w:tc>
      </w:tr>
      <w:tr w:rsidR="006322C2" w:rsidRPr="00C27691" w14:paraId="0065A44A"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107912F" w14:textId="4439094D" w:rsidR="006322C2" w:rsidRPr="00C27691" w:rsidRDefault="006322C2" w:rsidP="006322C2">
            <w:pPr>
              <w:widowControl w:val="0"/>
              <w:spacing w:before="20" w:after="20"/>
              <w:ind w:left="142"/>
              <w:rPr>
                <w:sz w:val="16"/>
                <w:szCs w:val="16"/>
              </w:rPr>
            </w:pPr>
            <w:r w:rsidRPr="00C27691">
              <w:rPr>
                <w:sz w:val="16"/>
                <w:szCs w:val="16"/>
              </w:rPr>
              <w:t xml:space="preserve">IPL en el </w:t>
            </w:r>
            <w:r w:rsidR="00ED110F">
              <w:rPr>
                <w:sz w:val="16"/>
                <w:szCs w:val="16"/>
              </w:rPr>
              <w:t>c</w:t>
            </w:r>
            <w:r w:rsidRPr="00C27691">
              <w:rPr>
                <w:sz w:val="16"/>
                <w:szCs w:val="16"/>
              </w:rPr>
              <w:t xml:space="preserve">omercio al por </w:t>
            </w:r>
            <w:r w:rsidR="00ED110F">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A5979EF" w14:textId="20574AEF" w:rsidR="006322C2" w:rsidRDefault="006322C2" w:rsidP="006322C2">
            <w:pPr>
              <w:tabs>
                <w:tab w:val="decimal" w:pos="610"/>
              </w:tabs>
              <w:jc w:val="left"/>
              <w:rPr>
                <w:sz w:val="16"/>
                <w:szCs w:val="16"/>
              </w:rPr>
            </w:pPr>
            <w:r>
              <w:rPr>
                <w:sz w:val="16"/>
                <w:szCs w:val="16"/>
              </w:rPr>
              <w:t>92.5</w:t>
            </w:r>
          </w:p>
        </w:tc>
        <w:tc>
          <w:tcPr>
            <w:tcW w:w="1213" w:type="dxa"/>
            <w:tcBorders>
              <w:top w:val="nil"/>
              <w:bottom w:val="nil"/>
            </w:tcBorders>
            <w:shd w:val="clear" w:color="auto" w:fill="DDD9C3" w:themeFill="background2" w:themeFillShade="E6"/>
            <w:vAlign w:val="center"/>
          </w:tcPr>
          <w:p w14:paraId="05A7B911" w14:textId="3FBFB880" w:rsidR="006322C2" w:rsidRDefault="006322C2" w:rsidP="006322C2">
            <w:pPr>
              <w:tabs>
                <w:tab w:val="decimal" w:pos="610"/>
              </w:tabs>
              <w:jc w:val="left"/>
              <w:rPr>
                <w:sz w:val="16"/>
                <w:szCs w:val="16"/>
              </w:rPr>
            </w:pPr>
            <w:r>
              <w:rPr>
                <w:sz w:val="16"/>
                <w:szCs w:val="16"/>
              </w:rPr>
              <w:t>99.4</w:t>
            </w:r>
          </w:p>
        </w:tc>
        <w:tc>
          <w:tcPr>
            <w:tcW w:w="1213" w:type="dxa"/>
            <w:tcBorders>
              <w:top w:val="nil"/>
              <w:bottom w:val="nil"/>
            </w:tcBorders>
            <w:shd w:val="clear" w:color="auto" w:fill="DDD9C3" w:themeFill="background2" w:themeFillShade="E6"/>
            <w:vAlign w:val="center"/>
          </w:tcPr>
          <w:p w14:paraId="0E738297" w14:textId="18437028" w:rsidR="006322C2" w:rsidRPr="00770064" w:rsidRDefault="006322C2" w:rsidP="006322C2">
            <w:pPr>
              <w:tabs>
                <w:tab w:val="decimal" w:pos="559"/>
              </w:tabs>
              <w:jc w:val="left"/>
              <w:rPr>
                <w:color w:val="000000"/>
                <w:sz w:val="16"/>
                <w:szCs w:val="16"/>
              </w:rPr>
            </w:pPr>
            <w:r>
              <w:rPr>
                <w:sz w:val="16"/>
                <w:szCs w:val="16"/>
              </w:rPr>
              <w:t>7.5</w:t>
            </w:r>
          </w:p>
        </w:tc>
      </w:tr>
      <w:tr w:rsidR="006322C2" w:rsidRPr="00C27691" w14:paraId="3487244B"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65C5EA8" w14:textId="43B322E0" w:rsidR="006322C2" w:rsidRPr="00C27691" w:rsidRDefault="006322C2" w:rsidP="006322C2">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sidR="00ED110F">
              <w:rPr>
                <w:spacing w:val="-4"/>
                <w:sz w:val="16"/>
                <w:szCs w:val="16"/>
              </w:rPr>
              <w:t>i</w:t>
            </w:r>
            <w:r w:rsidRPr="00C27691">
              <w:rPr>
                <w:spacing w:val="-4"/>
                <w:sz w:val="16"/>
                <w:szCs w:val="16"/>
              </w:rPr>
              <w:t>ngresos</w:t>
            </w:r>
            <w:r w:rsidR="00ED110F">
              <w:rPr>
                <w:spacing w:val="-4"/>
                <w:sz w:val="16"/>
                <w:szCs w:val="16"/>
              </w:rPr>
              <w:t xml:space="preserve"> r</w:t>
            </w:r>
            <w:r w:rsidRPr="00C27691">
              <w:rPr>
                <w:spacing w:val="-4"/>
                <w:sz w:val="16"/>
                <w:szCs w:val="16"/>
              </w:rPr>
              <w:t xml:space="preserve">eales por </w:t>
            </w:r>
            <w:r w:rsidR="00ED110F">
              <w:rPr>
                <w:spacing w:val="-4"/>
                <w:sz w:val="16"/>
                <w:szCs w:val="16"/>
              </w:rPr>
              <w:t>s</w:t>
            </w:r>
            <w:r w:rsidRPr="00C27691">
              <w:rPr>
                <w:spacing w:val="-4"/>
                <w:sz w:val="16"/>
                <w:szCs w:val="16"/>
              </w:rPr>
              <w:t xml:space="preserve">uministro de </w:t>
            </w:r>
            <w:r w:rsidR="00ED110F">
              <w:rPr>
                <w:spacing w:val="-4"/>
                <w:sz w:val="16"/>
                <w:szCs w:val="16"/>
              </w:rPr>
              <w:t>b</w:t>
            </w:r>
            <w:r w:rsidRPr="00C27691">
              <w:rPr>
                <w:spacing w:val="-4"/>
                <w:sz w:val="16"/>
                <w:szCs w:val="16"/>
              </w:rPr>
              <w:t xml:space="preserve">ienes y </w:t>
            </w:r>
            <w:r w:rsidR="00ED110F">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30A84094" w14:textId="223686BD" w:rsidR="006322C2" w:rsidRDefault="006322C2" w:rsidP="006322C2">
            <w:pPr>
              <w:tabs>
                <w:tab w:val="decimal" w:pos="610"/>
              </w:tabs>
              <w:jc w:val="left"/>
              <w:rPr>
                <w:sz w:val="16"/>
                <w:szCs w:val="16"/>
              </w:rPr>
            </w:pPr>
            <w:r>
              <w:rPr>
                <w:sz w:val="16"/>
                <w:szCs w:val="16"/>
              </w:rPr>
              <w:t>106.1</w:t>
            </w:r>
          </w:p>
        </w:tc>
        <w:tc>
          <w:tcPr>
            <w:tcW w:w="1213" w:type="dxa"/>
            <w:tcBorders>
              <w:top w:val="nil"/>
              <w:bottom w:val="nil"/>
            </w:tcBorders>
            <w:shd w:val="clear" w:color="auto" w:fill="auto"/>
            <w:vAlign w:val="center"/>
          </w:tcPr>
          <w:p w14:paraId="41C2450F" w14:textId="2BDEC33F" w:rsidR="006322C2" w:rsidRDefault="006322C2" w:rsidP="006322C2">
            <w:pPr>
              <w:tabs>
                <w:tab w:val="decimal" w:pos="610"/>
              </w:tabs>
              <w:jc w:val="left"/>
              <w:rPr>
                <w:sz w:val="16"/>
                <w:szCs w:val="16"/>
              </w:rPr>
            </w:pPr>
            <w:r>
              <w:rPr>
                <w:sz w:val="16"/>
                <w:szCs w:val="16"/>
              </w:rPr>
              <w:t>116.9</w:t>
            </w:r>
          </w:p>
        </w:tc>
        <w:tc>
          <w:tcPr>
            <w:tcW w:w="1213" w:type="dxa"/>
            <w:tcBorders>
              <w:top w:val="nil"/>
              <w:bottom w:val="nil"/>
            </w:tcBorders>
            <w:shd w:val="clear" w:color="auto" w:fill="auto"/>
            <w:vAlign w:val="center"/>
          </w:tcPr>
          <w:p w14:paraId="54E01B60" w14:textId="21532556" w:rsidR="006322C2" w:rsidRPr="00770064" w:rsidRDefault="006322C2" w:rsidP="006322C2">
            <w:pPr>
              <w:tabs>
                <w:tab w:val="decimal" w:pos="559"/>
              </w:tabs>
              <w:jc w:val="left"/>
              <w:rPr>
                <w:color w:val="000000"/>
                <w:sz w:val="16"/>
                <w:szCs w:val="16"/>
              </w:rPr>
            </w:pPr>
            <w:r>
              <w:rPr>
                <w:sz w:val="16"/>
                <w:szCs w:val="16"/>
              </w:rPr>
              <w:t>10.2</w:t>
            </w:r>
          </w:p>
        </w:tc>
      </w:tr>
      <w:tr w:rsidR="006322C2" w:rsidRPr="00C27691" w14:paraId="5B63EABC"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F8812BC" w14:textId="6A3280C8" w:rsidR="006322C2" w:rsidRPr="00C27691" w:rsidRDefault="006322C2" w:rsidP="006322C2">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sidR="00ED110F">
              <w:rPr>
                <w:sz w:val="16"/>
                <w:szCs w:val="16"/>
              </w:rPr>
              <w:t>p</w:t>
            </w:r>
            <w:r w:rsidRPr="00C27691">
              <w:rPr>
                <w:sz w:val="16"/>
                <w:szCs w:val="16"/>
              </w:rPr>
              <w:t xml:space="preserve">ersonal </w:t>
            </w:r>
            <w:r w:rsidR="00ED110F">
              <w:rPr>
                <w:sz w:val="16"/>
                <w:szCs w:val="16"/>
              </w:rPr>
              <w:t>o</w:t>
            </w:r>
            <w:r w:rsidRPr="00C27691">
              <w:rPr>
                <w:sz w:val="16"/>
                <w:szCs w:val="16"/>
              </w:rPr>
              <w:t xml:space="preserve">cupado </w:t>
            </w:r>
            <w:r w:rsidR="00ED110F">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624386B1" w14:textId="6BA0BDDA" w:rsidR="006322C2" w:rsidRDefault="006322C2" w:rsidP="006322C2">
            <w:pPr>
              <w:tabs>
                <w:tab w:val="decimal" w:pos="610"/>
              </w:tabs>
              <w:jc w:val="left"/>
              <w:rPr>
                <w:sz w:val="16"/>
                <w:szCs w:val="16"/>
              </w:rPr>
            </w:pPr>
            <w:r>
              <w:rPr>
                <w:sz w:val="16"/>
                <w:szCs w:val="16"/>
              </w:rPr>
              <w:t>114.6</w:t>
            </w:r>
          </w:p>
        </w:tc>
        <w:tc>
          <w:tcPr>
            <w:tcW w:w="1213" w:type="dxa"/>
            <w:tcBorders>
              <w:top w:val="nil"/>
              <w:bottom w:val="nil"/>
            </w:tcBorders>
            <w:shd w:val="clear" w:color="auto" w:fill="auto"/>
            <w:vAlign w:val="center"/>
          </w:tcPr>
          <w:p w14:paraId="539330AE" w14:textId="70517021" w:rsidR="006322C2" w:rsidRDefault="006322C2" w:rsidP="006322C2">
            <w:pPr>
              <w:tabs>
                <w:tab w:val="decimal" w:pos="610"/>
              </w:tabs>
              <w:jc w:val="left"/>
              <w:rPr>
                <w:sz w:val="16"/>
                <w:szCs w:val="16"/>
              </w:rPr>
            </w:pPr>
            <w:r>
              <w:rPr>
                <w:sz w:val="16"/>
                <w:szCs w:val="16"/>
              </w:rPr>
              <w:t>117.7</w:t>
            </w:r>
          </w:p>
        </w:tc>
        <w:tc>
          <w:tcPr>
            <w:tcW w:w="1213" w:type="dxa"/>
            <w:tcBorders>
              <w:top w:val="nil"/>
              <w:bottom w:val="nil"/>
            </w:tcBorders>
            <w:shd w:val="clear" w:color="auto" w:fill="auto"/>
            <w:vAlign w:val="center"/>
          </w:tcPr>
          <w:p w14:paraId="50BF7121" w14:textId="77A5004F" w:rsidR="006322C2" w:rsidRPr="00770064" w:rsidRDefault="006322C2" w:rsidP="006322C2">
            <w:pPr>
              <w:tabs>
                <w:tab w:val="decimal" w:pos="559"/>
              </w:tabs>
              <w:jc w:val="left"/>
              <w:rPr>
                <w:color w:val="000000"/>
                <w:sz w:val="16"/>
                <w:szCs w:val="16"/>
              </w:rPr>
            </w:pPr>
            <w:r>
              <w:rPr>
                <w:sz w:val="16"/>
                <w:szCs w:val="16"/>
              </w:rPr>
              <w:t>2.7</w:t>
            </w:r>
          </w:p>
        </w:tc>
      </w:tr>
      <w:tr w:rsidR="006322C2" w:rsidRPr="00C27691" w14:paraId="1797D7EA"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3310FC8" w14:textId="45261766" w:rsidR="006322C2" w:rsidRPr="00C27691" w:rsidRDefault="006322C2" w:rsidP="006322C2">
            <w:pPr>
              <w:widowControl w:val="0"/>
              <w:spacing w:before="20" w:after="20"/>
              <w:ind w:left="142"/>
              <w:rPr>
                <w:sz w:val="16"/>
                <w:szCs w:val="16"/>
              </w:rPr>
            </w:pPr>
            <w:r w:rsidRPr="00C27691">
              <w:rPr>
                <w:sz w:val="16"/>
                <w:szCs w:val="16"/>
              </w:rPr>
              <w:t xml:space="preserve">IPL en el </w:t>
            </w:r>
            <w:r w:rsidR="00ED110F">
              <w:rPr>
                <w:sz w:val="16"/>
                <w:szCs w:val="16"/>
              </w:rPr>
              <w:t>c</w:t>
            </w:r>
            <w:r w:rsidRPr="00C27691">
              <w:rPr>
                <w:sz w:val="16"/>
                <w:szCs w:val="16"/>
              </w:rPr>
              <w:t xml:space="preserve">omercio al por </w:t>
            </w:r>
            <w:r w:rsidR="00ED110F">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C372B32" w14:textId="6435B149" w:rsidR="006322C2" w:rsidRDefault="006322C2" w:rsidP="006322C2">
            <w:pPr>
              <w:tabs>
                <w:tab w:val="decimal" w:pos="610"/>
              </w:tabs>
              <w:jc w:val="left"/>
              <w:rPr>
                <w:sz w:val="16"/>
                <w:szCs w:val="16"/>
              </w:rPr>
            </w:pPr>
            <w:r>
              <w:rPr>
                <w:sz w:val="16"/>
                <w:szCs w:val="16"/>
              </w:rPr>
              <w:t>119.2</w:t>
            </w:r>
          </w:p>
        </w:tc>
        <w:tc>
          <w:tcPr>
            <w:tcW w:w="1213" w:type="dxa"/>
            <w:tcBorders>
              <w:top w:val="nil"/>
              <w:bottom w:val="nil"/>
            </w:tcBorders>
            <w:shd w:val="clear" w:color="auto" w:fill="DDD9C3" w:themeFill="background2" w:themeFillShade="E6"/>
            <w:vAlign w:val="center"/>
          </w:tcPr>
          <w:p w14:paraId="5B80F833" w14:textId="5C958A53" w:rsidR="006322C2" w:rsidRDefault="006322C2" w:rsidP="006322C2">
            <w:pPr>
              <w:tabs>
                <w:tab w:val="decimal" w:pos="610"/>
              </w:tabs>
              <w:jc w:val="left"/>
              <w:rPr>
                <w:sz w:val="16"/>
                <w:szCs w:val="16"/>
              </w:rPr>
            </w:pPr>
            <w:r>
              <w:rPr>
                <w:sz w:val="16"/>
                <w:szCs w:val="16"/>
              </w:rPr>
              <w:t>125.8</w:t>
            </w:r>
          </w:p>
        </w:tc>
        <w:tc>
          <w:tcPr>
            <w:tcW w:w="1213" w:type="dxa"/>
            <w:tcBorders>
              <w:top w:val="nil"/>
              <w:bottom w:val="nil"/>
            </w:tcBorders>
            <w:shd w:val="clear" w:color="auto" w:fill="DDD9C3" w:themeFill="background2" w:themeFillShade="E6"/>
            <w:vAlign w:val="center"/>
          </w:tcPr>
          <w:p w14:paraId="7DBEB0F6" w14:textId="43BFF2B8" w:rsidR="006322C2" w:rsidRPr="00770064" w:rsidRDefault="006322C2" w:rsidP="006322C2">
            <w:pPr>
              <w:tabs>
                <w:tab w:val="decimal" w:pos="559"/>
              </w:tabs>
              <w:jc w:val="left"/>
              <w:rPr>
                <w:color w:val="000000"/>
                <w:sz w:val="16"/>
                <w:szCs w:val="16"/>
              </w:rPr>
            </w:pPr>
            <w:r>
              <w:rPr>
                <w:sz w:val="16"/>
                <w:szCs w:val="16"/>
              </w:rPr>
              <w:t>5.5</w:t>
            </w:r>
          </w:p>
        </w:tc>
      </w:tr>
      <w:tr w:rsidR="006322C2" w:rsidRPr="00C27691" w14:paraId="08D965A1"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742D9F1" w14:textId="108E1BAF" w:rsidR="006322C2" w:rsidRPr="00C27691" w:rsidRDefault="006322C2" w:rsidP="006322C2">
            <w:pPr>
              <w:widowControl w:val="0"/>
              <w:numPr>
                <w:ilvl w:val="0"/>
                <w:numId w:val="25"/>
              </w:numPr>
              <w:spacing w:before="20" w:after="20"/>
              <w:ind w:left="283" w:hanging="113"/>
              <w:rPr>
                <w:sz w:val="16"/>
                <w:szCs w:val="16"/>
              </w:rPr>
            </w:pPr>
            <w:r w:rsidRPr="00C27691">
              <w:rPr>
                <w:spacing w:val="-4"/>
                <w:sz w:val="16"/>
                <w:szCs w:val="16"/>
              </w:rPr>
              <w:t xml:space="preserve">Índice de </w:t>
            </w:r>
            <w:r w:rsidR="00ED110F">
              <w:rPr>
                <w:spacing w:val="-4"/>
                <w:sz w:val="16"/>
                <w:szCs w:val="16"/>
              </w:rPr>
              <w:t>i</w:t>
            </w:r>
            <w:r w:rsidRPr="00C27691">
              <w:rPr>
                <w:spacing w:val="-4"/>
                <w:sz w:val="16"/>
                <w:szCs w:val="16"/>
              </w:rPr>
              <w:t xml:space="preserve">ngresos </w:t>
            </w:r>
            <w:r w:rsidR="00ED110F">
              <w:rPr>
                <w:spacing w:val="-4"/>
                <w:sz w:val="16"/>
                <w:szCs w:val="16"/>
              </w:rPr>
              <w:t>r</w:t>
            </w:r>
            <w:r w:rsidRPr="00C27691">
              <w:rPr>
                <w:spacing w:val="-4"/>
                <w:sz w:val="16"/>
                <w:szCs w:val="16"/>
              </w:rPr>
              <w:t xml:space="preserve">eales por </w:t>
            </w:r>
            <w:r w:rsidR="00ED110F">
              <w:rPr>
                <w:spacing w:val="-4"/>
                <w:sz w:val="16"/>
                <w:szCs w:val="16"/>
              </w:rPr>
              <w:t>s</w:t>
            </w:r>
            <w:r w:rsidRPr="00C27691">
              <w:rPr>
                <w:spacing w:val="-4"/>
                <w:sz w:val="16"/>
                <w:szCs w:val="16"/>
              </w:rPr>
              <w:t xml:space="preserve">uministro de </w:t>
            </w:r>
            <w:r w:rsidR="00ED110F">
              <w:rPr>
                <w:spacing w:val="-4"/>
                <w:sz w:val="16"/>
                <w:szCs w:val="16"/>
              </w:rPr>
              <w:t>b</w:t>
            </w:r>
            <w:r w:rsidRPr="00C27691">
              <w:rPr>
                <w:spacing w:val="-4"/>
                <w:sz w:val="16"/>
                <w:szCs w:val="16"/>
              </w:rPr>
              <w:t xml:space="preserve">ienes y </w:t>
            </w:r>
            <w:r w:rsidR="00ED110F">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1AAFB34B" w14:textId="6F3A3DDD" w:rsidR="006322C2" w:rsidRDefault="006322C2" w:rsidP="006322C2">
            <w:pPr>
              <w:tabs>
                <w:tab w:val="decimal" w:pos="610"/>
              </w:tabs>
              <w:jc w:val="left"/>
              <w:rPr>
                <w:sz w:val="16"/>
                <w:szCs w:val="16"/>
              </w:rPr>
            </w:pPr>
            <w:r>
              <w:rPr>
                <w:sz w:val="16"/>
                <w:szCs w:val="16"/>
              </w:rPr>
              <w:t>119.3</w:t>
            </w:r>
          </w:p>
        </w:tc>
        <w:tc>
          <w:tcPr>
            <w:tcW w:w="1213" w:type="dxa"/>
            <w:tcBorders>
              <w:top w:val="nil"/>
              <w:bottom w:val="nil"/>
            </w:tcBorders>
            <w:shd w:val="clear" w:color="auto" w:fill="auto"/>
            <w:vAlign w:val="center"/>
          </w:tcPr>
          <w:p w14:paraId="617DF553" w14:textId="276B36F0" w:rsidR="006322C2" w:rsidRDefault="006322C2" w:rsidP="006322C2">
            <w:pPr>
              <w:tabs>
                <w:tab w:val="decimal" w:pos="610"/>
              </w:tabs>
              <w:jc w:val="left"/>
              <w:rPr>
                <w:sz w:val="16"/>
                <w:szCs w:val="16"/>
              </w:rPr>
            </w:pPr>
            <w:r>
              <w:rPr>
                <w:sz w:val="16"/>
                <w:szCs w:val="16"/>
              </w:rPr>
              <w:t>125.5</w:t>
            </w:r>
          </w:p>
        </w:tc>
        <w:tc>
          <w:tcPr>
            <w:tcW w:w="1213" w:type="dxa"/>
            <w:tcBorders>
              <w:top w:val="nil"/>
              <w:bottom w:val="nil"/>
            </w:tcBorders>
            <w:shd w:val="clear" w:color="auto" w:fill="auto"/>
            <w:vAlign w:val="center"/>
          </w:tcPr>
          <w:p w14:paraId="38394A05" w14:textId="1D5722AD" w:rsidR="006322C2" w:rsidRPr="00770064" w:rsidRDefault="006322C2" w:rsidP="006322C2">
            <w:pPr>
              <w:tabs>
                <w:tab w:val="decimal" w:pos="559"/>
              </w:tabs>
              <w:jc w:val="left"/>
              <w:rPr>
                <w:color w:val="000000"/>
                <w:sz w:val="16"/>
                <w:szCs w:val="16"/>
              </w:rPr>
            </w:pPr>
            <w:r>
              <w:rPr>
                <w:sz w:val="16"/>
                <w:szCs w:val="16"/>
              </w:rPr>
              <w:t>5.2</w:t>
            </w:r>
          </w:p>
        </w:tc>
      </w:tr>
      <w:tr w:rsidR="006322C2" w:rsidRPr="00C27691" w14:paraId="5441F91E"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71C93BA" w14:textId="03D8A15B" w:rsidR="006322C2" w:rsidRPr="00C27691" w:rsidRDefault="006322C2" w:rsidP="006322C2">
            <w:pPr>
              <w:widowControl w:val="0"/>
              <w:numPr>
                <w:ilvl w:val="0"/>
                <w:numId w:val="25"/>
              </w:numPr>
              <w:spacing w:before="20" w:after="20"/>
              <w:ind w:left="283" w:hanging="113"/>
              <w:rPr>
                <w:sz w:val="16"/>
                <w:szCs w:val="16"/>
              </w:rPr>
            </w:pPr>
            <w:r w:rsidRPr="00C27691">
              <w:rPr>
                <w:sz w:val="16"/>
                <w:szCs w:val="16"/>
              </w:rPr>
              <w:t xml:space="preserve">Índice de </w:t>
            </w:r>
            <w:r w:rsidR="00ED110F">
              <w:rPr>
                <w:sz w:val="16"/>
                <w:szCs w:val="16"/>
              </w:rPr>
              <w:t>p</w:t>
            </w:r>
            <w:r w:rsidRPr="00C27691">
              <w:rPr>
                <w:sz w:val="16"/>
                <w:szCs w:val="16"/>
              </w:rPr>
              <w:t xml:space="preserve">ersonal </w:t>
            </w:r>
            <w:r w:rsidR="00ED110F">
              <w:rPr>
                <w:sz w:val="16"/>
                <w:szCs w:val="16"/>
              </w:rPr>
              <w:t>o</w:t>
            </w:r>
            <w:r w:rsidRPr="00C27691">
              <w:rPr>
                <w:sz w:val="16"/>
                <w:szCs w:val="16"/>
              </w:rPr>
              <w:t xml:space="preserve">cupado </w:t>
            </w:r>
            <w:r w:rsidR="00ED110F">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3E5C0FED" w14:textId="7236935C" w:rsidR="006322C2" w:rsidRDefault="006322C2" w:rsidP="006322C2">
            <w:pPr>
              <w:tabs>
                <w:tab w:val="decimal" w:pos="610"/>
              </w:tabs>
              <w:jc w:val="left"/>
              <w:rPr>
                <w:sz w:val="16"/>
                <w:szCs w:val="16"/>
              </w:rPr>
            </w:pPr>
            <w:r>
              <w:rPr>
                <w:sz w:val="16"/>
                <w:szCs w:val="16"/>
              </w:rPr>
              <w:t>100.1</w:t>
            </w:r>
          </w:p>
        </w:tc>
        <w:tc>
          <w:tcPr>
            <w:tcW w:w="1213" w:type="dxa"/>
            <w:tcBorders>
              <w:top w:val="nil"/>
              <w:bottom w:val="nil"/>
            </w:tcBorders>
            <w:shd w:val="clear" w:color="auto" w:fill="auto"/>
            <w:vAlign w:val="center"/>
          </w:tcPr>
          <w:p w14:paraId="6CDBCA44" w14:textId="123B9A1E" w:rsidR="006322C2" w:rsidRDefault="006322C2" w:rsidP="006322C2">
            <w:pPr>
              <w:tabs>
                <w:tab w:val="decimal" w:pos="610"/>
              </w:tabs>
              <w:jc w:val="left"/>
              <w:rPr>
                <w:sz w:val="16"/>
                <w:szCs w:val="16"/>
              </w:rPr>
            </w:pPr>
            <w:r>
              <w:rPr>
                <w:sz w:val="16"/>
                <w:szCs w:val="16"/>
              </w:rPr>
              <w:t>99.8</w:t>
            </w:r>
          </w:p>
        </w:tc>
        <w:tc>
          <w:tcPr>
            <w:tcW w:w="1213" w:type="dxa"/>
            <w:tcBorders>
              <w:top w:val="nil"/>
              <w:bottom w:val="nil"/>
            </w:tcBorders>
            <w:shd w:val="clear" w:color="auto" w:fill="auto"/>
            <w:vAlign w:val="center"/>
          </w:tcPr>
          <w:p w14:paraId="46EB845F" w14:textId="38AB415D" w:rsidR="006322C2" w:rsidRPr="00770064" w:rsidRDefault="006322C2" w:rsidP="006322C2">
            <w:pPr>
              <w:tabs>
                <w:tab w:val="decimal" w:pos="559"/>
              </w:tabs>
              <w:jc w:val="left"/>
              <w:rPr>
                <w:color w:val="000000"/>
                <w:sz w:val="16"/>
                <w:szCs w:val="16"/>
              </w:rPr>
            </w:pPr>
            <w:r>
              <w:rPr>
                <w:sz w:val="16"/>
                <w:szCs w:val="16"/>
              </w:rPr>
              <w:t>-0.3</w:t>
            </w:r>
          </w:p>
        </w:tc>
      </w:tr>
      <w:tr w:rsidR="006322C2" w:rsidRPr="00C27691" w14:paraId="38D7FE24"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1FECE1E" w14:textId="2EB92A28" w:rsidR="006322C2" w:rsidRPr="00C27691" w:rsidRDefault="006322C2" w:rsidP="006322C2">
            <w:pPr>
              <w:widowControl w:val="0"/>
              <w:spacing w:before="20" w:after="20"/>
              <w:ind w:left="142"/>
              <w:rPr>
                <w:sz w:val="16"/>
                <w:szCs w:val="16"/>
              </w:rPr>
            </w:pPr>
            <w:r w:rsidRPr="00C27691">
              <w:rPr>
                <w:sz w:val="16"/>
                <w:szCs w:val="16"/>
              </w:rPr>
              <w:t xml:space="preserve">IPL en las </w:t>
            </w:r>
            <w:r w:rsidR="00ED110F">
              <w:rPr>
                <w:sz w:val="16"/>
                <w:szCs w:val="16"/>
              </w:rPr>
              <w:t>e</w:t>
            </w:r>
            <w:r w:rsidRPr="00C27691">
              <w:rPr>
                <w:sz w:val="16"/>
                <w:szCs w:val="16"/>
              </w:rPr>
              <w:t xml:space="preserve">mpresas de </w:t>
            </w:r>
            <w:r w:rsidR="00ED110F">
              <w:rPr>
                <w:sz w:val="16"/>
                <w:szCs w:val="16"/>
              </w:rPr>
              <w:t>s</w:t>
            </w:r>
            <w:r w:rsidRPr="00C27691">
              <w:rPr>
                <w:sz w:val="16"/>
                <w:szCs w:val="16"/>
              </w:rPr>
              <w:t>ervicios</w:t>
            </w:r>
            <w:r w:rsidR="00ED110F">
              <w:rPr>
                <w:sz w:val="16"/>
                <w:szCs w:val="16"/>
              </w:rPr>
              <w:t xml:space="preserve"> privados no financieros</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735FCB0" w14:textId="56EFDEEA" w:rsidR="006322C2" w:rsidRDefault="006322C2" w:rsidP="006322C2">
            <w:pPr>
              <w:tabs>
                <w:tab w:val="decimal" w:pos="610"/>
              </w:tabs>
              <w:jc w:val="left"/>
              <w:rPr>
                <w:sz w:val="16"/>
                <w:szCs w:val="16"/>
              </w:rPr>
            </w:pPr>
            <w:r>
              <w:rPr>
                <w:sz w:val="16"/>
                <w:szCs w:val="16"/>
              </w:rPr>
              <w:t>111.5</w:t>
            </w:r>
          </w:p>
        </w:tc>
        <w:tc>
          <w:tcPr>
            <w:tcW w:w="1213" w:type="dxa"/>
            <w:tcBorders>
              <w:top w:val="nil"/>
              <w:bottom w:val="nil"/>
            </w:tcBorders>
            <w:shd w:val="clear" w:color="auto" w:fill="DDD9C3" w:themeFill="background2" w:themeFillShade="E6"/>
            <w:vAlign w:val="center"/>
          </w:tcPr>
          <w:p w14:paraId="5D2BB0B9" w14:textId="12815289" w:rsidR="006322C2" w:rsidRDefault="006322C2" w:rsidP="006322C2">
            <w:pPr>
              <w:tabs>
                <w:tab w:val="decimal" w:pos="610"/>
              </w:tabs>
              <w:jc w:val="left"/>
              <w:rPr>
                <w:sz w:val="16"/>
                <w:szCs w:val="16"/>
              </w:rPr>
            </w:pPr>
            <w:r>
              <w:rPr>
                <w:sz w:val="16"/>
                <w:szCs w:val="16"/>
              </w:rPr>
              <w:t>136.0</w:t>
            </w:r>
          </w:p>
        </w:tc>
        <w:tc>
          <w:tcPr>
            <w:tcW w:w="1213" w:type="dxa"/>
            <w:tcBorders>
              <w:top w:val="nil"/>
              <w:bottom w:val="nil"/>
            </w:tcBorders>
            <w:shd w:val="clear" w:color="auto" w:fill="DDD9C3" w:themeFill="background2" w:themeFillShade="E6"/>
            <w:vAlign w:val="center"/>
          </w:tcPr>
          <w:p w14:paraId="7027904E" w14:textId="13DE74FC" w:rsidR="006322C2" w:rsidRPr="00770064" w:rsidRDefault="006322C2" w:rsidP="006322C2">
            <w:pPr>
              <w:tabs>
                <w:tab w:val="decimal" w:pos="559"/>
              </w:tabs>
              <w:jc w:val="left"/>
              <w:rPr>
                <w:color w:val="000000"/>
                <w:sz w:val="16"/>
                <w:szCs w:val="16"/>
              </w:rPr>
            </w:pPr>
            <w:r>
              <w:rPr>
                <w:sz w:val="16"/>
                <w:szCs w:val="16"/>
              </w:rPr>
              <w:t>22.0</w:t>
            </w:r>
          </w:p>
        </w:tc>
      </w:tr>
      <w:tr w:rsidR="006322C2" w:rsidRPr="00C27691" w14:paraId="7F5E471F"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13D8404" w14:textId="5BC0E8C5" w:rsidR="006322C2" w:rsidRPr="00C27691" w:rsidRDefault="006322C2" w:rsidP="006322C2">
            <w:pPr>
              <w:widowControl w:val="0"/>
              <w:numPr>
                <w:ilvl w:val="0"/>
                <w:numId w:val="25"/>
              </w:numPr>
              <w:spacing w:before="20" w:after="20"/>
              <w:ind w:left="283" w:hanging="113"/>
              <w:rPr>
                <w:sz w:val="16"/>
                <w:szCs w:val="16"/>
              </w:rPr>
            </w:pPr>
            <w:r w:rsidRPr="00C27691">
              <w:rPr>
                <w:sz w:val="16"/>
                <w:szCs w:val="16"/>
              </w:rPr>
              <w:t xml:space="preserve">Índice de </w:t>
            </w:r>
            <w:r w:rsidR="00ED110F">
              <w:rPr>
                <w:sz w:val="16"/>
                <w:szCs w:val="16"/>
              </w:rPr>
              <w:t>i</w:t>
            </w:r>
            <w:r w:rsidRPr="00C27691">
              <w:rPr>
                <w:sz w:val="16"/>
                <w:szCs w:val="16"/>
              </w:rPr>
              <w:t xml:space="preserve">ngresos </w:t>
            </w:r>
            <w:r w:rsidR="00ED110F">
              <w:rPr>
                <w:sz w:val="16"/>
                <w:szCs w:val="16"/>
              </w:rPr>
              <w:t>r</w:t>
            </w:r>
            <w:r w:rsidRPr="00C27691">
              <w:rPr>
                <w:sz w:val="16"/>
                <w:szCs w:val="16"/>
              </w:rPr>
              <w:t xml:space="preserve">eales por </w:t>
            </w:r>
            <w:r w:rsidR="00ED110F">
              <w:rPr>
                <w:sz w:val="16"/>
                <w:szCs w:val="16"/>
              </w:rPr>
              <w:t>s</w:t>
            </w:r>
            <w:r w:rsidRPr="00C27691">
              <w:rPr>
                <w:sz w:val="16"/>
                <w:szCs w:val="16"/>
              </w:rPr>
              <w:t xml:space="preserve">uministro de </w:t>
            </w:r>
            <w:r w:rsidR="00ED110F">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3FFE7E98" w14:textId="5C541B99" w:rsidR="006322C2" w:rsidRDefault="006322C2" w:rsidP="006322C2">
            <w:pPr>
              <w:tabs>
                <w:tab w:val="decimal" w:pos="610"/>
              </w:tabs>
              <w:jc w:val="left"/>
              <w:rPr>
                <w:sz w:val="16"/>
                <w:szCs w:val="16"/>
              </w:rPr>
            </w:pPr>
            <w:r>
              <w:rPr>
                <w:sz w:val="16"/>
                <w:szCs w:val="16"/>
              </w:rPr>
              <w:t>102.6</w:t>
            </w:r>
          </w:p>
        </w:tc>
        <w:tc>
          <w:tcPr>
            <w:tcW w:w="1213" w:type="dxa"/>
            <w:tcBorders>
              <w:top w:val="nil"/>
              <w:bottom w:val="nil"/>
            </w:tcBorders>
            <w:shd w:val="clear" w:color="auto" w:fill="auto"/>
            <w:vAlign w:val="center"/>
          </w:tcPr>
          <w:p w14:paraId="214B71B3" w14:textId="0550345D" w:rsidR="006322C2" w:rsidRDefault="006322C2" w:rsidP="006322C2">
            <w:pPr>
              <w:tabs>
                <w:tab w:val="decimal" w:pos="610"/>
              </w:tabs>
              <w:jc w:val="left"/>
              <w:rPr>
                <w:sz w:val="16"/>
                <w:szCs w:val="16"/>
              </w:rPr>
            </w:pPr>
            <w:r>
              <w:rPr>
                <w:sz w:val="16"/>
                <w:szCs w:val="16"/>
              </w:rPr>
              <w:t>105.6</w:t>
            </w:r>
          </w:p>
        </w:tc>
        <w:tc>
          <w:tcPr>
            <w:tcW w:w="1213" w:type="dxa"/>
            <w:tcBorders>
              <w:top w:val="nil"/>
              <w:bottom w:val="nil"/>
            </w:tcBorders>
            <w:shd w:val="clear" w:color="auto" w:fill="auto"/>
            <w:vAlign w:val="center"/>
          </w:tcPr>
          <w:p w14:paraId="6655A9C1" w14:textId="144A9E6C" w:rsidR="006322C2" w:rsidRPr="00770064" w:rsidRDefault="006322C2" w:rsidP="006322C2">
            <w:pPr>
              <w:tabs>
                <w:tab w:val="decimal" w:pos="559"/>
              </w:tabs>
              <w:jc w:val="left"/>
              <w:rPr>
                <w:color w:val="000000"/>
                <w:sz w:val="16"/>
                <w:szCs w:val="16"/>
              </w:rPr>
            </w:pPr>
            <w:r>
              <w:rPr>
                <w:sz w:val="16"/>
                <w:szCs w:val="16"/>
              </w:rPr>
              <w:t>2.9</w:t>
            </w:r>
          </w:p>
        </w:tc>
      </w:tr>
      <w:tr w:rsidR="006322C2" w:rsidRPr="00C27691" w14:paraId="71B7CE1F" w14:textId="77777777" w:rsidTr="006322C2">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EDB73AF" w14:textId="4C867E17" w:rsidR="006322C2" w:rsidRPr="00C27691" w:rsidRDefault="006322C2" w:rsidP="006322C2">
            <w:pPr>
              <w:widowControl w:val="0"/>
              <w:numPr>
                <w:ilvl w:val="0"/>
                <w:numId w:val="25"/>
              </w:numPr>
              <w:spacing w:before="20" w:after="20"/>
              <w:ind w:left="283" w:hanging="113"/>
              <w:rPr>
                <w:sz w:val="16"/>
                <w:szCs w:val="16"/>
              </w:rPr>
            </w:pPr>
            <w:r w:rsidRPr="00C27691">
              <w:rPr>
                <w:sz w:val="16"/>
                <w:szCs w:val="16"/>
              </w:rPr>
              <w:t xml:space="preserve">Índice de </w:t>
            </w:r>
            <w:r w:rsidR="00ED110F">
              <w:rPr>
                <w:sz w:val="16"/>
                <w:szCs w:val="16"/>
              </w:rPr>
              <w:t>p</w:t>
            </w:r>
            <w:r w:rsidRPr="00C27691">
              <w:rPr>
                <w:sz w:val="16"/>
                <w:szCs w:val="16"/>
              </w:rPr>
              <w:t xml:space="preserve">ersonal </w:t>
            </w:r>
            <w:r w:rsidR="00ED110F">
              <w:rPr>
                <w:sz w:val="16"/>
                <w:szCs w:val="16"/>
              </w:rPr>
              <w:t>o</w:t>
            </w:r>
            <w:r w:rsidRPr="00C27691">
              <w:rPr>
                <w:sz w:val="16"/>
                <w:szCs w:val="16"/>
              </w:rPr>
              <w:t xml:space="preserve">cupado </w:t>
            </w:r>
            <w:r w:rsidR="00ED110F">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3F1F17E" w14:textId="27EC6315" w:rsidR="006322C2" w:rsidRDefault="006322C2" w:rsidP="006322C2">
            <w:pPr>
              <w:tabs>
                <w:tab w:val="decimal" w:pos="610"/>
              </w:tabs>
              <w:jc w:val="left"/>
              <w:rPr>
                <w:sz w:val="16"/>
                <w:szCs w:val="16"/>
              </w:rPr>
            </w:pPr>
            <w:r>
              <w:rPr>
                <w:sz w:val="16"/>
                <w:szCs w:val="16"/>
              </w:rPr>
              <w:t>92.1</w:t>
            </w:r>
          </w:p>
        </w:tc>
        <w:tc>
          <w:tcPr>
            <w:tcW w:w="1213" w:type="dxa"/>
            <w:tcBorders>
              <w:top w:val="nil"/>
              <w:bottom w:val="single" w:sz="8" w:space="0" w:color="948A54" w:themeColor="background2" w:themeShade="80"/>
            </w:tcBorders>
            <w:shd w:val="clear" w:color="auto" w:fill="auto"/>
            <w:vAlign w:val="center"/>
          </w:tcPr>
          <w:p w14:paraId="13CA3E5A" w14:textId="0588642C" w:rsidR="006322C2" w:rsidRDefault="006322C2" w:rsidP="006322C2">
            <w:pPr>
              <w:tabs>
                <w:tab w:val="decimal" w:pos="610"/>
              </w:tabs>
              <w:jc w:val="left"/>
              <w:rPr>
                <w:sz w:val="16"/>
                <w:szCs w:val="16"/>
              </w:rPr>
            </w:pPr>
            <w:r>
              <w:rPr>
                <w:sz w:val="16"/>
                <w:szCs w:val="16"/>
              </w:rPr>
              <w:t>77.6</w:t>
            </w:r>
          </w:p>
        </w:tc>
        <w:tc>
          <w:tcPr>
            <w:tcW w:w="1213" w:type="dxa"/>
            <w:tcBorders>
              <w:top w:val="nil"/>
              <w:bottom w:val="single" w:sz="8" w:space="0" w:color="948A54" w:themeColor="background2" w:themeShade="80"/>
            </w:tcBorders>
            <w:shd w:val="clear" w:color="auto" w:fill="auto"/>
            <w:vAlign w:val="center"/>
          </w:tcPr>
          <w:p w14:paraId="50C6B26D" w14:textId="75A2F2B9" w:rsidR="006322C2" w:rsidRPr="00770064" w:rsidRDefault="006322C2" w:rsidP="006322C2">
            <w:pPr>
              <w:tabs>
                <w:tab w:val="decimal" w:pos="559"/>
              </w:tabs>
              <w:jc w:val="left"/>
              <w:rPr>
                <w:color w:val="000000"/>
                <w:sz w:val="16"/>
                <w:szCs w:val="16"/>
              </w:rPr>
            </w:pPr>
            <w:r>
              <w:rPr>
                <w:sz w:val="16"/>
                <w:szCs w:val="16"/>
              </w:rPr>
              <w:t>-15.7</w:t>
            </w:r>
          </w:p>
        </w:tc>
      </w:tr>
    </w:tbl>
    <w:p w14:paraId="336B62E3" w14:textId="6B2B2172"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39BD8066"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48802B40" w14:textId="77777777" w:rsidR="000A2928" w:rsidRDefault="000A2928">
      <w:pPr>
        <w:jc w:val="left"/>
        <w:rPr>
          <w:sz w:val="20"/>
          <w:szCs w:val="20"/>
        </w:rPr>
      </w:pPr>
      <w:r>
        <w:rPr>
          <w:b/>
          <w:sz w:val="20"/>
        </w:rPr>
        <w:br w:type="page"/>
      </w:r>
    </w:p>
    <w:p w14:paraId="35F38C0B" w14:textId="69B7BAA5"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5B50444E" w14:textId="71C57D58"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 xml:space="preserve">Índice de Productividad Laboral por </w:t>
      </w:r>
      <w:r w:rsidR="00ED110F">
        <w:rPr>
          <w:b/>
          <w:smallCaps/>
          <w:sz w:val="20"/>
          <w:szCs w:val="20"/>
        </w:rPr>
        <w:t>e</w:t>
      </w:r>
      <w:r w:rsidRPr="00E34826">
        <w:rPr>
          <w:b/>
          <w:smallCaps/>
          <w:sz w:val="20"/>
          <w:szCs w:val="20"/>
        </w:rPr>
        <w:t xml:space="preserve">ntidad </w:t>
      </w:r>
      <w:r w:rsidR="00ED110F">
        <w:rPr>
          <w:b/>
          <w:smallCaps/>
          <w:sz w:val="20"/>
          <w:szCs w:val="20"/>
        </w:rPr>
        <w:t>f</w:t>
      </w:r>
      <w:r w:rsidRPr="00E34826">
        <w:rPr>
          <w:b/>
          <w:smallCaps/>
          <w:sz w:val="20"/>
          <w:szCs w:val="20"/>
        </w:rPr>
        <w:t xml:space="preserve">ederativa según </w:t>
      </w:r>
      <w:r w:rsidR="00ED110F">
        <w:rPr>
          <w:b/>
          <w:smallCaps/>
          <w:sz w:val="20"/>
          <w:szCs w:val="20"/>
        </w:rPr>
        <w:t>s</w:t>
      </w:r>
      <w:r w:rsidRPr="00E34826">
        <w:rPr>
          <w:b/>
          <w:smallCaps/>
          <w:sz w:val="20"/>
          <w:szCs w:val="20"/>
        </w:rPr>
        <w:t>ector</w:t>
      </w:r>
      <w:r w:rsidRPr="00E34826">
        <w:rPr>
          <w:b/>
          <w:smallCaps/>
          <w:sz w:val="20"/>
          <w:szCs w:val="20"/>
        </w:rPr>
        <w:br/>
      </w:r>
      <w:r w:rsidR="006322C2">
        <w:rPr>
          <w:b/>
          <w:smallCaps/>
          <w:sz w:val="20"/>
          <w:szCs w:val="20"/>
        </w:rPr>
        <w:t>cua</w:t>
      </w:r>
      <w:r w:rsidR="00C05BAC">
        <w:rPr>
          <w:b/>
          <w:smallCaps/>
          <w:sz w:val="20"/>
          <w:szCs w:val="20"/>
        </w:rPr>
        <w:t>r</w:t>
      </w:r>
      <w:r w:rsidR="006322C2">
        <w:rPr>
          <w:b/>
          <w:smallCaps/>
          <w:sz w:val="20"/>
          <w:szCs w:val="20"/>
        </w:rPr>
        <w:t>to</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w:t>
      </w:r>
      <w:r w:rsidR="00917606">
        <w:rPr>
          <w:b/>
          <w:smallCaps/>
          <w:sz w:val="20"/>
          <w:szCs w:val="20"/>
        </w:rPr>
        <w:t>1</w:t>
      </w:r>
      <w:r w:rsidRPr="00E34826">
        <w:rPr>
          <w:b/>
          <w:sz w:val="20"/>
          <w:szCs w:val="20"/>
          <w:vertAlign w:val="superscript"/>
        </w:rPr>
        <w:t>p</w:t>
      </w:r>
      <w:r w:rsidRPr="00E34826">
        <w:rPr>
          <w:b/>
          <w:sz w:val="22"/>
          <w:vertAlign w:val="superscript"/>
        </w:rPr>
        <w:t>/</w:t>
      </w:r>
    </w:p>
    <w:p w14:paraId="31595B06"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77FB6EE3"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4C05C43B" w14:textId="5170C750" w:rsidR="00EA5096" w:rsidRPr="00E34826" w:rsidRDefault="00EA5096" w:rsidP="007E05E9">
            <w:pPr>
              <w:widowControl w:val="0"/>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1445D71D" w14:textId="5CBE52A6"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565A388B" w14:textId="3696F234" w:rsidR="00EA5096" w:rsidRPr="00E34826" w:rsidRDefault="00EA5096" w:rsidP="007E05E9">
            <w:pPr>
              <w:widowControl w:val="0"/>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5E38117F"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28042FA5" w14:textId="25B23FBF" w:rsidR="00EA5096" w:rsidRPr="00E34826" w:rsidRDefault="00EA5096" w:rsidP="007E05E9">
            <w:pPr>
              <w:widowControl w:val="0"/>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43A4A61B" w14:textId="52BAD235"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1E85397F" w14:textId="17EC0638" w:rsidR="00EA5096" w:rsidRPr="00E34826" w:rsidRDefault="00EA5096" w:rsidP="007E05E9">
            <w:pPr>
              <w:widowControl w:val="0"/>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r>
      <w:tr w:rsidR="00EA5096" w:rsidRPr="00E34826" w14:paraId="1A1CF512"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03D9EBAF"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5A335DBB"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F9FC1DF" w14:textId="1460E559"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2EDD7A47" w14:textId="36553AC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01A8CFC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44380B44"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351500DA"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01CE85A3" w14:textId="19F7ED2F"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6AE97AE8" w14:textId="1FEA907C"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r>
      <w:tr w:rsidR="006322C2" w:rsidRPr="00E34826" w14:paraId="6842FD50" w14:textId="77777777" w:rsidTr="006322C2">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63F27566"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678EBD4B" w14:textId="43CB1E03" w:rsidR="006322C2" w:rsidRDefault="006322C2" w:rsidP="006322C2">
            <w:pPr>
              <w:tabs>
                <w:tab w:val="decimal" w:pos="609"/>
              </w:tabs>
              <w:jc w:val="left"/>
              <w:rPr>
                <w:sz w:val="16"/>
                <w:szCs w:val="16"/>
                <w:lang w:val="es-MX" w:eastAsia="es-MX"/>
              </w:rPr>
            </w:pPr>
            <w:r>
              <w:rPr>
                <w:sz w:val="16"/>
                <w:szCs w:val="16"/>
              </w:rPr>
              <w:t>-19.9</w:t>
            </w:r>
          </w:p>
        </w:tc>
        <w:tc>
          <w:tcPr>
            <w:tcW w:w="550" w:type="pct"/>
            <w:tcBorders>
              <w:top w:val="single" w:sz="6" w:space="0" w:color="948A54"/>
            </w:tcBorders>
            <w:shd w:val="clear" w:color="auto" w:fill="auto"/>
            <w:noWrap/>
            <w:vAlign w:val="center"/>
          </w:tcPr>
          <w:p w14:paraId="6A00CE05" w14:textId="7C5A8A32" w:rsidR="006322C2" w:rsidRDefault="006322C2" w:rsidP="006322C2">
            <w:pPr>
              <w:tabs>
                <w:tab w:val="decimal" w:pos="503"/>
              </w:tabs>
              <w:jc w:val="left"/>
              <w:rPr>
                <w:sz w:val="16"/>
                <w:szCs w:val="16"/>
              </w:rPr>
            </w:pPr>
            <w:r>
              <w:rPr>
                <w:sz w:val="16"/>
                <w:szCs w:val="16"/>
              </w:rPr>
              <w:t>-2.1</w:t>
            </w:r>
          </w:p>
        </w:tc>
        <w:tc>
          <w:tcPr>
            <w:tcW w:w="550" w:type="pct"/>
            <w:tcBorders>
              <w:top w:val="single" w:sz="6" w:space="0" w:color="948A54"/>
              <w:right w:val="single" w:sz="8" w:space="0" w:color="948A54"/>
            </w:tcBorders>
            <w:shd w:val="clear" w:color="auto" w:fill="auto"/>
            <w:noWrap/>
            <w:vAlign w:val="center"/>
          </w:tcPr>
          <w:p w14:paraId="3BEC859C" w14:textId="6BFCD61E" w:rsidR="006322C2" w:rsidRPr="00116F60" w:rsidRDefault="006322C2" w:rsidP="006322C2">
            <w:pPr>
              <w:tabs>
                <w:tab w:val="decimal" w:pos="503"/>
              </w:tabs>
              <w:jc w:val="left"/>
              <w:rPr>
                <w:color w:val="000000"/>
                <w:sz w:val="16"/>
                <w:szCs w:val="16"/>
              </w:rPr>
            </w:pPr>
            <w:r>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7BCE8BCF" w14:textId="77777777" w:rsidR="006322C2" w:rsidRPr="00FB1CC0" w:rsidRDefault="006322C2" w:rsidP="006322C2">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3DD671BF"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66D67571" w14:textId="0AE144C3" w:rsidR="006322C2" w:rsidRDefault="006322C2" w:rsidP="006322C2">
            <w:pPr>
              <w:tabs>
                <w:tab w:val="decimal" w:pos="609"/>
              </w:tabs>
              <w:jc w:val="left"/>
              <w:rPr>
                <w:color w:val="000000"/>
                <w:sz w:val="16"/>
                <w:szCs w:val="16"/>
                <w:lang w:val="es-MX" w:eastAsia="es-MX"/>
              </w:rPr>
            </w:pPr>
            <w:r>
              <w:rPr>
                <w:color w:val="000000"/>
                <w:sz w:val="16"/>
                <w:szCs w:val="16"/>
              </w:rPr>
              <w:t>-4.1</w:t>
            </w:r>
          </w:p>
        </w:tc>
        <w:tc>
          <w:tcPr>
            <w:tcW w:w="547" w:type="pct"/>
            <w:tcBorders>
              <w:top w:val="single" w:sz="6" w:space="0" w:color="948A54"/>
            </w:tcBorders>
            <w:vAlign w:val="center"/>
          </w:tcPr>
          <w:p w14:paraId="4C644DB6" w14:textId="4BB2A675" w:rsidR="006322C2" w:rsidRDefault="006322C2" w:rsidP="006322C2">
            <w:pPr>
              <w:tabs>
                <w:tab w:val="decimal" w:pos="540"/>
              </w:tabs>
              <w:jc w:val="left"/>
              <w:rPr>
                <w:color w:val="000000"/>
                <w:sz w:val="16"/>
                <w:szCs w:val="16"/>
              </w:rPr>
            </w:pPr>
            <w:r>
              <w:rPr>
                <w:color w:val="000000"/>
                <w:sz w:val="16"/>
                <w:szCs w:val="16"/>
              </w:rPr>
              <w:t>-1.4</w:t>
            </w:r>
          </w:p>
        </w:tc>
        <w:tc>
          <w:tcPr>
            <w:tcW w:w="545" w:type="pct"/>
            <w:tcBorders>
              <w:top w:val="single" w:sz="6" w:space="0" w:color="948A54"/>
              <w:right w:val="single" w:sz="8" w:space="0" w:color="948A54"/>
            </w:tcBorders>
            <w:vAlign w:val="center"/>
          </w:tcPr>
          <w:p w14:paraId="3F061AE8" w14:textId="2611AB2D" w:rsidR="006322C2" w:rsidRDefault="006322C2" w:rsidP="006322C2">
            <w:pPr>
              <w:tabs>
                <w:tab w:val="decimal" w:pos="520"/>
              </w:tabs>
              <w:jc w:val="left"/>
              <w:rPr>
                <w:color w:val="000000"/>
                <w:sz w:val="16"/>
                <w:szCs w:val="16"/>
              </w:rPr>
            </w:pPr>
            <w:r>
              <w:rPr>
                <w:color w:val="000000"/>
                <w:sz w:val="16"/>
                <w:szCs w:val="16"/>
              </w:rPr>
              <w:t>0.5</w:t>
            </w:r>
          </w:p>
        </w:tc>
      </w:tr>
      <w:tr w:rsidR="006322C2" w:rsidRPr="00E34826" w14:paraId="2AA169DC"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6CFCC764"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387A45A8" w14:textId="26B3C106" w:rsidR="006322C2" w:rsidRDefault="006322C2" w:rsidP="006322C2">
            <w:pPr>
              <w:tabs>
                <w:tab w:val="decimal" w:pos="609"/>
              </w:tabs>
              <w:jc w:val="left"/>
              <w:rPr>
                <w:sz w:val="16"/>
                <w:szCs w:val="16"/>
              </w:rPr>
            </w:pPr>
            <w:r>
              <w:rPr>
                <w:sz w:val="16"/>
                <w:szCs w:val="16"/>
              </w:rPr>
              <w:t>3.1</w:t>
            </w:r>
          </w:p>
        </w:tc>
        <w:tc>
          <w:tcPr>
            <w:tcW w:w="550" w:type="pct"/>
            <w:shd w:val="clear" w:color="auto" w:fill="auto"/>
            <w:noWrap/>
            <w:vAlign w:val="center"/>
          </w:tcPr>
          <w:p w14:paraId="45CF2176" w14:textId="0FAD8BB1" w:rsidR="006322C2" w:rsidRDefault="006322C2" w:rsidP="006322C2">
            <w:pPr>
              <w:tabs>
                <w:tab w:val="decimal" w:pos="503"/>
              </w:tabs>
              <w:jc w:val="left"/>
              <w:rPr>
                <w:sz w:val="16"/>
                <w:szCs w:val="16"/>
              </w:rPr>
            </w:pPr>
            <w:r>
              <w:rPr>
                <w:sz w:val="16"/>
                <w:szCs w:val="16"/>
              </w:rPr>
              <w:t>6.8</w:t>
            </w:r>
          </w:p>
        </w:tc>
        <w:tc>
          <w:tcPr>
            <w:tcW w:w="550" w:type="pct"/>
            <w:tcBorders>
              <w:right w:val="single" w:sz="8" w:space="0" w:color="948A54"/>
            </w:tcBorders>
            <w:shd w:val="clear" w:color="auto" w:fill="auto"/>
            <w:noWrap/>
            <w:vAlign w:val="center"/>
          </w:tcPr>
          <w:p w14:paraId="36438721" w14:textId="7056C9BA" w:rsidR="006322C2" w:rsidRPr="00116F60" w:rsidRDefault="006322C2" w:rsidP="006322C2">
            <w:pPr>
              <w:tabs>
                <w:tab w:val="decimal" w:pos="503"/>
              </w:tabs>
              <w:jc w:val="left"/>
              <w:rPr>
                <w:color w:val="000000"/>
                <w:sz w:val="16"/>
                <w:szCs w:val="16"/>
              </w:rPr>
            </w:pPr>
            <w:r>
              <w:rPr>
                <w:sz w:val="16"/>
                <w:szCs w:val="16"/>
              </w:rPr>
              <w:t>-0.2</w:t>
            </w:r>
          </w:p>
        </w:tc>
        <w:tc>
          <w:tcPr>
            <w:tcW w:w="87" w:type="pct"/>
            <w:tcBorders>
              <w:left w:val="single" w:sz="8" w:space="0" w:color="948A54"/>
              <w:right w:val="single" w:sz="8" w:space="0" w:color="948A54"/>
            </w:tcBorders>
            <w:shd w:val="clear" w:color="auto" w:fill="auto"/>
            <w:noWrap/>
            <w:vAlign w:val="center"/>
            <w:hideMark/>
          </w:tcPr>
          <w:p w14:paraId="57A3DFF8"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D404E9"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14CD33FE" w14:textId="5BAD1775" w:rsidR="006322C2" w:rsidRDefault="006322C2" w:rsidP="006322C2">
            <w:pPr>
              <w:tabs>
                <w:tab w:val="decimal" w:pos="609"/>
              </w:tabs>
              <w:jc w:val="left"/>
              <w:rPr>
                <w:color w:val="000000"/>
                <w:sz w:val="16"/>
                <w:szCs w:val="16"/>
              </w:rPr>
            </w:pPr>
            <w:r>
              <w:rPr>
                <w:color w:val="000000"/>
                <w:sz w:val="16"/>
                <w:szCs w:val="16"/>
              </w:rPr>
              <w:t>0.0</w:t>
            </w:r>
          </w:p>
        </w:tc>
        <w:tc>
          <w:tcPr>
            <w:tcW w:w="547" w:type="pct"/>
            <w:shd w:val="clear" w:color="auto" w:fill="auto"/>
            <w:vAlign w:val="center"/>
          </w:tcPr>
          <w:p w14:paraId="1F50467B" w14:textId="65D0E7CB" w:rsidR="006322C2" w:rsidRDefault="006322C2" w:rsidP="006322C2">
            <w:pPr>
              <w:tabs>
                <w:tab w:val="decimal" w:pos="540"/>
              </w:tabs>
              <w:jc w:val="left"/>
              <w:rPr>
                <w:color w:val="000000"/>
                <w:sz w:val="16"/>
                <w:szCs w:val="16"/>
              </w:rPr>
            </w:pPr>
            <w:r>
              <w:rPr>
                <w:color w:val="000000"/>
                <w:sz w:val="16"/>
                <w:szCs w:val="16"/>
              </w:rPr>
              <w:t>0.6</w:t>
            </w:r>
          </w:p>
        </w:tc>
        <w:tc>
          <w:tcPr>
            <w:tcW w:w="545" w:type="pct"/>
            <w:tcBorders>
              <w:right w:val="single" w:sz="8" w:space="0" w:color="948A54"/>
            </w:tcBorders>
            <w:shd w:val="clear" w:color="auto" w:fill="auto"/>
            <w:vAlign w:val="center"/>
          </w:tcPr>
          <w:p w14:paraId="65ACA0CB" w14:textId="6E4192C7" w:rsidR="006322C2" w:rsidRDefault="006322C2" w:rsidP="006322C2">
            <w:pPr>
              <w:tabs>
                <w:tab w:val="decimal" w:pos="520"/>
              </w:tabs>
              <w:jc w:val="left"/>
              <w:rPr>
                <w:color w:val="000000"/>
                <w:sz w:val="16"/>
                <w:szCs w:val="16"/>
              </w:rPr>
            </w:pPr>
            <w:r>
              <w:rPr>
                <w:color w:val="000000"/>
                <w:sz w:val="16"/>
                <w:szCs w:val="16"/>
              </w:rPr>
              <w:t>4.4</w:t>
            </w:r>
          </w:p>
        </w:tc>
      </w:tr>
      <w:tr w:rsidR="006322C2" w:rsidRPr="00E34826" w14:paraId="51C228B6"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0D66D5CC" w14:textId="77777777" w:rsidR="006322C2" w:rsidRPr="00E34826" w:rsidRDefault="006322C2" w:rsidP="006322C2">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3D24A16A" w14:textId="46BD7C3A" w:rsidR="006322C2" w:rsidRDefault="006322C2" w:rsidP="006322C2">
            <w:pPr>
              <w:tabs>
                <w:tab w:val="decimal" w:pos="609"/>
              </w:tabs>
              <w:jc w:val="left"/>
              <w:rPr>
                <w:sz w:val="16"/>
                <w:szCs w:val="16"/>
              </w:rPr>
            </w:pPr>
            <w:r>
              <w:rPr>
                <w:sz w:val="16"/>
                <w:szCs w:val="16"/>
              </w:rPr>
              <w:t>3.6</w:t>
            </w:r>
          </w:p>
        </w:tc>
        <w:tc>
          <w:tcPr>
            <w:tcW w:w="550" w:type="pct"/>
            <w:shd w:val="clear" w:color="auto" w:fill="DDD9C3"/>
            <w:noWrap/>
            <w:vAlign w:val="center"/>
          </w:tcPr>
          <w:p w14:paraId="41514316" w14:textId="181ED6D4" w:rsidR="006322C2" w:rsidRDefault="006322C2" w:rsidP="006322C2">
            <w:pPr>
              <w:tabs>
                <w:tab w:val="decimal" w:pos="503"/>
              </w:tabs>
              <w:jc w:val="left"/>
              <w:rPr>
                <w:sz w:val="16"/>
                <w:szCs w:val="16"/>
              </w:rPr>
            </w:pPr>
            <w:r>
              <w:rPr>
                <w:sz w:val="16"/>
                <w:szCs w:val="16"/>
              </w:rPr>
              <w:t>18.2</w:t>
            </w:r>
          </w:p>
        </w:tc>
        <w:tc>
          <w:tcPr>
            <w:tcW w:w="550" w:type="pct"/>
            <w:tcBorders>
              <w:right w:val="single" w:sz="8" w:space="0" w:color="948A54"/>
            </w:tcBorders>
            <w:shd w:val="clear" w:color="auto" w:fill="DDD9C3"/>
            <w:noWrap/>
            <w:vAlign w:val="center"/>
          </w:tcPr>
          <w:p w14:paraId="65878C31" w14:textId="72CF8B7E" w:rsidR="006322C2" w:rsidRPr="00116F60" w:rsidRDefault="006322C2" w:rsidP="006322C2">
            <w:pPr>
              <w:tabs>
                <w:tab w:val="decimal" w:pos="503"/>
              </w:tabs>
              <w:jc w:val="left"/>
              <w:rPr>
                <w:color w:val="000000"/>
                <w:sz w:val="16"/>
                <w:szCs w:val="16"/>
              </w:rPr>
            </w:pPr>
            <w:r>
              <w:rPr>
                <w:sz w:val="16"/>
                <w:szCs w:val="16"/>
              </w:rPr>
              <w:t>6.4</w:t>
            </w:r>
          </w:p>
        </w:tc>
        <w:tc>
          <w:tcPr>
            <w:tcW w:w="87" w:type="pct"/>
            <w:tcBorders>
              <w:left w:val="single" w:sz="8" w:space="0" w:color="948A54"/>
              <w:right w:val="single" w:sz="8" w:space="0" w:color="948A54"/>
            </w:tcBorders>
            <w:shd w:val="clear" w:color="auto" w:fill="auto"/>
            <w:noWrap/>
            <w:vAlign w:val="center"/>
            <w:hideMark/>
          </w:tcPr>
          <w:p w14:paraId="1C1A0E8B"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EAC9CB3"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2F044D54" w14:textId="3AE69F7E" w:rsidR="006322C2" w:rsidRDefault="006322C2" w:rsidP="006322C2">
            <w:pPr>
              <w:tabs>
                <w:tab w:val="decimal" w:pos="609"/>
              </w:tabs>
              <w:jc w:val="left"/>
              <w:rPr>
                <w:color w:val="000000"/>
                <w:sz w:val="16"/>
                <w:szCs w:val="16"/>
              </w:rPr>
            </w:pPr>
            <w:r>
              <w:rPr>
                <w:color w:val="000000"/>
                <w:sz w:val="16"/>
                <w:szCs w:val="16"/>
              </w:rPr>
              <w:t>0.4</w:t>
            </w:r>
          </w:p>
        </w:tc>
        <w:tc>
          <w:tcPr>
            <w:tcW w:w="547" w:type="pct"/>
            <w:shd w:val="clear" w:color="auto" w:fill="DDD9C3"/>
            <w:vAlign w:val="center"/>
          </w:tcPr>
          <w:p w14:paraId="5317623C" w14:textId="4BAA23D3" w:rsidR="006322C2" w:rsidRDefault="006322C2" w:rsidP="006322C2">
            <w:pPr>
              <w:tabs>
                <w:tab w:val="decimal" w:pos="540"/>
              </w:tabs>
              <w:jc w:val="left"/>
              <w:rPr>
                <w:color w:val="000000"/>
                <w:sz w:val="16"/>
                <w:szCs w:val="16"/>
              </w:rPr>
            </w:pPr>
            <w:r>
              <w:rPr>
                <w:color w:val="000000"/>
                <w:sz w:val="16"/>
                <w:szCs w:val="16"/>
              </w:rPr>
              <w:t>7.6</w:t>
            </w:r>
          </w:p>
        </w:tc>
        <w:tc>
          <w:tcPr>
            <w:tcW w:w="545" w:type="pct"/>
            <w:tcBorders>
              <w:right w:val="single" w:sz="8" w:space="0" w:color="948A54"/>
            </w:tcBorders>
            <w:shd w:val="clear" w:color="auto" w:fill="DDD9C3"/>
            <w:vAlign w:val="center"/>
          </w:tcPr>
          <w:p w14:paraId="43208604" w14:textId="34787279" w:rsidR="006322C2" w:rsidRDefault="006322C2" w:rsidP="006322C2">
            <w:pPr>
              <w:tabs>
                <w:tab w:val="decimal" w:pos="520"/>
              </w:tabs>
              <w:jc w:val="left"/>
              <w:rPr>
                <w:color w:val="000000"/>
                <w:sz w:val="16"/>
                <w:szCs w:val="16"/>
              </w:rPr>
            </w:pPr>
            <w:r>
              <w:rPr>
                <w:color w:val="000000"/>
                <w:sz w:val="16"/>
                <w:szCs w:val="16"/>
              </w:rPr>
              <w:t>2.1</w:t>
            </w:r>
          </w:p>
        </w:tc>
      </w:tr>
      <w:tr w:rsidR="006322C2" w:rsidRPr="00E34826" w14:paraId="35408F35"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20A09F1E"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4D0502F0" w14:textId="45052577" w:rsidR="006322C2" w:rsidRDefault="006322C2" w:rsidP="006322C2">
            <w:pPr>
              <w:tabs>
                <w:tab w:val="decimal" w:pos="609"/>
              </w:tabs>
              <w:jc w:val="left"/>
              <w:rPr>
                <w:sz w:val="16"/>
                <w:szCs w:val="16"/>
              </w:rPr>
            </w:pPr>
            <w:r>
              <w:rPr>
                <w:sz w:val="16"/>
                <w:szCs w:val="16"/>
              </w:rPr>
              <w:t>1.1</w:t>
            </w:r>
          </w:p>
        </w:tc>
        <w:tc>
          <w:tcPr>
            <w:tcW w:w="550" w:type="pct"/>
            <w:shd w:val="clear" w:color="auto" w:fill="DDD9C3"/>
            <w:noWrap/>
            <w:vAlign w:val="center"/>
          </w:tcPr>
          <w:p w14:paraId="544E7E23" w14:textId="19315F3E" w:rsidR="006322C2" w:rsidRDefault="006322C2" w:rsidP="006322C2">
            <w:pPr>
              <w:tabs>
                <w:tab w:val="decimal" w:pos="503"/>
              </w:tabs>
              <w:jc w:val="left"/>
              <w:rPr>
                <w:sz w:val="16"/>
                <w:szCs w:val="16"/>
              </w:rPr>
            </w:pPr>
            <w:r>
              <w:rPr>
                <w:sz w:val="16"/>
                <w:szCs w:val="16"/>
              </w:rPr>
              <w:t>11.3</w:t>
            </w:r>
          </w:p>
        </w:tc>
        <w:tc>
          <w:tcPr>
            <w:tcW w:w="550" w:type="pct"/>
            <w:tcBorders>
              <w:right w:val="single" w:sz="8" w:space="0" w:color="948A54"/>
            </w:tcBorders>
            <w:shd w:val="clear" w:color="auto" w:fill="DDD9C3"/>
            <w:noWrap/>
            <w:vAlign w:val="center"/>
          </w:tcPr>
          <w:p w14:paraId="6249F375" w14:textId="542E5171" w:rsidR="006322C2" w:rsidRPr="00116F60" w:rsidRDefault="006322C2" w:rsidP="006322C2">
            <w:pPr>
              <w:tabs>
                <w:tab w:val="decimal" w:pos="503"/>
              </w:tabs>
              <w:jc w:val="left"/>
              <w:rPr>
                <w:color w:val="000000"/>
                <w:sz w:val="16"/>
                <w:szCs w:val="16"/>
              </w:rPr>
            </w:pPr>
            <w:r>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4A0DBB2D"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D287DD"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26B2ECF3" w14:textId="3B4A7634" w:rsidR="006322C2" w:rsidRDefault="006322C2" w:rsidP="006322C2">
            <w:pPr>
              <w:tabs>
                <w:tab w:val="decimal" w:pos="609"/>
              </w:tabs>
              <w:jc w:val="left"/>
              <w:rPr>
                <w:color w:val="000000"/>
                <w:sz w:val="16"/>
                <w:szCs w:val="16"/>
              </w:rPr>
            </w:pPr>
            <w:r>
              <w:rPr>
                <w:color w:val="000000"/>
                <w:sz w:val="16"/>
                <w:szCs w:val="16"/>
              </w:rPr>
              <w:t>28.8</w:t>
            </w:r>
          </w:p>
        </w:tc>
        <w:tc>
          <w:tcPr>
            <w:tcW w:w="547" w:type="pct"/>
            <w:shd w:val="clear" w:color="auto" w:fill="DDD9C3"/>
            <w:vAlign w:val="center"/>
          </w:tcPr>
          <w:p w14:paraId="3938DA94" w14:textId="138F265B" w:rsidR="006322C2" w:rsidRDefault="006322C2" w:rsidP="006322C2">
            <w:pPr>
              <w:tabs>
                <w:tab w:val="decimal" w:pos="540"/>
              </w:tabs>
              <w:jc w:val="left"/>
              <w:rPr>
                <w:color w:val="000000"/>
                <w:sz w:val="16"/>
                <w:szCs w:val="16"/>
              </w:rPr>
            </w:pPr>
            <w:r>
              <w:rPr>
                <w:color w:val="000000"/>
                <w:sz w:val="16"/>
                <w:szCs w:val="16"/>
              </w:rPr>
              <w:t>2.3</w:t>
            </w:r>
          </w:p>
        </w:tc>
        <w:tc>
          <w:tcPr>
            <w:tcW w:w="545" w:type="pct"/>
            <w:tcBorders>
              <w:right w:val="single" w:sz="8" w:space="0" w:color="948A54"/>
            </w:tcBorders>
            <w:shd w:val="clear" w:color="auto" w:fill="DDD9C3"/>
            <w:vAlign w:val="center"/>
          </w:tcPr>
          <w:p w14:paraId="5526315D" w14:textId="449B22E5" w:rsidR="006322C2" w:rsidRDefault="006322C2" w:rsidP="006322C2">
            <w:pPr>
              <w:tabs>
                <w:tab w:val="decimal" w:pos="520"/>
              </w:tabs>
              <w:jc w:val="left"/>
              <w:rPr>
                <w:color w:val="000000"/>
                <w:sz w:val="16"/>
                <w:szCs w:val="16"/>
              </w:rPr>
            </w:pPr>
            <w:r>
              <w:rPr>
                <w:color w:val="000000"/>
                <w:sz w:val="16"/>
                <w:szCs w:val="16"/>
              </w:rPr>
              <w:t>2.9</w:t>
            </w:r>
          </w:p>
        </w:tc>
      </w:tr>
      <w:tr w:rsidR="006322C2" w:rsidRPr="00E34826" w14:paraId="2AF8C30B"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08C2B69B"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0E3FD53" w14:textId="1DF18E6E" w:rsidR="006322C2" w:rsidRDefault="006322C2" w:rsidP="006322C2">
            <w:pPr>
              <w:tabs>
                <w:tab w:val="decimal" w:pos="609"/>
              </w:tabs>
              <w:jc w:val="left"/>
              <w:rPr>
                <w:sz w:val="16"/>
                <w:szCs w:val="16"/>
              </w:rPr>
            </w:pPr>
            <w:r>
              <w:rPr>
                <w:sz w:val="16"/>
                <w:szCs w:val="16"/>
              </w:rPr>
              <w:t>-5.5</w:t>
            </w:r>
          </w:p>
        </w:tc>
        <w:tc>
          <w:tcPr>
            <w:tcW w:w="550" w:type="pct"/>
            <w:shd w:val="clear" w:color="auto" w:fill="auto"/>
            <w:noWrap/>
            <w:vAlign w:val="center"/>
          </w:tcPr>
          <w:p w14:paraId="357A28A7" w14:textId="138972DD" w:rsidR="006322C2" w:rsidRDefault="006322C2" w:rsidP="006322C2">
            <w:pPr>
              <w:tabs>
                <w:tab w:val="decimal" w:pos="503"/>
              </w:tabs>
              <w:jc w:val="left"/>
              <w:rPr>
                <w:sz w:val="16"/>
                <w:szCs w:val="16"/>
              </w:rPr>
            </w:pPr>
            <w:r>
              <w:rPr>
                <w:sz w:val="16"/>
                <w:szCs w:val="16"/>
              </w:rPr>
              <w:t>12.5</w:t>
            </w:r>
          </w:p>
        </w:tc>
        <w:tc>
          <w:tcPr>
            <w:tcW w:w="550" w:type="pct"/>
            <w:tcBorders>
              <w:right w:val="single" w:sz="8" w:space="0" w:color="948A54"/>
            </w:tcBorders>
            <w:shd w:val="clear" w:color="auto" w:fill="auto"/>
            <w:noWrap/>
            <w:vAlign w:val="center"/>
          </w:tcPr>
          <w:p w14:paraId="2A765DCB" w14:textId="272B6B07" w:rsidR="006322C2" w:rsidRPr="00116F60" w:rsidRDefault="006322C2" w:rsidP="006322C2">
            <w:pPr>
              <w:tabs>
                <w:tab w:val="decimal" w:pos="503"/>
              </w:tabs>
              <w:jc w:val="left"/>
              <w:rPr>
                <w:color w:val="000000"/>
                <w:sz w:val="16"/>
                <w:szCs w:val="16"/>
              </w:rPr>
            </w:pPr>
            <w:r>
              <w:rPr>
                <w:sz w:val="16"/>
                <w:szCs w:val="16"/>
              </w:rPr>
              <w:t>-2.0</w:t>
            </w:r>
          </w:p>
        </w:tc>
        <w:tc>
          <w:tcPr>
            <w:tcW w:w="87" w:type="pct"/>
            <w:tcBorders>
              <w:left w:val="single" w:sz="8" w:space="0" w:color="948A54"/>
              <w:right w:val="single" w:sz="8" w:space="0" w:color="948A54"/>
            </w:tcBorders>
            <w:shd w:val="clear" w:color="auto" w:fill="auto"/>
            <w:noWrap/>
            <w:vAlign w:val="center"/>
            <w:hideMark/>
          </w:tcPr>
          <w:p w14:paraId="19F90765"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19D6E95"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0FA80926" w14:textId="3D74ECDB" w:rsidR="006322C2" w:rsidRDefault="006322C2" w:rsidP="006322C2">
            <w:pPr>
              <w:tabs>
                <w:tab w:val="decimal" w:pos="609"/>
              </w:tabs>
              <w:jc w:val="left"/>
              <w:rPr>
                <w:color w:val="000000"/>
                <w:sz w:val="16"/>
                <w:szCs w:val="16"/>
              </w:rPr>
            </w:pPr>
            <w:r>
              <w:rPr>
                <w:color w:val="000000"/>
                <w:sz w:val="16"/>
                <w:szCs w:val="16"/>
              </w:rPr>
              <w:t>-11.4</w:t>
            </w:r>
          </w:p>
        </w:tc>
        <w:tc>
          <w:tcPr>
            <w:tcW w:w="547" w:type="pct"/>
            <w:shd w:val="clear" w:color="auto" w:fill="auto"/>
            <w:vAlign w:val="center"/>
          </w:tcPr>
          <w:p w14:paraId="3C73A111" w14:textId="6AFBB042" w:rsidR="006322C2" w:rsidRDefault="006322C2" w:rsidP="006322C2">
            <w:pPr>
              <w:tabs>
                <w:tab w:val="decimal" w:pos="540"/>
              </w:tabs>
              <w:jc w:val="left"/>
              <w:rPr>
                <w:color w:val="000000"/>
                <w:sz w:val="16"/>
                <w:szCs w:val="16"/>
              </w:rPr>
            </w:pPr>
            <w:r>
              <w:rPr>
                <w:color w:val="000000"/>
                <w:sz w:val="16"/>
                <w:szCs w:val="16"/>
              </w:rPr>
              <w:t>2.8</w:t>
            </w:r>
          </w:p>
        </w:tc>
        <w:tc>
          <w:tcPr>
            <w:tcW w:w="545" w:type="pct"/>
            <w:tcBorders>
              <w:right w:val="single" w:sz="8" w:space="0" w:color="948A54"/>
            </w:tcBorders>
            <w:shd w:val="clear" w:color="auto" w:fill="auto"/>
            <w:vAlign w:val="center"/>
          </w:tcPr>
          <w:p w14:paraId="3AF6D93D" w14:textId="73EFF253" w:rsidR="006322C2" w:rsidRDefault="006322C2" w:rsidP="006322C2">
            <w:pPr>
              <w:tabs>
                <w:tab w:val="decimal" w:pos="520"/>
              </w:tabs>
              <w:jc w:val="left"/>
              <w:rPr>
                <w:color w:val="000000"/>
                <w:sz w:val="16"/>
                <w:szCs w:val="16"/>
              </w:rPr>
            </w:pPr>
            <w:r>
              <w:rPr>
                <w:color w:val="000000"/>
                <w:sz w:val="16"/>
                <w:szCs w:val="16"/>
              </w:rPr>
              <w:t>0.7</w:t>
            </w:r>
          </w:p>
        </w:tc>
      </w:tr>
      <w:tr w:rsidR="006322C2" w:rsidRPr="00E34826" w14:paraId="525687AF"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245F3438"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73631D29" w14:textId="2322D51F" w:rsidR="006322C2" w:rsidRDefault="006322C2" w:rsidP="006322C2">
            <w:pPr>
              <w:tabs>
                <w:tab w:val="decimal" w:pos="609"/>
              </w:tabs>
              <w:jc w:val="left"/>
              <w:rPr>
                <w:sz w:val="16"/>
                <w:szCs w:val="16"/>
              </w:rPr>
            </w:pPr>
            <w:r>
              <w:rPr>
                <w:sz w:val="16"/>
                <w:szCs w:val="16"/>
              </w:rPr>
              <w:t>-12.2</w:t>
            </w:r>
          </w:p>
        </w:tc>
        <w:tc>
          <w:tcPr>
            <w:tcW w:w="550" w:type="pct"/>
            <w:shd w:val="clear" w:color="auto" w:fill="auto"/>
            <w:noWrap/>
            <w:vAlign w:val="center"/>
          </w:tcPr>
          <w:p w14:paraId="3C629F69" w14:textId="3E25C20E" w:rsidR="006322C2" w:rsidRDefault="006322C2" w:rsidP="006322C2">
            <w:pPr>
              <w:tabs>
                <w:tab w:val="decimal" w:pos="503"/>
              </w:tabs>
              <w:jc w:val="left"/>
              <w:rPr>
                <w:sz w:val="16"/>
                <w:szCs w:val="16"/>
              </w:rPr>
            </w:pPr>
            <w:r>
              <w:rPr>
                <w:sz w:val="16"/>
                <w:szCs w:val="16"/>
              </w:rPr>
              <w:t>15.5</w:t>
            </w:r>
          </w:p>
        </w:tc>
        <w:tc>
          <w:tcPr>
            <w:tcW w:w="550" w:type="pct"/>
            <w:tcBorders>
              <w:right w:val="single" w:sz="8" w:space="0" w:color="948A54"/>
            </w:tcBorders>
            <w:shd w:val="clear" w:color="auto" w:fill="auto"/>
            <w:noWrap/>
            <w:vAlign w:val="center"/>
          </w:tcPr>
          <w:p w14:paraId="2E8A602E" w14:textId="0F69E8CB" w:rsidR="006322C2" w:rsidRPr="00116F60" w:rsidRDefault="006322C2" w:rsidP="006322C2">
            <w:pPr>
              <w:tabs>
                <w:tab w:val="decimal" w:pos="503"/>
              </w:tabs>
              <w:jc w:val="left"/>
              <w:rPr>
                <w:color w:val="000000"/>
                <w:sz w:val="16"/>
                <w:szCs w:val="16"/>
              </w:rPr>
            </w:pPr>
            <w:r>
              <w:rPr>
                <w:sz w:val="16"/>
                <w:szCs w:val="16"/>
              </w:rPr>
              <w:t>4.4</w:t>
            </w:r>
          </w:p>
        </w:tc>
        <w:tc>
          <w:tcPr>
            <w:tcW w:w="87" w:type="pct"/>
            <w:tcBorders>
              <w:left w:val="single" w:sz="8" w:space="0" w:color="948A54"/>
              <w:right w:val="single" w:sz="8" w:space="0" w:color="948A54"/>
            </w:tcBorders>
            <w:shd w:val="clear" w:color="auto" w:fill="auto"/>
            <w:noWrap/>
            <w:vAlign w:val="center"/>
            <w:hideMark/>
          </w:tcPr>
          <w:p w14:paraId="0D9880CF"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E922C3D"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38B7EBFD" w14:textId="729762F1" w:rsidR="006322C2" w:rsidRDefault="006322C2" w:rsidP="006322C2">
            <w:pPr>
              <w:tabs>
                <w:tab w:val="decimal" w:pos="609"/>
              </w:tabs>
              <w:jc w:val="left"/>
              <w:rPr>
                <w:color w:val="000000"/>
                <w:sz w:val="16"/>
                <w:szCs w:val="16"/>
              </w:rPr>
            </w:pPr>
            <w:r>
              <w:rPr>
                <w:color w:val="000000"/>
                <w:sz w:val="16"/>
                <w:szCs w:val="16"/>
              </w:rPr>
              <w:t>-5.0</w:t>
            </w:r>
          </w:p>
        </w:tc>
        <w:tc>
          <w:tcPr>
            <w:tcW w:w="547" w:type="pct"/>
            <w:shd w:val="clear" w:color="auto" w:fill="auto"/>
            <w:vAlign w:val="center"/>
          </w:tcPr>
          <w:p w14:paraId="02E51BDC" w14:textId="1E93EF50" w:rsidR="006322C2" w:rsidRDefault="006322C2" w:rsidP="006322C2">
            <w:pPr>
              <w:tabs>
                <w:tab w:val="decimal" w:pos="540"/>
              </w:tabs>
              <w:jc w:val="left"/>
              <w:rPr>
                <w:color w:val="000000"/>
                <w:sz w:val="16"/>
                <w:szCs w:val="16"/>
              </w:rPr>
            </w:pPr>
            <w:r>
              <w:rPr>
                <w:color w:val="000000"/>
                <w:sz w:val="16"/>
                <w:szCs w:val="16"/>
              </w:rPr>
              <w:t>1.6</w:t>
            </w:r>
          </w:p>
        </w:tc>
        <w:tc>
          <w:tcPr>
            <w:tcW w:w="545" w:type="pct"/>
            <w:tcBorders>
              <w:right w:val="single" w:sz="8" w:space="0" w:color="948A54"/>
            </w:tcBorders>
            <w:shd w:val="clear" w:color="auto" w:fill="auto"/>
            <w:vAlign w:val="center"/>
          </w:tcPr>
          <w:p w14:paraId="2A6A7D52" w14:textId="27743B13" w:rsidR="006322C2" w:rsidRDefault="006322C2" w:rsidP="006322C2">
            <w:pPr>
              <w:tabs>
                <w:tab w:val="decimal" w:pos="520"/>
              </w:tabs>
              <w:jc w:val="left"/>
              <w:rPr>
                <w:color w:val="000000"/>
                <w:sz w:val="16"/>
                <w:szCs w:val="16"/>
              </w:rPr>
            </w:pPr>
            <w:r>
              <w:rPr>
                <w:color w:val="000000"/>
                <w:sz w:val="16"/>
                <w:szCs w:val="16"/>
              </w:rPr>
              <w:t>4.7</w:t>
            </w:r>
          </w:p>
        </w:tc>
      </w:tr>
      <w:tr w:rsidR="006322C2" w:rsidRPr="00E34826" w14:paraId="33D7794F"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5CA02DB2"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0805FFCD" w14:textId="4369C023" w:rsidR="006322C2" w:rsidRDefault="006322C2" w:rsidP="006322C2">
            <w:pPr>
              <w:tabs>
                <w:tab w:val="decimal" w:pos="609"/>
              </w:tabs>
              <w:jc w:val="left"/>
              <w:rPr>
                <w:sz w:val="16"/>
                <w:szCs w:val="16"/>
              </w:rPr>
            </w:pPr>
            <w:r>
              <w:rPr>
                <w:sz w:val="16"/>
                <w:szCs w:val="16"/>
              </w:rPr>
              <w:t>11.9</w:t>
            </w:r>
          </w:p>
        </w:tc>
        <w:tc>
          <w:tcPr>
            <w:tcW w:w="550" w:type="pct"/>
            <w:shd w:val="clear" w:color="auto" w:fill="DDD9C3"/>
            <w:noWrap/>
            <w:vAlign w:val="center"/>
          </w:tcPr>
          <w:p w14:paraId="693311CB" w14:textId="60EA12CF" w:rsidR="006322C2" w:rsidRDefault="006322C2" w:rsidP="006322C2">
            <w:pPr>
              <w:tabs>
                <w:tab w:val="decimal" w:pos="503"/>
              </w:tabs>
              <w:jc w:val="left"/>
              <w:rPr>
                <w:sz w:val="16"/>
                <w:szCs w:val="16"/>
              </w:rPr>
            </w:pPr>
            <w:r>
              <w:rPr>
                <w:sz w:val="16"/>
                <w:szCs w:val="16"/>
              </w:rPr>
              <w:t>0.8</w:t>
            </w:r>
          </w:p>
        </w:tc>
        <w:tc>
          <w:tcPr>
            <w:tcW w:w="550" w:type="pct"/>
            <w:tcBorders>
              <w:right w:val="single" w:sz="8" w:space="0" w:color="948A54"/>
            </w:tcBorders>
            <w:shd w:val="clear" w:color="auto" w:fill="DDD9C3"/>
            <w:noWrap/>
            <w:vAlign w:val="center"/>
          </w:tcPr>
          <w:p w14:paraId="673E8D08" w14:textId="53C2A3F1" w:rsidR="006322C2" w:rsidRPr="00116F60" w:rsidRDefault="006322C2" w:rsidP="006322C2">
            <w:pPr>
              <w:tabs>
                <w:tab w:val="decimal" w:pos="503"/>
              </w:tabs>
              <w:jc w:val="left"/>
              <w:rPr>
                <w:color w:val="000000"/>
                <w:sz w:val="16"/>
                <w:szCs w:val="16"/>
              </w:rPr>
            </w:pPr>
            <w:r>
              <w:rPr>
                <w:sz w:val="16"/>
                <w:szCs w:val="16"/>
              </w:rPr>
              <w:t>8.1</w:t>
            </w:r>
          </w:p>
        </w:tc>
        <w:tc>
          <w:tcPr>
            <w:tcW w:w="87" w:type="pct"/>
            <w:tcBorders>
              <w:left w:val="single" w:sz="8" w:space="0" w:color="948A54"/>
              <w:right w:val="single" w:sz="8" w:space="0" w:color="948A54"/>
            </w:tcBorders>
            <w:shd w:val="clear" w:color="auto" w:fill="auto"/>
            <w:noWrap/>
            <w:vAlign w:val="center"/>
            <w:hideMark/>
          </w:tcPr>
          <w:p w14:paraId="65B56883"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B77460C"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29C7401C" w14:textId="106B469B" w:rsidR="006322C2" w:rsidRDefault="006322C2" w:rsidP="006322C2">
            <w:pPr>
              <w:tabs>
                <w:tab w:val="decimal" w:pos="609"/>
              </w:tabs>
              <w:jc w:val="left"/>
              <w:rPr>
                <w:color w:val="000000"/>
                <w:sz w:val="16"/>
                <w:szCs w:val="16"/>
              </w:rPr>
            </w:pPr>
            <w:r>
              <w:rPr>
                <w:color w:val="000000"/>
                <w:sz w:val="16"/>
                <w:szCs w:val="16"/>
              </w:rPr>
              <w:t>6.6</w:t>
            </w:r>
          </w:p>
        </w:tc>
        <w:tc>
          <w:tcPr>
            <w:tcW w:w="547" w:type="pct"/>
            <w:shd w:val="clear" w:color="auto" w:fill="DDD9C3"/>
            <w:vAlign w:val="center"/>
          </w:tcPr>
          <w:p w14:paraId="5BF32E7D" w14:textId="211C73DA" w:rsidR="006322C2" w:rsidRDefault="006322C2" w:rsidP="006322C2">
            <w:pPr>
              <w:tabs>
                <w:tab w:val="decimal" w:pos="540"/>
              </w:tabs>
              <w:jc w:val="left"/>
              <w:rPr>
                <w:color w:val="000000"/>
                <w:sz w:val="16"/>
                <w:szCs w:val="16"/>
              </w:rPr>
            </w:pPr>
            <w:r>
              <w:rPr>
                <w:color w:val="000000"/>
                <w:sz w:val="16"/>
                <w:szCs w:val="16"/>
              </w:rPr>
              <w:t>29.0</w:t>
            </w:r>
          </w:p>
        </w:tc>
        <w:tc>
          <w:tcPr>
            <w:tcW w:w="545" w:type="pct"/>
            <w:tcBorders>
              <w:right w:val="single" w:sz="8" w:space="0" w:color="948A54"/>
            </w:tcBorders>
            <w:shd w:val="clear" w:color="auto" w:fill="DDD9C3"/>
            <w:vAlign w:val="center"/>
          </w:tcPr>
          <w:p w14:paraId="1B4B53B8" w14:textId="07202323" w:rsidR="006322C2" w:rsidRDefault="006322C2" w:rsidP="006322C2">
            <w:pPr>
              <w:tabs>
                <w:tab w:val="decimal" w:pos="520"/>
              </w:tabs>
              <w:jc w:val="left"/>
              <w:rPr>
                <w:color w:val="000000"/>
                <w:sz w:val="16"/>
                <w:szCs w:val="16"/>
              </w:rPr>
            </w:pPr>
            <w:r>
              <w:rPr>
                <w:color w:val="000000"/>
                <w:sz w:val="16"/>
                <w:szCs w:val="16"/>
              </w:rPr>
              <w:t>13.7</w:t>
            </w:r>
          </w:p>
        </w:tc>
      </w:tr>
      <w:tr w:rsidR="006322C2" w:rsidRPr="00E34826" w14:paraId="6E9B455F"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6C559FC4"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BDF1AC4" w14:textId="52319596" w:rsidR="006322C2" w:rsidRDefault="006322C2" w:rsidP="006322C2">
            <w:pPr>
              <w:tabs>
                <w:tab w:val="decimal" w:pos="609"/>
              </w:tabs>
              <w:jc w:val="left"/>
              <w:rPr>
                <w:sz w:val="16"/>
                <w:szCs w:val="16"/>
              </w:rPr>
            </w:pPr>
            <w:r>
              <w:rPr>
                <w:sz w:val="16"/>
                <w:szCs w:val="16"/>
              </w:rPr>
              <w:t>0.0</w:t>
            </w:r>
          </w:p>
        </w:tc>
        <w:tc>
          <w:tcPr>
            <w:tcW w:w="550" w:type="pct"/>
            <w:shd w:val="clear" w:color="auto" w:fill="DDD9C3"/>
            <w:noWrap/>
            <w:vAlign w:val="center"/>
          </w:tcPr>
          <w:p w14:paraId="29128EB9" w14:textId="07CB67B9" w:rsidR="006322C2" w:rsidRDefault="006322C2" w:rsidP="006322C2">
            <w:pPr>
              <w:tabs>
                <w:tab w:val="decimal" w:pos="503"/>
              </w:tabs>
              <w:jc w:val="left"/>
              <w:rPr>
                <w:sz w:val="16"/>
                <w:szCs w:val="16"/>
              </w:rPr>
            </w:pPr>
            <w:r>
              <w:rPr>
                <w:sz w:val="16"/>
                <w:szCs w:val="16"/>
              </w:rPr>
              <w:t>10.5</w:t>
            </w:r>
          </w:p>
        </w:tc>
        <w:tc>
          <w:tcPr>
            <w:tcW w:w="550" w:type="pct"/>
            <w:tcBorders>
              <w:right w:val="single" w:sz="8" w:space="0" w:color="948A54"/>
            </w:tcBorders>
            <w:shd w:val="clear" w:color="auto" w:fill="DDD9C3"/>
            <w:noWrap/>
            <w:vAlign w:val="center"/>
          </w:tcPr>
          <w:p w14:paraId="47FA078E" w14:textId="1B0D6CB7" w:rsidR="006322C2" w:rsidRPr="00116F60" w:rsidRDefault="006322C2" w:rsidP="006322C2">
            <w:pPr>
              <w:tabs>
                <w:tab w:val="decimal" w:pos="503"/>
              </w:tabs>
              <w:jc w:val="left"/>
              <w:rPr>
                <w:color w:val="000000"/>
                <w:sz w:val="16"/>
                <w:szCs w:val="16"/>
              </w:rPr>
            </w:pPr>
            <w:r>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5E009CD7"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8DBE2B"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50C55E32" w14:textId="0BED7394" w:rsidR="006322C2" w:rsidRDefault="006322C2" w:rsidP="006322C2">
            <w:pPr>
              <w:tabs>
                <w:tab w:val="decimal" w:pos="609"/>
              </w:tabs>
              <w:jc w:val="left"/>
              <w:rPr>
                <w:color w:val="000000"/>
                <w:sz w:val="16"/>
                <w:szCs w:val="16"/>
              </w:rPr>
            </w:pPr>
            <w:r>
              <w:rPr>
                <w:color w:val="000000"/>
                <w:sz w:val="16"/>
                <w:szCs w:val="16"/>
              </w:rPr>
              <w:t>-13.4</w:t>
            </w:r>
          </w:p>
        </w:tc>
        <w:tc>
          <w:tcPr>
            <w:tcW w:w="547" w:type="pct"/>
            <w:shd w:val="clear" w:color="auto" w:fill="DDD9C3"/>
            <w:vAlign w:val="center"/>
          </w:tcPr>
          <w:p w14:paraId="3EBB978E" w14:textId="1A78BB7A" w:rsidR="006322C2" w:rsidRDefault="006322C2" w:rsidP="006322C2">
            <w:pPr>
              <w:tabs>
                <w:tab w:val="decimal" w:pos="540"/>
              </w:tabs>
              <w:jc w:val="left"/>
              <w:rPr>
                <w:color w:val="000000"/>
                <w:sz w:val="16"/>
                <w:szCs w:val="16"/>
              </w:rPr>
            </w:pPr>
            <w:r>
              <w:rPr>
                <w:color w:val="000000"/>
                <w:sz w:val="16"/>
                <w:szCs w:val="16"/>
              </w:rPr>
              <w:t>9.2</w:t>
            </w:r>
          </w:p>
        </w:tc>
        <w:tc>
          <w:tcPr>
            <w:tcW w:w="545" w:type="pct"/>
            <w:tcBorders>
              <w:right w:val="single" w:sz="8" w:space="0" w:color="948A54"/>
            </w:tcBorders>
            <w:shd w:val="clear" w:color="auto" w:fill="DDD9C3"/>
            <w:vAlign w:val="center"/>
          </w:tcPr>
          <w:p w14:paraId="3DB1F1EF" w14:textId="00659051" w:rsidR="006322C2" w:rsidRDefault="006322C2" w:rsidP="006322C2">
            <w:pPr>
              <w:tabs>
                <w:tab w:val="decimal" w:pos="520"/>
              </w:tabs>
              <w:jc w:val="left"/>
              <w:rPr>
                <w:color w:val="000000"/>
                <w:sz w:val="16"/>
                <w:szCs w:val="16"/>
              </w:rPr>
            </w:pPr>
            <w:r>
              <w:rPr>
                <w:color w:val="000000"/>
                <w:sz w:val="16"/>
                <w:szCs w:val="16"/>
              </w:rPr>
              <w:t>0.4</w:t>
            </w:r>
          </w:p>
        </w:tc>
      </w:tr>
      <w:tr w:rsidR="006322C2" w:rsidRPr="00E34826" w14:paraId="77D1B047"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55C14EC3"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73F7756A" w14:textId="29B57FE2" w:rsidR="006322C2" w:rsidRDefault="006322C2" w:rsidP="006322C2">
            <w:pPr>
              <w:tabs>
                <w:tab w:val="decimal" w:pos="609"/>
              </w:tabs>
              <w:jc w:val="left"/>
              <w:rPr>
                <w:sz w:val="16"/>
                <w:szCs w:val="16"/>
              </w:rPr>
            </w:pPr>
            <w:r>
              <w:rPr>
                <w:sz w:val="16"/>
                <w:szCs w:val="16"/>
              </w:rPr>
              <w:t>6.3</w:t>
            </w:r>
          </w:p>
        </w:tc>
        <w:tc>
          <w:tcPr>
            <w:tcW w:w="550" w:type="pct"/>
            <w:shd w:val="clear" w:color="auto" w:fill="auto"/>
            <w:noWrap/>
            <w:vAlign w:val="center"/>
          </w:tcPr>
          <w:p w14:paraId="776056E5" w14:textId="6524D46F" w:rsidR="006322C2" w:rsidRDefault="006322C2" w:rsidP="006322C2">
            <w:pPr>
              <w:tabs>
                <w:tab w:val="decimal" w:pos="503"/>
              </w:tabs>
              <w:jc w:val="left"/>
              <w:rPr>
                <w:sz w:val="16"/>
                <w:szCs w:val="16"/>
              </w:rPr>
            </w:pPr>
            <w:r>
              <w:rPr>
                <w:sz w:val="16"/>
                <w:szCs w:val="16"/>
              </w:rPr>
              <w:t>9.4</w:t>
            </w:r>
          </w:p>
        </w:tc>
        <w:tc>
          <w:tcPr>
            <w:tcW w:w="550" w:type="pct"/>
            <w:tcBorders>
              <w:right w:val="single" w:sz="8" w:space="0" w:color="948A54"/>
            </w:tcBorders>
            <w:shd w:val="clear" w:color="auto" w:fill="auto"/>
            <w:noWrap/>
            <w:vAlign w:val="center"/>
          </w:tcPr>
          <w:p w14:paraId="45F284E7" w14:textId="1EA7BA04" w:rsidR="006322C2" w:rsidRPr="00116F60" w:rsidRDefault="006322C2" w:rsidP="006322C2">
            <w:pPr>
              <w:tabs>
                <w:tab w:val="decimal" w:pos="503"/>
              </w:tabs>
              <w:jc w:val="left"/>
              <w:rPr>
                <w:color w:val="000000"/>
                <w:sz w:val="16"/>
                <w:szCs w:val="16"/>
              </w:rPr>
            </w:pPr>
            <w:r>
              <w:rPr>
                <w:sz w:val="16"/>
                <w:szCs w:val="16"/>
              </w:rPr>
              <w:t>6.0</w:t>
            </w:r>
          </w:p>
        </w:tc>
        <w:tc>
          <w:tcPr>
            <w:tcW w:w="87" w:type="pct"/>
            <w:tcBorders>
              <w:left w:val="single" w:sz="8" w:space="0" w:color="948A54"/>
              <w:right w:val="single" w:sz="8" w:space="0" w:color="948A54"/>
            </w:tcBorders>
            <w:shd w:val="clear" w:color="auto" w:fill="auto"/>
            <w:noWrap/>
            <w:vAlign w:val="center"/>
            <w:hideMark/>
          </w:tcPr>
          <w:p w14:paraId="03E1798C"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C00AB59"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40BA7E14" w14:textId="5EED333E" w:rsidR="006322C2" w:rsidRDefault="006322C2" w:rsidP="006322C2">
            <w:pPr>
              <w:tabs>
                <w:tab w:val="decimal" w:pos="609"/>
              </w:tabs>
              <w:jc w:val="left"/>
              <w:rPr>
                <w:color w:val="000000"/>
                <w:sz w:val="16"/>
                <w:szCs w:val="16"/>
              </w:rPr>
            </w:pPr>
            <w:r>
              <w:rPr>
                <w:color w:val="000000"/>
                <w:sz w:val="16"/>
                <w:szCs w:val="16"/>
              </w:rPr>
              <w:t>6.2</w:t>
            </w:r>
          </w:p>
        </w:tc>
        <w:tc>
          <w:tcPr>
            <w:tcW w:w="547" w:type="pct"/>
            <w:shd w:val="clear" w:color="auto" w:fill="auto"/>
            <w:vAlign w:val="center"/>
          </w:tcPr>
          <w:p w14:paraId="4D838BC6" w14:textId="73CE6D80" w:rsidR="006322C2" w:rsidRDefault="006322C2" w:rsidP="006322C2">
            <w:pPr>
              <w:tabs>
                <w:tab w:val="decimal" w:pos="540"/>
              </w:tabs>
              <w:jc w:val="left"/>
              <w:rPr>
                <w:color w:val="000000"/>
                <w:sz w:val="16"/>
                <w:szCs w:val="16"/>
              </w:rPr>
            </w:pPr>
            <w:r>
              <w:rPr>
                <w:color w:val="000000"/>
                <w:sz w:val="16"/>
                <w:szCs w:val="16"/>
              </w:rPr>
              <w:t>12.7</w:t>
            </w:r>
          </w:p>
        </w:tc>
        <w:tc>
          <w:tcPr>
            <w:tcW w:w="545" w:type="pct"/>
            <w:tcBorders>
              <w:right w:val="single" w:sz="8" w:space="0" w:color="948A54"/>
            </w:tcBorders>
            <w:shd w:val="clear" w:color="auto" w:fill="auto"/>
            <w:vAlign w:val="center"/>
          </w:tcPr>
          <w:p w14:paraId="4A9601D9" w14:textId="614AAC61" w:rsidR="006322C2" w:rsidRDefault="006322C2" w:rsidP="006322C2">
            <w:pPr>
              <w:tabs>
                <w:tab w:val="decimal" w:pos="520"/>
              </w:tabs>
              <w:jc w:val="left"/>
              <w:rPr>
                <w:color w:val="000000"/>
                <w:sz w:val="16"/>
                <w:szCs w:val="16"/>
              </w:rPr>
            </w:pPr>
            <w:r>
              <w:rPr>
                <w:color w:val="000000"/>
                <w:sz w:val="16"/>
                <w:szCs w:val="16"/>
              </w:rPr>
              <w:t>1.0</w:t>
            </w:r>
          </w:p>
        </w:tc>
      </w:tr>
      <w:tr w:rsidR="006322C2" w:rsidRPr="00E34826" w14:paraId="632A7B0B"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42649AD0"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89403B1" w14:textId="1439232C" w:rsidR="006322C2" w:rsidRDefault="006322C2" w:rsidP="006322C2">
            <w:pPr>
              <w:tabs>
                <w:tab w:val="decimal" w:pos="609"/>
              </w:tabs>
              <w:jc w:val="left"/>
              <w:rPr>
                <w:sz w:val="16"/>
                <w:szCs w:val="16"/>
              </w:rPr>
            </w:pPr>
            <w:r>
              <w:rPr>
                <w:sz w:val="16"/>
                <w:szCs w:val="16"/>
              </w:rPr>
              <w:t>10.2</w:t>
            </w:r>
          </w:p>
        </w:tc>
        <w:tc>
          <w:tcPr>
            <w:tcW w:w="550" w:type="pct"/>
            <w:shd w:val="clear" w:color="auto" w:fill="auto"/>
            <w:noWrap/>
            <w:vAlign w:val="center"/>
          </w:tcPr>
          <w:p w14:paraId="515E66E1" w14:textId="7A1604A0" w:rsidR="006322C2" w:rsidRDefault="006322C2" w:rsidP="006322C2">
            <w:pPr>
              <w:tabs>
                <w:tab w:val="decimal" w:pos="503"/>
              </w:tabs>
              <w:jc w:val="left"/>
              <w:rPr>
                <w:sz w:val="16"/>
                <w:szCs w:val="16"/>
              </w:rPr>
            </w:pPr>
            <w:r>
              <w:rPr>
                <w:sz w:val="16"/>
                <w:szCs w:val="16"/>
              </w:rPr>
              <w:t>2.1</w:t>
            </w:r>
          </w:p>
        </w:tc>
        <w:tc>
          <w:tcPr>
            <w:tcW w:w="550" w:type="pct"/>
            <w:tcBorders>
              <w:right w:val="single" w:sz="8" w:space="0" w:color="948A54"/>
            </w:tcBorders>
            <w:shd w:val="clear" w:color="auto" w:fill="auto"/>
            <w:noWrap/>
            <w:vAlign w:val="center"/>
          </w:tcPr>
          <w:p w14:paraId="2D9DADD1" w14:textId="093E082B" w:rsidR="006322C2" w:rsidRPr="00116F60" w:rsidRDefault="006322C2" w:rsidP="006322C2">
            <w:pPr>
              <w:tabs>
                <w:tab w:val="decimal" w:pos="503"/>
              </w:tabs>
              <w:jc w:val="left"/>
              <w:rPr>
                <w:color w:val="000000"/>
                <w:sz w:val="16"/>
                <w:szCs w:val="16"/>
              </w:rPr>
            </w:pPr>
            <w:r>
              <w:rPr>
                <w:sz w:val="16"/>
                <w:szCs w:val="16"/>
              </w:rPr>
              <w:t>2.0</w:t>
            </w:r>
          </w:p>
        </w:tc>
        <w:tc>
          <w:tcPr>
            <w:tcW w:w="87" w:type="pct"/>
            <w:tcBorders>
              <w:left w:val="single" w:sz="8" w:space="0" w:color="948A54"/>
              <w:right w:val="single" w:sz="8" w:space="0" w:color="948A54"/>
            </w:tcBorders>
            <w:shd w:val="clear" w:color="auto" w:fill="auto"/>
            <w:noWrap/>
            <w:vAlign w:val="center"/>
            <w:hideMark/>
          </w:tcPr>
          <w:p w14:paraId="1521E9DE"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115B34D"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488C8004" w14:textId="61094921" w:rsidR="006322C2" w:rsidRDefault="006322C2" w:rsidP="006322C2">
            <w:pPr>
              <w:tabs>
                <w:tab w:val="decimal" w:pos="609"/>
              </w:tabs>
              <w:jc w:val="left"/>
              <w:rPr>
                <w:color w:val="000000"/>
                <w:sz w:val="16"/>
                <w:szCs w:val="16"/>
              </w:rPr>
            </w:pPr>
            <w:r>
              <w:rPr>
                <w:color w:val="000000"/>
                <w:sz w:val="16"/>
                <w:szCs w:val="16"/>
              </w:rPr>
              <w:t>15.2</w:t>
            </w:r>
          </w:p>
        </w:tc>
        <w:tc>
          <w:tcPr>
            <w:tcW w:w="547" w:type="pct"/>
            <w:shd w:val="clear" w:color="auto" w:fill="auto"/>
            <w:vAlign w:val="center"/>
          </w:tcPr>
          <w:p w14:paraId="5117FAA2" w14:textId="196FEA1C" w:rsidR="006322C2" w:rsidRDefault="006322C2" w:rsidP="006322C2">
            <w:pPr>
              <w:tabs>
                <w:tab w:val="decimal" w:pos="540"/>
              </w:tabs>
              <w:jc w:val="left"/>
              <w:rPr>
                <w:color w:val="000000"/>
                <w:sz w:val="16"/>
                <w:szCs w:val="16"/>
              </w:rPr>
            </w:pPr>
            <w:r>
              <w:rPr>
                <w:color w:val="000000"/>
                <w:sz w:val="16"/>
                <w:szCs w:val="16"/>
              </w:rPr>
              <w:t>5.4</w:t>
            </w:r>
          </w:p>
        </w:tc>
        <w:tc>
          <w:tcPr>
            <w:tcW w:w="545" w:type="pct"/>
            <w:tcBorders>
              <w:right w:val="single" w:sz="8" w:space="0" w:color="948A54"/>
            </w:tcBorders>
            <w:shd w:val="clear" w:color="auto" w:fill="auto"/>
            <w:vAlign w:val="center"/>
          </w:tcPr>
          <w:p w14:paraId="1FF7093F" w14:textId="2254AC8E" w:rsidR="006322C2" w:rsidRDefault="006322C2" w:rsidP="006322C2">
            <w:pPr>
              <w:tabs>
                <w:tab w:val="decimal" w:pos="520"/>
              </w:tabs>
              <w:jc w:val="left"/>
              <w:rPr>
                <w:color w:val="000000"/>
                <w:sz w:val="16"/>
                <w:szCs w:val="16"/>
              </w:rPr>
            </w:pPr>
            <w:r>
              <w:rPr>
                <w:color w:val="000000"/>
                <w:sz w:val="16"/>
                <w:szCs w:val="16"/>
              </w:rPr>
              <w:t>-1.0</w:t>
            </w:r>
          </w:p>
        </w:tc>
      </w:tr>
      <w:tr w:rsidR="006322C2" w:rsidRPr="00E34826" w14:paraId="43A9835B"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6FBF47EF"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18378E18" w14:textId="4DF9EB6F" w:rsidR="006322C2" w:rsidRDefault="006322C2" w:rsidP="006322C2">
            <w:pPr>
              <w:tabs>
                <w:tab w:val="decimal" w:pos="609"/>
              </w:tabs>
              <w:jc w:val="left"/>
              <w:rPr>
                <w:sz w:val="16"/>
                <w:szCs w:val="16"/>
              </w:rPr>
            </w:pPr>
            <w:r>
              <w:rPr>
                <w:sz w:val="16"/>
                <w:szCs w:val="16"/>
              </w:rPr>
              <w:t>-13.5</w:t>
            </w:r>
          </w:p>
        </w:tc>
        <w:tc>
          <w:tcPr>
            <w:tcW w:w="550" w:type="pct"/>
            <w:shd w:val="clear" w:color="auto" w:fill="DDD9C3"/>
            <w:noWrap/>
            <w:vAlign w:val="center"/>
          </w:tcPr>
          <w:p w14:paraId="2652E259" w14:textId="681FF273" w:rsidR="006322C2" w:rsidRDefault="006322C2" w:rsidP="006322C2">
            <w:pPr>
              <w:tabs>
                <w:tab w:val="decimal" w:pos="503"/>
              </w:tabs>
              <w:jc w:val="left"/>
              <w:rPr>
                <w:sz w:val="16"/>
                <w:szCs w:val="16"/>
              </w:rPr>
            </w:pPr>
            <w:r>
              <w:rPr>
                <w:sz w:val="16"/>
                <w:szCs w:val="16"/>
              </w:rPr>
              <w:t>6.8</w:t>
            </w:r>
          </w:p>
        </w:tc>
        <w:tc>
          <w:tcPr>
            <w:tcW w:w="550" w:type="pct"/>
            <w:tcBorders>
              <w:right w:val="single" w:sz="8" w:space="0" w:color="948A54"/>
            </w:tcBorders>
            <w:shd w:val="clear" w:color="auto" w:fill="DDD9C3"/>
            <w:noWrap/>
            <w:vAlign w:val="center"/>
          </w:tcPr>
          <w:p w14:paraId="54C22994" w14:textId="55AF0B5D" w:rsidR="006322C2" w:rsidRPr="00116F60" w:rsidRDefault="006322C2" w:rsidP="006322C2">
            <w:pPr>
              <w:tabs>
                <w:tab w:val="decimal" w:pos="503"/>
              </w:tabs>
              <w:jc w:val="left"/>
              <w:rPr>
                <w:color w:val="000000"/>
                <w:sz w:val="16"/>
                <w:szCs w:val="16"/>
              </w:rPr>
            </w:pPr>
            <w:r>
              <w:rPr>
                <w:sz w:val="16"/>
                <w:szCs w:val="16"/>
              </w:rPr>
              <w:t>4.9</w:t>
            </w:r>
          </w:p>
        </w:tc>
        <w:tc>
          <w:tcPr>
            <w:tcW w:w="87" w:type="pct"/>
            <w:tcBorders>
              <w:left w:val="single" w:sz="8" w:space="0" w:color="948A54"/>
              <w:right w:val="single" w:sz="8" w:space="0" w:color="948A54"/>
            </w:tcBorders>
            <w:shd w:val="clear" w:color="auto" w:fill="auto"/>
            <w:noWrap/>
            <w:vAlign w:val="center"/>
            <w:hideMark/>
          </w:tcPr>
          <w:p w14:paraId="37C1E3EA"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45156FC"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5F82C641" w14:textId="4F201B77" w:rsidR="006322C2" w:rsidRDefault="006322C2" w:rsidP="006322C2">
            <w:pPr>
              <w:tabs>
                <w:tab w:val="decimal" w:pos="609"/>
              </w:tabs>
              <w:jc w:val="left"/>
              <w:rPr>
                <w:color w:val="000000"/>
                <w:sz w:val="16"/>
                <w:szCs w:val="16"/>
              </w:rPr>
            </w:pPr>
            <w:r>
              <w:rPr>
                <w:color w:val="000000"/>
                <w:sz w:val="16"/>
                <w:szCs w:val="16"/>
              </w:rPr>
              <w:t>-15.7</w:t>
            </w:r>
          </w:p>
        </w:tc>
        <w:tc>
          <w:tcPr>
            <w:tcW w:w="547" w:type="pct"/>
            <w:shd w:val="clear" w:color="auto" w:fill="DDD9C3"/>
            <w:vAlign w:val="center"/>
          </w:tcPr>
          <w:p w14:paraId="36FC9B1C" w14:textId="7B8FD300" w:rsidR="006322C2" w:rsidRDefault="006322C2" w:rsidP="006322C2">
            <w:pPr>
              <w:tabs>
                <w:tab w:val="decimal" w:pos="540"/>
              </w:tabs>
              <w:jc w:val="left"/>
              <w:rPr>
                <w:color w:val="000000"/>
                <w:sz w:val="16"/>
                <w:szCs w:val="16"/>
              </w:rPr>
            </w:pPr>
            <w:r>
              <w:rPr>
                <w:color w:val="000000"/>
                <w:sz w:val="16"/>
                <w:szCs w:val="16"/>
              </w:rPr>
              <w:t>10.5</w:t>
            </w:r>
          </w:p>
        </w:tc>
        <w:tc>
          <w:tcPr>
            <w:tcW w:w="545" w:type="pct"/>
            <w:tcBorders>
              <w:right w:val="single" w:sz="8" w:space="0" w:color="948A54"/>
            </w:tcBorders>
            <w:shd w:val="clear" w:color="auto" w:fill="DDD9C3"/>
            <w:vAlign w:val="center"/>
          </w:tcPr>
          <w:p w14:paraId="13D73F71" w14:textId="7E30743C" w:rsidR="006322C2" w:rsidRDefault="006322C2" w:rsidP="006322C2">
            <w:pPr>
              <w:tabs>
                <w:tab w:val="decimal" w:pos="520"/>
              </w:tabs>
              <w:jc w:val="left"/>
              <w:rPr>
                <w:color w:val="000000"/>
                <w:sz w:val="16"/>
                <w:szCs w:val="16"/>
              </w:rPr>
            </w:pPr>
            <w:r>
              <w:rPr>
                <w:color w:val="000000"/>
                <w:sz w:val="16"/>
                <w:szCs w:val="16"/>
              </w:rPr>
              <w:t>3.5</w:t>
            </w:r>
          </w:p>
        </w:tc>
      </w:tr>
      <w:tr w:rsidR="006322C2" w:rsidRPr="00E34826" w14:paraId="65E1F68C"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59210177"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6242100A" w14:textId="276C2F75" w:rsidR="006322C2" w:rsidRDefault="006322C2" w:rsidP="006322C2">
            <w:pPr>
              <w:tabs>
                <w:tab w:val="decimal" w:pos="609"/>
              </w:tabs>
              <w:jc w:val="left"/>
              <w:rPr>
                <w:sz w:val="16"/>
                <w:szCs w:val="16"/>
              </w:rPr>
            </w:pPr>
            <w:r>
              <w:rPr>
                <w:sz w:val="16"/>
                <w:szCs w:val="16"/>
              </w:rPr>
              <w:t>-0.2</w:t>
            </w:r>
          </w:p>
        </w:tc>
        <w:tc>
          <w:tcPr>
            <w:tcW w:w="550" w:type="pct"/>
            <w:shd w:val="clear" w:color="auto" w:fill="DDD9C3"/>
            <w:noWrap/>
            <w:vAlign w:val="center"/>
          </w:tcPr>
          <w:p w14:paraId="1B6E395C" w14:textId="5A312FB4" w:rsidR="006322C2" w:rsidRDefault="006322C2" w:rsidP="006322C2">
            <w:pPr>
              <w:tabs>
                <w:tab w:val="decimal" w:pos="503"/>
              </w:tabs>
              <w:jc w:val="left"/>
              <w:rPr>
                <w:sz w:val="16"/>
                <w:szCs w:val="16"/>
              </w:rPr>
            </w:pPr>
            <w:r>
              <w:rPr>
                <w:sz w:val="16"/>
                <w:szCs w:val="16"/>
              </w:rPr>
              <w:t>-0.9</w:t>
            </w:r>
          </w:p>
        </w:tc>
        <w:tc>
          <w:tcPr>
            <w:tcW w:w="550" w:type="pct"/>
            <w:tcBorders>
              <w:right w:val="single" w:sz="8" w:space="0" w:color="948A54"/>
            </w:tcBorders>
            <w:shd w:val="clear" w:color="auto" w:fill="DDD9C3"/>
            <w:noWrap/>
            <w:vAlign w:val="center"/>
          </w:tcPr>
          <w:p w14:paraId="6E9B3D36" w14:textId="124481B7" w:rsidR="006322C2" w:rsidRPr="00116F60" w:rsidRDefault="006322C2" w:rsidP="006322C2">
            <w:pPr>
              <w:tabs>
                <w:tab w:val="decimal" w:pos="503"/>
              </w:tabs>
              <w:jc w:val="left"/>
              <w:rPr>
                <w:color w:val="000000"/>
                <w:sz w:val="16"/>
                <w:szCs w:val="16"/>
              </w:rPr>
            </w:pPr>
            <w:r>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548822B3"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5A7FE07"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18C91395" w14:textId="1BC087ED" w:rsidR="006322C2" w:rsidRDefault="006322C2" w:rsidP="006322C2">
            <w:pPr>
              <w:tabs>
                <w:tab w:val="decimal" w:pos="609"/>
              </w:tabs>
              <w:jc w:val="left"/>
              <w:rPr>
                <w:color w:val="000000"/>
                <w:sz w:val="16"/>
                <w:szCs w:val="16"/>
              </w:rPr>
            </w:pPr>
            <w:r>
              <w:rPr>
                <w:color w:val="000000"/>
                <w:sz w:val="16"/>
                <w:szCs w:val="16"/>
              </w:rPr>
              <w:t>2.9</w:t>
            </w:r>
          </w:p>
        </w:tc>
        <w:tc>
          <w:tcPr>
            <w:tcW w:w="547" w:type="pct"/>
            <w:shd w:val="clear" w:color="auto" w:fill="DDD9C3"/>
            <w:vAlign w:val="center"/>
          </w:tcPr>
          <w:p w14:paraId="75010814" w14:textId="49EAFB7B" w:rsidR="006322C2" w:rsidRDefault="006322C2" w:rsidP="006322C2">
            <w:pPr>
              <w:tabs>
                <w:tab w:val="decimal" w:pos="540"/>
              </w:tabs>
              <w:jc w:val="left"/>
              <w:rPr>
                <w:color w:val="000000"/>
                <w:sz w:val="16"/>
                <w:szCs w:val="16"/>
              </w:rPr>
            </w:pPr>
            <w:r>
              <w:rPr>
                <w:color w:val="000000"/>
                <w:sz w:val="16"/>
                <w:szCs w:val="16"/>
              </w:rPr>
              <w:t>5.3</w:t>
            </w:r>
          </w:p>
        </w:tc>
        <w:tc>
          <w:tcPr>
            <w:tcW w:w="545" w:type="pct"/>
            <w:tcBorders>
              <w:right w:val="single" w:sz="8" w:space="0" w:color="948A54"/>
            </w:tcBorders>
            <w:shd w:val="clear" w:color="auto" w:fill="DDD9C3"/>
            <w:vAlign w:val="center"/>
          </w:tcPr>
          <w:p w14:paraId="439FD602" w14:textId="63D1034A" w:rsidR="006322C2" w:rsidRDefault="006322C2" w:rsidP="006322C2">
            <w:pPr>
              <w:tabs>
                <w:tab w:val="decimal" w:pos="520"/>
              </w:tabs>
              <w:jc w:val="left"/>
              <w:rPr>
                <w:color w:val="000000"/>
                <w:sz w:val="16"/>
                <w:szCs w:val="16"/>
              </w:rPr>
            </w:pPr>
            <w:r>
              <w:rPr>
                <w:color w:val="000000"/>
                <w:sz w:val="16"/>
                <w:szCs w:val="16"/>
              </w:rPr>
              <w:t>-0.2</w:t>
            </w:r>
          </w:p>
        </w:tc>
      </w:tr>
      <w:tr w:rsidR="006322C2" w:rsidRPr="00E34826" w14:paraId="2F7B1EEF"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28BC4150"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5922557B" w14:textId="163A2221" w:rsidR="006322C2" w:rsidRDefault="006322C2" w:rsidP="006322C2">
            <w:pPr>
              <w:tabs>
                <w:tab w:val="decimal" w:pos="609"/>
              </w:tabs>
              <w:jc w:val="left"/>
              <w:rPr>
                <w:sz w:val="16"/>
                <w:szCs w:val="16"/>
              </w:rPr>
            </w:pPr>
            <w:r>
              <w:rPr>
                <w:sz w:val="16"/>
                <w:szCs w:val="16"/>
              </w:rPr>
              <w:t>-6.6</w:t>
            </w:r>
          </w:p>
        </w:tc>
        <w:tc>
          <w:tcPr>
            <w:tcW w:w="550" w:type="pct"/>
            <w:shd w:val="clear" w:color="auto" w:fill="auto"/>
            <w:noWrap/>
            <w:vAlign w:val="center"/>
          </w:tcPr>
          <w:p w14:paraId="15362B19" w14:textId="4CAFFF4C" w:rsidR="006322C2" w:rsidRDefault="006322C2" w:rsidP="006322C2">
            <w:pPr>
              <w:tabs>
                <w:tab w:val="decimal" w:pos="503"/>
              </w:tabs>
              <w:jc w:val="left"/>
              <w:rPr>
                <w:sz w:val="16"/>
                <w:szCs w:val="16"/>
              </w:rPr>
            </w:pPr>
            <w:r>
              <w:rPr>
                <w:sz w:val="16"/>
                <w:szCs w:val="16"/>
              </w:rPr>
              <w:t>-11.4</w:t>
            </w:r>
          </w:p>
        </w:tc>
        <w:tc>
          <w:tcPr>
            <w:tcW w:w="550" w:type="pct"/>
            <w:tcBorders>
              <w:right w:val="single" w:sz="8" w:space="0" w:color="948A54"/>
            </w:tcBorders>
            <w:shd w:val="clear" w:color="auto" w:fill="auto"/>
            <w:noWrap/>
            <w:vAlign w:val="center"/>
          </w:tcPr>
          <w:p w14:paraId="5A2028A2" w14:textId="7374E18C" w:rsidR="006322C2" w:rsidRPr="00116F60" w:rsidRDefault="006322C2" w:rsidP="006322C2">
            <w:pPr>
              <w:tabs>
                <w:tab w:val="decimal" w:pos="503"/>
              </w:tabs>
              <w:jc w:val="left"/>
              <w:rPr>
                <w:color w:val="000000"/>
                <w:sz w:val="16"/>
                <w:szCs w:val="16"/>
              </w:rPr>
            </w:pPr>
            <w:r>
              <w:rPr>
                <w:sz w:val="16"/>
                <w:szCs w:val="16"/>
              </w:rPr>
              <w:t>-4.2</w:t>
            </w:r>
          </w:p>
        </w:tc>
        <w:tc>
          <w:tcPr>
            <w:tcW w:w="87" w:type="pct"/>
            <w:tcBorders>
              <w:left w:val="single" w:sz="8" w:space="0" w:color="948A54"/>
              <w:right w:val="single" w:sz="8" w:space="0" w:color="948A54"/>
            </w:tcBorders>
            <w:shd w:val="clear" w:color="auto" w:fill="auto"/>
            <w:noWrap/>
            <w:vAlign w:val="center"/>
            <w:hideMark/>
          </w:tcPr>
          <w:p w14:paraId="1EC3C4CB"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7614F79"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4B32C9D8" w14:textId="6F3F8E2C" w:rsidR="006322C2" w:rsidRDefault="006322C2" w:rsidP="006322C2">
            <w:pPr>
              <w:tabs>
                <w:tab w:val="decimal" w:pos="609"/>
              </w:tabs>
              <w:jc w:val="left"/>
              <w:rPr>
                <w:color w:val="000000"/>
                <w:sz w:val="16"/>
                <w:szCs w:val="16"/>
              </w:rPr>
            </w:pPr>
            <w:r>
              <w:rPr>
                <w:color w:val="000000"/>
                <w:sz w:val="16"/>
                <w:szCs w:val="16"/>
              </w:rPr>
              <w:t>-11.1</w:t>
            </w:r>
          </w:p>
        </w:tc>
        <w:tc>
          <w:tcPr>
            <w:tcW w:w="547" w:type="pct"/>
            <w:shd w:val="clear" w:color="auto" w:fill="auto"/>
            <w:vAlign w:val="center"/>
          </w:tcPr>
          <w:p w14:paraId="76764B17" w14:textId="108D1877" w:rsidR="006322C2" w:rsidRDefault="006322C2" w:rsidP="006322C2">
            <w:pPr>
              <w:tabs>
                <w:tab w:val="decimal" w:pos="540"/>
              </w:tabs>
              <w:jc w:val="left"/>
              <w:rPr>
                <w:color w:val="000000"/>
                <w:sz w:val="16"/>
                <w:szCs w:val="16"/>
              </w:rPr>
            </w:pPr>
            <w:r>
              <w:rPr>
                <w:color w:val="000000"/>
                <w:sz w:val="16"/>
                <w:szCs w:val="16"/>
              </w:rPr>
              <w:t>19.6</w:t>
            </w:r>
          </w:p>
        </w:tc>
        <w:tc>
          <w:tcPr>
            <w:tcW w:w="545" w:type="pct"/>
            <w:tcBorders>
              <w:right w:val="single" w:sz="8" w:space="0" w:color="948A54"/>
            </w:tcBorders>
            <w:shd w:val="clear" w:color="auto" w:fill="auto"/>
            <w:vAlign w:val="center"/>
          </w:tcPr>
          <w:p w14:paraId="332BB994" w14:textId="118A136D" w:rsidR="006322C2" w:rsidRDefault="006322C2" w:rsidP="006322C2">
            <w:pPr>
              <w:tabs>
                <w:tab w:val="decimal" w:pos="520"/>
              </w:tabs>
              <w:jc w:val="left"/>
              <w:rPr>
                <w:color w:val="000000"/>
                <w:sz w:val="16"/>
                <w:szCs w:val="16"/>
              </w:rPr>
            </w:pPr>
            <w:r>
              <w:rPr>
                <w:color w:val="000000"/>
                <w:sz w:val="16"/>
                <w:szCs w:val="16"/>
              </w:rPr>
              <w:t>-2.5</w:t>
            </w:r>
          </w:p>
        </w:tc>
      </w:tr>
      <w:tr w:rsidR="006322C2" w:rsidRPr="00E34826" w14:paraId="76509920"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215E8B32"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30EC4DF" w14:textId="52264893" w:rsidR="006322C2" w:rsidRDefault="006322C2" w:rsidP="006322C2">
            <w:pPr>
              <w:tabs>
                <w:tab w:val="decimal" w:pos="609"/>
              </w:tabs>
              <w:jc w:val="left"/>
              <w:rPr>
                <w:sz w:val="16"/>
                <w:szCs w:val="16"/>
              </w:rPr>
            </w:pPr>
            <w:r>
              <w:rPr>
                <w:sz w:val="16"/>
                <w:szCs w:val="16"/>
              </w:rPr>
              <w:t>6.4</w:t>
            </w:r>
          </w:p>
        </w:tc>
        <w:tc>
          <w:tcPr>
            <w:tcW w:w="550" w:type="pct"/>
            <w:shd w:val="clear" w:color="auto" w:fill="auto"/>
            <w:noWrap/>
            <w:vAlign w:val="center"/>
          </w:tcPr>
          <w:p w14:paraId="28A37255" w14:textId="217DA8C1" w:rsidR="006322C2" w:rsidRDefault="006322C2" w:rsidP="006322C2">
            <w:pPr>
              <w:tabs>
                <w:tab w:val="decimal" w:pos="503"/>
              </w:tabs>
              <w:jc w:val="left"/>
              <w:rPr>
                <w:sz w:val="16"/>
                <w:szCs w:val="16"/>
              </w:rPr>
            </w:pPr>
            <w:r>
              <w:rPr>
                <w:sz w:val="16"/>
                <w:szCs w:val="16"/>
              </w:rPr>
              <w:t>5.5</w:t>
            </w:r>
          </w:p>
        </w:tc>
        <w:tc>
          <w:tcPr>
            <w:tcW w:w="550" w:type="pct"/>
            <w:tcBorders>
              <w:right w:val="single" w:sz="8" w:space="0" w:color="948A54"/>
            </w:tcBorders>
            <w:shd w:val="clear" w:color="auto" w:fill="auto"/>
            <w:noWrap/>
            <w:vAlign w:val="center"/>
          </w:tcPr>
          <w:p w14:paraId="2166001F" w14:textId="137E1023" w:rsidR="006322C2" w:rsidRPr="00116F60" w:rsidRDefault="006322C2" w:rsidP="006322C2">
            <w:pPr>
              <w:tabs>
                <w:tab w:val="decimal" w:pos="503"/>
              </w:tabs>
              <w:jc w:val="left"/>
              <w:rPr>
                <w:color w:val="000000"/>
                <w:sz w:val="16"/>
                <w:szCs w:val="16"/>
              </w:rPr>
            </w:pPr>
            <w:r>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611F658C"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C87A639"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B007D92" w14:textId="26C3962E" w:rsidR="006322C2" w:rsidRDefault="006322C2" w:rsidP="006322C2">
            <w:pPr>
              <w:tabs>
                <w:tab w:val="decimal" w:pos="609"/>
              </w:tabs>
              <w:jc w:val="left"/>
              <w:rPr>
                <w:color w:val="000000"/>
                <w:sz w:val="16"/>
                <w:szCs w:val="16"/>
              </w:rPr>
            </w:pPr>
            <w:r>
              <w:rPr>
                <w:color w:val="000000"/>
                <w:sz w:val="16"/>
                <w:szCs w:val="16"/>
              </w:rPr>
              <w:t>5.7</w:t>
            </w:r>
          </w:p>
        </w:tc>
        <w:tc>
          <w:tcPr>
            <w:tcW w:w="547" w:type="pct"/>
            <w:shd w:val="clear" w:color="auto" w:fill="auto"/>
            <w:vAlign w:val="center"/>
          </w:tcPr>
          <w:p w14:paraId="6CDE31F6" w14:textId="1AFF6ADE" w:rsidR="006322C2" w:rsidRDefault="006322C2" w:rsidP="006322C2">
            <w:pPr>
              <w:tabs>
                <w:tab w:val="decimal" w:pos="540"/>
              </w:tabs>
              <w:jc w:val="left"/>
              <w:rPr>
                <w:color w:val="000000"/>
                <w:sz w:val="16"/>
                <w:szCs w:val="16"/>
              </w:rPr>
            </w:pPr>
            <w:r>
              <w:rPr>
                <w:color w:val="000000"/>
                <w:sz w:val="16"/>
                <w:szCs w:val="16"/>
              </w:rPr>
              <w:t>5.3</w:t>
            </w:r>
          </w:p>
        </w:tc>
        <w:tc>
          <w:tcPr>
            <w:tcW w:w="545" w:type="pct"/>
            <w:tcBorders>
              <w:right w:val="single" w:sz="8" w:space="0" w:color="948A54"/>
            </w:tcBorders>
            <w:shd w:val="clear" w:color="auto" w:fill="auto"/>
            <w:vAlign w:val="center"/>
          </w:tcPr>
          <w:p w14:paraId="232FA819" w14:textId="2A520D6A" w:rsidR="006322C2" w:rsidRDefault="006322C2" w:rsidP="006322C2">
            <w:pPr>
              <w:tabs>
                <w:tab w:val="decimal" w:pos="520"/>
              </w:tabs>
              <w:jc w:val="left"/>
              <w:rPr>
                <w:color w:val="000000"/>
                <w:sz w:val="16"/>
                <w:szCs w:val="16"/>
              </w:rPr>
            </w:pPr>
            <w:r>
              <w:rPr>
                <w:color w:val="000000"/>
                <w:sz w:val="16"/>
                <w:szCs w:val="16"/>
              </w:rPr>
              <w:t>6.6</w:t>
            </w:r>
          </w:p>
        </w:tc>
      </w:tr>
      <w:tr w:rsidR="006322C2" w:rsidRPr="00E34826" w14:paraId="271F9F8A"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0D0F5CDC"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16A1DB2" w14:textId="6BF35097" w:rsidR="006322C2" w:rsidRDefault="006322C2" w:rsidP="006322C2">
            <w:pPr>
              <w:tabs>
                <w:tab w:val="decimal" w:pos="609"/>
              </w:tabs>
              <w:jc w:val="left"/>
              <w:rPr>
                <w:sz w:val="16"/>
                <w:szCs w:val="16"/>
              </w:rPr>
            </w:pPr>
            <w:r>
              <w:rPr>
                <w:sz w:val="16"/>
                <w:szCs w:val="16"/>
              </w:rPr>
              <w:t>3.3</w:t>
            </w:r>
          </w:p>
        </w:tc>
        <w:tc>
          <w:tcPr>
            <w:tcW w:w="550" w:type="pct"/>
            <w:shd w:val="clear" w:color="auto" w:fill="DDD9C3"/>
            <w:noWrap/>
            <w:vAlign w:val="center"/>
          </w:tcPr>
          <w:p w14:paraId="7F01EADC" w14:textId="51010C3C" w:rsidR="006322C2" w:rsidRDefault="006322C2" w:rsidP="006322C2">
            <w:pPr>
              <w:tabs>
                <w:tab w:val="decimal" w:pos="503"/>
              </w:tabs>
              <w:jc w:val="left"/>
              <w:rPr>
                <w:sz w:val="16"/>
                <w:szCs w:val="16"/>
              </w:rPr>
            </w:pPr>
            <w:r>
              <w:rPr>
                <w:sz w:val="16"/>
                <w:szCs w:val="16"/>
              </w:rPr>
              <w:t>8.7</w:t>
            </w:r>
          </w:p>
        </w:tc>
        <w:tc>
          <w:tcPr>
            <w:tcW w:w="550" w:type="pct"/>
            <w:tcBorders>
              <w:right w:val="single" w:sz="8" w:space="0" w:color="948A54"/>
            </w:tcBorders>
            <w:shd w:val="clear" w:color="auto" w:fill="DDD9C3"/>
            <w:noWrap/>
            <w:vAlign w:val="center"/>
          </w:tcPr>
          <w:p w14:paraId="079BF8C7" w14:textId="060E2A79" w:rsidR="006322C2" w:rsidRPr="00116F60" w:rsidRDefault="006322C2" w:rsidP="006322C2">
            <w:pPr>
              <w:tabs>
                <w:tab w:val="decimal" w:pos="503"/>
              </w:tabs>
              <w:jc w:val="left"/>
              <w:rPr>
                <w:color w:val="000000"/>
                <w:sz w:val="16"/>
                <w:szCs w:val="16"/>
              </w:rPr>
            </w:pPr>
            <w:r>
              <w:rPr>
                <w:sz w:val="16"/>
                <w:szCs w:val="16"/>
              </w:rPr>
              <w:t>-1.0</w:t>
            </w:r>
          </w:p>
        </w:tc>
        <w:tc>
          <w:tcPr>
            <w:tcW w:w="87" w:type="pct"/>
            <w:tcBorders>
              <w:left w:val="single" w:sz="8" w:space="0" w:color="948A54"/>
              <w:right w:val="single" w:sz="8" w:space="0" w:color="948A54"/>
            </w:tcBorders>
            <w:shd w:val="clear" w:color="auto" w:fill="auto"/>
            <w:noWrap/>
            <w:vAlign w:val="center"/>
            <w:hideMark/>
          </w:tcPr>
          <w:p w14:paraId="05A3B1B4"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3E4FDD6"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32EAE478" w14:textId="3891B35A" w:rsidR="006322C2" w:rsidRDefault="006322C2" w:rsidP="006322C2">
            <w:pPr>
              <w:tabs>
                <w:tab w:val="decimal" w:pos="609"/>
              </w:tabs>
              <w:jc w:val="left"/>
              <w:rPr>
                <w:color w:val="000000"/>
                <w:sz w:val="16"/>
                <w:szCs w:val="16"/>
              </w:rPr>
            </w:pPr>
            <w:r>
              <w:rPr>
                <w:color w:val="000000"/>
                <w:sz w:val="16"/>
                <w:szCs w:val="16"/>
              </w:rPr>
              <w:t>-6.5</w:t>
            </w:r>
          </w:p>
        </w:tc>
        <w:tc>
          <w:tcPr>
            <w:tcW w:w="547" w:type="pct"/>
            <w:shd w:val="clear" w:color="auto" w:fill="DDD9C3"/>
            <w:vAlign w:val="center"/>
          </w:tcPr>
          <w:p w14:paraId="784B8E75" w14:textId="629BFE1E" w:rsidR="006322C2" w:rsidRDefault="006322C2" w:rsidP="006322C2">
            <w:pPr>
              <w:tabs>
                <w:tab w:val="decimal" w:pos="540"/>
              </w:tabs>
              <w:jc w:val="left"/>
              <w:rPr>
                <w:color w:val="000000"/>
                <w:sz w:val="16"/>
                <w:szCs w:val="16"/>
              </w:rPr>
            </w:pPr>
            <w:r>
              <w:rPr>
                <w:color w:val="000000"/>
                <w:sz w:val="16"/>
                <w:szCs w:val="16"/>
              </w:rPr>
              <w:t>15.9</w:t>
            </w:r>
          </w:p>
        </w:tc>
        <w:tc>
          <w:tcPr>
            <w:tcW w:w="545" w:type="pct"/>
            <w:tcBorders>
              <w:right w:val="single" w:sz="8" w:space="0" w:color="948A54"/>
            </w:tcBorders>
            <w:shd w:val="clear" w:color="auto" w:fill="DDD9C3"/>
            <w:vAlign w:val="center"/>
          </w:tcPr>
          <w:p w14:paraId="05A5078F" w14:textId="1C640BE3" w:rsidR="006322C2" w:rsidRDefault="006322C2" w:rsidP="006322C2">
            <w:pPr>
              <w:tabs>
                <w:tab w:val="decimal" w:pos="520"/>
              </w:tabs>
              <w:jc w:val="left"/>
              <w:rPr>
                <w:color w:val="000000"/>
                <w:sz w:val="16"/>
                <w:szCs w:val="16"/>
              </w:rPr>
            </w:pPr>
            <w:r>
              <w:rPr>
                <w:color w:val="000000"/>
                <w:sz w:val="16"/>
                <w:szCs w:val="16"/>
              </w:rPr>
              <w:t>6.0</w:t>
            </w:r>
          </w:p>
        </w:tc>
      </w:tr>
      <w:tr w:rsidR="006322C2" w:rsidRPr="00E34826" w14:paraId="08671CFC" w14:textId="77777777" w:rsidTr="006322C2">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03383985" w14:textId="77777777" w:rsidR="006322C2" w:rsidRPr="00E34826" w:rsidRDefault="006322C2" w:rsidP="006322C2">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F034244" w14:textId="164C00C6" w:rsidR="006322C2" w:rsidRDefault="006322C2" w:rsidP="006322C2">
            <w:pPr>
              <w:tabs>
                <w:tab w:val="decimal" w:pos="609"/>
              </w:tabs>
              <w:jc w:val="left"/>
              <w:rPr>
                <w:sz w:val="16"/>
                <w:szCs w:val="16"/>
              </w:rPr>
            </w:pPr>
            <w:r>
              <w:rPr>
                <w:sz w:val="16"/>
                <w:szCs w:val="16"/>
              </w:rPr>
              <w:t>0.3</w:t>
            </w:r>
          </w:p>
        </w:tc>
        <w:tc>
          <w:tcPr>
            <w:tcW w:w="550" w:type="pct"/>
            <w:tcBorders>
              <w:bottom w:val="single" w:sz="8" w:space="0" w:color="948A54"/>
            </w:tcBorders>
            <w:shd w:val="clear" w:color="auto" w:fill="DDD9C3"/>
            <w:noWrap/>
            <w:vAlign w:val="center"/>
          </w:tcPr>
          <w:p w14:paraId="5B11DEDB" w14:textId="6243DF12" w:rsidR="006322C2" w:rsidRDefault="006322C2" w:rsidP="006322C2">
            <w:pPr>
              <w:tabs>
                <w:tab w:val="decimal" w:pos="503"/>
              </w:tabs>
              <w:jc w:val="left"/>
              <w:rPr>
                <w:sz w:val="16"/>
                <w:szCs w:val="16"/>
              </w:rPr>
            </w:pPr>
            <w:r>
              <w:rPr>
                <w:sz w:val="16"/>
                <w:szCs w:val="16"/>
              </w:rPr>
              <w:t>-1.2</w:t>
            </w:r>
          </w:p>
        </w:tc>
        <w:tc>
          <w:tcPr>
            <w:tcW w:w="550" w:type="pct"/>
            <w:tcBorders>
              <w:bottom w:val="single" w:sz="8" w:space="0" w:color="948A54"/>
              <w:right w:val="single" w:sz="8" w:space="0" w:color="948A54"/>
            </w:tcBorders>
            <w:shd w:val="clear" w:color="auto" w:fill="DDD9C3"/>
            <w:noWrap/>
            <w:vAlign w:val="center"/>
          </w:tcPr>
          <w:p w14:paraId="579F5239" w14:textId="658FAA37" w:rsidR="006322C2" w:rsidRPr="00116F60" w:rsidRDefault="006322C2" w:rsidP="006322C2">
            <w:pPr>
              <w:tabs>
                <w:tab w:val="decimal" w:pos="503"/>
              </w:tabs>
              <w:jc w:val="left"/>
              <w:rPr>
                <w:color w:val="000000"/>
                <w:sz w:val="16"/>
                <w:szCs w:val="16"/>
              </w:rPr>
            </w:pPr>
            <w:r>
              <w:rPr>
                <w:sz w:val="16"/>
                <w:szCs w:val="16"/>
              </w:rPr>
              <w:t>5.4</w:t>
            </w:r>
          </w:p>
        </w:tc>
        <w:tc>
          <w:tcPr>
            <w:tcW w:w="87" w:type="pct"/>
            <w:tcBorders>
              <w:left w:val="single" w:sz="8" w:space="0" w:color="948A54"/>
              <w:right w:val="single" w:sz="8" w:space="0" w:color="948A54"/>
            </w:tcBorders>
            <w:shd w:val="clear" w:color="auto" w:fill="auto"/>
            <w:noWrap/>
            <w:vAlign w:val="center"/>
            <w:hideMark/>
          </w:tcPr>
          <w:p w14:paraId="1622264F" w14:textId="77777777" w:rsidR="006322C2" w:rsidRPr="00FB1CC0" w:rsidRDefault="006322C2" w:rsidP="006322C2">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372450C2" w14:textId="77777777" w:rsidR="006322C2" w:rsidRPr="00FB1CC0" w:rsidRDefault="006322C2" w:rsidP="006322C2">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73AF4D4" w14:textId="47973ADC" w:rsidR="006322C2" w:rsidRDefault="006322C2" w:rsidP="006322C2">
            <w:pPr>
              <w:tabs>
                <w:tab w:val="decimal" w:pos="609"/>
              </w:tabs>
              <w:jc w:val="left"/>
              <w:rPr>
                <w:color w:val="000000"/>
                <w:sz w:val="16"/>
                <w:szCs w:val="16"/>
              </w:rPr>
            </w:pPr>
            <w:r>
              <w:rPr>
                <w:color w:val="000000"/>
                <w:sz w:val="16"/>
                <w:szCs w:val="16"/>
              </w:rPr>
              <w:t>8.6</w:t>
            </w:r>
          </w:p>
        </w:tc>
        <w:tc>
          <w:tcPr>
            <w:tcW w:w="547" w:type="pct"/>
            <w:tcBorders>
              <w:bottom w:val="single" w:sz="8" w:space="0" w:color="948A54"/>
            </w:tcBorders>
            <w:shd w:val="clear" w:color="auto" w:fill="DDD9C3"/>
            <w:vAlign w:val="center"/>
          </w:tcPr>
          <w:p w14:paraId="7BCF0E07" w14:textId="67DC9319" w:rsidR="006322C2" w:rsidRDefault="006322C2" w:rsidP="006322C2">
            <w:pPr>
              <w:tabs>
                <w:tab w:val="decimal" w:pos="540"/>
              </w:tabs>
              <w:jc w:val="left"/>
              <w:rPr>
                <w:color w:val="000000"/>
                <w:sz w:val="16"/>
                <w:szCs w:val="16"/>
              </w:rPr>
            </w:pPr>
            <w:r>
              <w:rPr>
                <w:color w:val="000000"/>
                <w:sz w:val="16"/>
                <w:szCs w:val="16"/>
              </w:rPr>
              <w:t>-4.3</w:t>
            </w:r>
          </w:p>
        </w:tc>
        <w:tc>
          <w:tcPr>
            <w:tcW w:w="545" w:type="pct"/>
            <w:tcBorders>
              <w:bottom w:val="single" w:sz="8" w:space="0" w:color="948A54"/>
              <w:right w:val="single" w:sz="8" w:space="0" w:color="948A54"/>
            </w:tcBorders>
            <w:shd w:val="clear" w:color="auto" w:fill="DDD9C3"/>
            <w:vAlign w:val="center"/>
          </w:tcPr>
          <w:p w14:paraId="515A1868" w14:textId="7BED6AD4" w:rsidR="006322C2" w:rsidRDefault="006322C2" w:rsidP="006322C2">
            <w:pPr>
              <w:tabs>
                <w:tab w:val="decimal" w:pos="520"/>
              </w:tabs>
              <w:jc w:val="left"/>
              <w:rPr>
                <w:color w:val="000000"/>
                <w:sz w:val="16"/>
                <w:szCs w:val="16"/>
              </w:rPr>
            </w:pPr>
            <w:r>
              <w:rPr>
                <w:color w:val="000000"/>
                <w:sz w:val="16"/>
                <w:szCs w:val="16"/>
              </w:rPr>
              <w:t>7.0</w:t>
            </w:r>
          </w:p>
        </w:tc>
      </w:tr>
    </w:tbl>
    <w:p w14:paraId="76CFA2CB"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16A54F3E"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EDDBCFC"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BA809FA"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893B460"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557BD11E" w14:textId="4F0D624A"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w:t>
      </w:r>
      <w:r w:rsidR="007A3A95">
        <w:rPr>
          <w:rFonts w:cs="Arial"/>
          <w:smallCaps/>
          <w:color w:val="auto"/>
          <w:spacing w:val="0"/>
          <w:sz w:val="20"/>
        </w:rPr>
        <w:t>s</w:t>
      </w:r>
      <w:r w:rsidRPr="00E34826">
        <w:rPr>
          <w:rFonts w:cs="Arial"/>
          <w:smallCaps/>
          <w:color w:val="auto"/>
          <w:spacing w:val="0"/>
          <w:sz w:val="20"/>
        </w:rPr>
        <w:t xml:space="preserve">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w:t>
      </w:r>
    </w:p>
    <w:p w14:paraId="0A124AB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36E8AF39"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AC7ECCB"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D4240D" w14:textId="183D2336" w:rsidR="001A75CB" w:rsidRPr="00E34826" w:rsidRDefault="006322C2" w:rsidP="00747C80">
            <w:pPr>
              <w:widowControl w:val="0"/>
              <w:jc w:val="center"/>
              <w:rPr>
                <w:sz w:val="16"/>
                <w:szCs w:val="16"/>
              </w:rPr>
            </w:pPr>
            <w:r>
              <w:rPr>
                <w:sz w:val="16"/>
                <w:szCs w:val="16"/>
              </w:rPr>
              <w:t>4</w:t>
            </w:r>
            <w:r>
              <w:rPr>
                <w:sz w:val="16"/>
                <w:szCs w:val="16"/>
                <w:vertAlign w:val="superscript"/>
              </w:rPr>
              <w:t>to</w:t>
            </w:r>
            <w:r w:rsidRPr="001F7773">
              <w:rPr>
                <w:sz w:val="16"/>
                <w:szCs w:val="16"/>
                <w:vertAlign w:val="superscript"/>
              </w:rPr>
              <w:t>.</w:t>
            </w:r>
            <w:r w:rsidR="00116F60">
              <w:rPr>
                <w:sz w:val="16"/>
                <w:szCs w:val="16"/>
              </w:rPr>
              <w:t xml:space="preserve"> </w:t>
            </w:r>
            <w:r w:rsidR="00116F60"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7F77EDBF"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1B52C03C"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96FAD8"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2201D8" w14:textId="09738D20" w:rsidR="001A75CB" w:rsidRPr="00E34826" w:rsidRDefault="001A75CB" w:rsidP="00917606">
            <w:pPr>
              <w:widowControl w:val="0"/>
              <w:jc w:val="center"/>
              <w:rPr>
                <w:sz w:val="16"/>
                <w:szCs w:val="16"/>
              </w:rPr>
            </w:pPr>
            <w:r>
              <w:rPr>
                <w:sz w:val="16"/>
                <w:szCs w:val="16"/>
              </w:rPr>
              <w:t>20</w:t>
            </w:r>
            <w:r w:rsidR="00917606">
              <w:rPr>
                <w:sz w:val="16"/>
                <w:szCs w:val="16"/>
              </w:rPr>
              <w:t>20</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AD78FC" w14:textId="6EE235D4" w:rsidR="001A75CB" w:rsidRPr="00E34826" w:rsidRDefault="001A75CB" w:rsidP="00AC6EEF">
            <w:pPr>
              <w:widowControl w:val="0"/>
              <w:jc w:val="center"/>
              <w:rPr>
                <w:sz w:val="16"/>
                <w:szCs w:val="16"/>
              </w:rPr>
            </w:pPr>
            <w:r>
              <w:rPr>
                <w:sz w:val="16"/>
                <w:szCs w:val="16"/>
              </w:rPr>
              <w:t>202</w:t>
            </w:r>
            <w:r w:rsidR="00917606">
              <w:rPr>
                <w:sz w:val="16"/>
                <w:szCs w:val="16"/>
              </w:rPr>
              <w:t>1</w:t>
            </w:r>
            <w:r w:rsidR="00747C80" w:rsidRPr="00E34826">
              <w:rPr>
                <w:sz w:val="16"/>
                <w:szCs w:val="16"/>
                <w:vertAlign w:val="superscript"/>
              </w:rPr>
              <w:t xml:space="preserve"> p</w:t>
            </w:r>
            <w:r w:rsidR="00747C80">
              <w:rPr>
                <w:sz w:val="16"/>
                <w:szCs w:val="16"/>
                <w:vertAlign w:val="superscript"/>
              </w:rPr>
              <w:t>/</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67073A41" w14:textId="77777777" w:rsidR="001A75CB" w:rsidRPr="00E34826" w:rsidRDefault="001A75CB" w:rsidP="001A75CB">
            <w:pPr>
              <w:widowControl w:val="0"/>
              <w:jc w:val="center"/>
              <w:rPr>
                <w:sz w:val="16"/>
                <w:szCs w:val="16"/>
              </w:rPr>
            </w:pPr>
          </w:p>
        </w:tc>
      </w:tr>
      <w:tr w:rsidR="006322C2" w:rsidRPr="00E34826" w14:paraId="779B7906" w14:textId="77777777" w:rsidTr="006322C2">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0A5717F" w14:textId="090F8FC0" w:rsidR="006322C2" w:rsidRPr="00E34826" w:rsidRDefault="006322C2" w:rsidP="006322C2">
            <w:pPr>
              <w:widowControl w:val="0"/>
              <w:spacing w:before="20"/>
              <w:ind w:left="142" w:hanging="96"/>
              <w:rPr>
                <w:sz w:val="16"/>
                <w:szCs w:val="16"/>
              </w:rPr>
            </w:pPr>
            <w:r w:rsidRPr="00E34826">
              <w:rPr>
                <w:sz w:val="16"/>
                <w:szCs w:val="16"/>
              </w:rPr>
              <w:t xml:space="preserve">Costo </w:t>
            </w:r>
            <w:r w:rsidR="007A3A95">
              <w:rPr>
                <w:sz w:val="16"/>
                <w:szCs w:val="16"/>
              </w:rPr>
              <w:t>u</w:t>
            </w:r>
            <w:r w:rsidRPr="00E34826">
              <w:rPr>
                <w:sz w:val="16"/>
                <w:szCs w:val="16"/>
              </w:rPr>
              <w:t xml:space="preserve">nitario de la </w:t>
            </w:r>
            <w:r w:rsidR="007A3A95">
              <w:rPr>
                <w:sz w:val="16"/>
                <w:szCs w:val="16"/>
              </w:rPr>
              <w:t>m</w:t>
            </w:r>
            <w:r w:rsidRPr="00E34826">
              <w:rPr>
                <w:sz w:val="16"/>
                <w:szCs w:val="16"/>
              </w:rPr>
              <w:t xml:space="preserve">ano de </w:t>
            </w:r>
            <w:r w:rsidR="007A3A95">
              <w:rPr>
                <w:sz w:val="16"/>
                <w:szCs w:val="16"/>
              </w:rPr>
              <w:t>o</w:t>
            </w:r>
            <w:r w:rsidRPr="00E34826">
              <w:rPr>
                <w:sz w:val="16"/>
                <w:szCs w:val="16"/>
              </w:rPr>
              <w:t xml:space="preserve">bra en las </w:t>
            </w:r>
            <w:r w:rsidR="007A3A95">
              <w:rPr>
                <w:sz w:val="16"/>
                <w:szCs w:val="16"/>
              </w:rPr>
              <w:t>e</w:t>
            </w:r>
            <w:r w:rsidRPr="00E34826">
              <w:rPr>
                <w:sz w:val="16"/>
                <w:szCs w:val="16"/>
              </w:rPr>
              <w:t xml:space="preserve">mpresas </w:t>
            </w:r>
            <w:r w:rsidR="007A3A95">
              <w:rPr>
                <w:sz w:val="16"/>
                <w:szCs w:val="16"/>
              </w:rPr>
              <w:t>c</w:t>
            </w:r>
            <w:r w:rsidRPr="00E34826">
              <w:rPr>
                <w:sz w:val="16"/>
                <w:szCs w:val="16"/>
              </w:rPr>
              <w:t>onstructoras</w:t>
            </w:r>
            <w:r>
              <w:rPr>
                <w:sz w:val="16"/>
                <w:szCs w:val="16"/>
              </w:rPr>
              <w:t xml:space="preserve"> </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5FFFBB6" w14:textId="3AEC4176" w:rsidR="006322C2" w:rsidRDefault="006322C2" w:rsidP="006322C2">
            <w:pPr>
              <w:tabs>
                <w:tab w:val="decimal" w:pos="452"/>
              </w:tabs>
              <w:jc w:val="left"/>
              <w:rPr>
                <w:sz w:val="16"/>
                <w:szCs w:val="16"/>
                <w:lang w:val="es-MX" w:eastAsia="es-MX"/>
              </w:rPr>
            </w:pPr>
            <w:r>
              <w:rPr>
                <w:sz w:val="16"/>
                <w:szCs w:val="16"/>
              </w:rPr>
              <w:t>127.2</w:t>
            </w:r>
          </w:p>
        </w:tc>
        <w:tc>
          <w:tcPr>
            <w:tcW w:w="997" w:type="dxa"/>
            <w:tcBorders>
              <w:top w:val="single" w:sz="6" w:space="0" w:color="948A54" w:themeColor="background2" w:themeShade="80"/>
              <w:bottom w:val="nil"/>
            </w:tcBorders>
            <w:shd w:val="clear" w:color="auto" w:fill="DDD9C3" w:themeFill="background2" w:themeFillShade="E6"/>
            <w:vAlign w:val="center"/>
          </w:tcPr>
          <w:p w14:paraId="78686881" w14:textId="2AE8AE11" w:rsidR="006322C2" w:rsidRDefault="006322C2" w:rsidP="006322C2">
            <w:pPr>
              <w:tabs>
                <w:tab w:val="decimal" w:pos="463"/>
              </w:tabs>
              <w:jc w:val="left"/>
              <w:rPr>
                <w:sz w:val="16"/>
                <w:szCs w:val="16"/>
              </w:rPr>
            </w:pPr>
            <w:r>
              <w:rPr>
                <w:sz w:val="16"/>
                <w:szCs w:val="16"/>
              </w:rPr>
              <w:t>113.0</w:t>
            </w:r>
          </w:p>
        </w:tc>
        <w:tc>
          <w:tcPr>
            <w:tcW w:w="998" w:type="dxa"/>
            <w:tcBorders>
              <w:top w:val="single" w:sz="6" w:space="0" w:color="948A54" w:themeColor="background2" w:themeShade="80"/>
              <w:bottom w:val="nil"/>
            </w:tcBorders>
            <w:shd w:val="clear" w:color="auto" w:fill="DDD9C3" w:themeFill="background2" w:themeFillShade="E6"/>
            <w:vAlign w:val="center"/>
          </w:tcPr>
          <w:p w14:paraId="587E1293" w14:textId="01F62DE4" w:rsidR="006322C2" w:rsidRDefault="006322C2" w:rsidP="006322C2">
            <w:pPr>
              <w:tabs>
                <w:tab w:val="decimal" w:pos="474"/>
              </w:tabs>
              <w:jc w:val="left"/>
              <w:rPr>
                <w:sz w:val="16"/>
                <w:szCs w:val="16"/>
              </w:rPr>
            </w:pPr>
            <w:r>
              <w:rPr>
                <w:sz w:val="16"/>
                <w:szCs w:val="16"/>
              </w:rPr>
              <w:t>-11.2</w:t>
            </w:r>
          </w:p>
        </w:tc>
      </w:tr>
      <w:tr w:rsidR="006322C2" w:rsidRPr="00E34826" w14:paraId="6D423C55"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27EE367" w14:textId="59163E40"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sidR="007A3A95">
              <w:rPr>
                <w:sz w:val="16"/>
                <w:szCs w:val="16"/>
              </w:rPr>
              <w:t>r</w:t>
            </w:r>
            <w:r w:rsidRPr="00E34826">
              <w:rPr>
                <w:sz w:val="16"/>
                <w:szCs w:val="16"/>
              </w:rPr>
              <w:t xml:space="preserve">emuneraciones </w:t>
            </w:r>
            <w:r w:rsidR="007A3A95">
              <w:rPr>
                <w:sz w:val="16"/>
                <w:szCs w:val="16"/>
              </w:rPr>
              <w:t>m</w:t>
            </w:r>
            <w:r w:rsidRPr="00E34826">
              <w:rPr>
                <w:sz w:val="16"/>
                <w:szCs w:val="16"/>
              </w:rPr>
              <w:t xml:space="preserve">edias </w:t>
            </w:r>
            <w:r w:rsidR="007A3A95">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78E6A295" w14:textId="4BFA43FE" w:rsidR="006322C2" w:rsidRDefault="006322C2" w:rsidP="006322C2">
            <w:pPr>
              <w:tabs>
                <w:tab w:val="decimal" w:pos="452"/>
              </w:tabs>
              <w:jc w:val="left"/>
              <w:rPr>
                <w:sz w:val="16"/>
                <w:szCs w:val="16"/>
              </w:rPr>
            </w:pPr>
            <w:r>
              <w:rPr>
                <w:sz w:val="16"/>
                <w:szCs w:val="16"/>
              </w:rPr>
              <w:t>123.2</w:t>
            </w:r>
          </w:p>
        </w:tc>
        <w:tc>
          <w:tcPr>
            <w:tcW w:w="997" w:type="dxa"/>
            <w:tcBorders>
              <w:top w:val="nil"/>
              <w:bottom w:val="nil"/>
            </w:tcBorders>
            <w:shd w:val="clear" w:color="auto" w:fill="auto"/>
            <w:vAlign w:val="center"/>
          </w:tcPr>
          <w:p w14:paraId="42F828DD" w14:textId="757DCD78" w:rsidR="006322C2" w:rsidRDefault="006322C2" w:rsidP="006322C2">
            <w:pPr>
              <w:tabs>
                <w:tab w:val="decimal" w:pos="463"/>
              </w:tabs>
              <w:jc w:val="left"/>
              <w:rPr>
                <w:sz w:val="16"/>
                <w:szCs w:val="16"/>
              </w:rPr>
            </w:pPr>
            <w:r>
              <w:rPr>
                <w:sz w:val="16"/>
                <w:szCs w:val="16"/>
              </w:rPr>
              <w:t>110.5</w:t>
            </w:r>
          </w:p>
        </w:tc>
        <w:tc>
          <w:tcPr>
            <w:tcW w:w="998" w:type="dxa"/>
            <w:tcBorders>
              <w:top w:val="nil"/>
              <w:bottom w:val="nil"/>
            </w:tcBorders>
            <w:shd w:val="clear" w:color="auto" w:fill="auto"/>
            <w:vAlign w:val="center"/>
          </w:tcPr>
          <w:p w14:paraId="45446E24" w14:textId="1F918185" w:rsidR="006322C2" w:rsidRDefault="006322C2" w:rsidP="006322C2">
            <w:pPr>
              <w:tabs>
                <w:tab w:val="decimal" w:pos="474"/>
              </w:tabs>
              <w:jc w:val="left"/>
              <w:rPr>
                <w:sz w:val="16"/>
                <w:szCs w:val="16"/>
              </w:rPr>
            </w:pPr>
            <w:r>
              <w:rPr>
                <w:sz w:val="16"/>
                <w:szCs w:val="16"/>
              </w:rPr>
              <w:t>-10.3</w:t>
            </w:r>
          </w:p>
        </w:tc>
      </w:tr>
      <w:tr w:rsidR="006322C2" w:rsidRPr="00E34826" w14:paraId="4815B681"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111803E" w14:textId="32BAB1CD"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sidR="007A3A95">
              <w:rPr>
                <w:sz w:val="16"/>
                <w:szCs w:val="16"/>
              </w:rPr>
              <w:t>p</w:t>
            </w:r>
            <w:r w:rsidRPr="00E34826">
              <w:rPr>
                <w:sz w:val="16"/>
                <w:szCs w:val="16"/>
              </w:rPr>
              <w:t xml:space="preserve">roductividad </w:t>
            </w:r>
            <w:r w:rsidR="007A3A95">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37718BA3" w14:textId="44836B1B" w:rsidR="006322C2" w:rsidRDefault="006322C2" w:rsidP="006322C2">
            <w:pPr>
              <w:tabs>
                <w:tab w:val="decimal" w:pos="452"/>
              </w:tabs>
              <w:jc w:val="left"/>
              <w:rPr>
                <w:sz w:val="16"/>
                <w:szCs w:val="16"/>
              </w:rPr>
            </w:pPr>
            <w:r>
              <w:rPr>
                <w:sz w:val="16"/>
                <w:szCs w:val="16"/>
              </w:rPr>
              <w:t>96.9</w:t>
            </w:r>
          </w:p>
        </w:tc>
        <w:tc>
          <w:tcPr>
            <w:tcW w:w="997" w:type="dxa"/>
            <w:tcBorders>
              <w:top w:val="nil"/>
              <w:bottom w:val="nil"/>
            </w:tcBorders>
            <w:shd w:val="clear" w:color="auto" w:fill="auto"/>
            <w:vAlign w:val="center"/>
          </w:tcPr>
          <w:p w14:paraId="1A06C023" w14:textId="174433B0" w:rsidR="006322C2" w:rsidRDefault="006322C2" w:rsidP="006322C2">
            <w:pPr>
              <w:tabs>
                <w:tab w:val="decimal" w:pos="463"/>
              </w:tabs>
              <w:jc w:val="left"/>
              <w:rPr>
                <w:sz w:val="16"/>
                <w:szCs w:val="16"/>
              </w:rPr>
            </w:pPr>
            <w:r>
              <w:rPr>
                <w:sz w:val="16"/>
                <w:szCs w:val="16"/>
              </w:rPr>
              <w:t>97.8</w:t>
            </w:r>
          </w:p>
        </w:tc>
        <w:tc>
          <w:tcPr>
            <w:tcW w:w="998" w:type="dxa"/>
            <w:tcBorders>
              <w:top w:val="nil"/>
              <w:bottom w:val="nil"/>
            </w:tcBorders>
            <w:shd w:val="clear" w:color="auto" w:fill="auto"/>
            <w:vAlign w:val="center"/>
          </w:tcPr>
          <w:p w14:paraId="1005C2FA" w14:textId="727B98D9" w:rsidR="006322C2" w:rsidRDefault="006322C2" w:rsidP="006322C2">
            <w:pPr>
              <w:tabs>
                <w:tab w:val="decimal" w:pos="474"/>
              </w:tabs>
              <w:jc w:val="left"/>
              <w:rPr>
                <w:sz w:val="16"/>
                <w:szCs w:val="16"/>
              </w:rPr>
            </w:pPr>
            <w:r>
              <w:rPr>
                <w:sz w:val="16"/>
                <w:szCs w:val="16"/>
              </w:rPr>
              <w:t>1.0</w:t>
            </w:r>
          </w:p>
        </w:tc>
      </w:tr>
      <w:tr w:rsidR="006322C2" w:rsidRPr="00E34826" w14:paraId="2EC661A1"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0749DC" w14:textId="64AF8CD9" w:rsidR="006322C2" w:rsidRPr="00E34826" w:rsidRDefault="007A3A95" w:rsidP="006322C2">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w:t>
            </w:r>
            <w:r w:rsidR="006322C2" w:rsidRPr="00E34826">
              <w:rPr>
                <w:sz w:val="16"/>
                <w:szCs w:val="16"/>
              </w:rPr>
              <w:t xml:space="preserve">en las </w:t>
            </w:r>
            <w:r>
              <w:rPr>
                <w:sz w:val="16"/>
                <w:szCs w:val="16"/>
              </w:rPr>
              <w:t>i</w:t>
            </w:r>
            <w:r w:rsidR="006322C2" w:rsidRPr="00E34826">
              <w:rPr>
                <w:sz w:val="16"/>
                <w:szCs w:val="16"/>
              </w:rPr>
              <w:t xml:space="preserve">ndustrias </w:t>
            </w:r>
            <w:r>
              <w:rPr>
                <w:sz w:val="16"/>
                <w:szCs w:val="16"/>
              </w:rPr>
              <w:t>m</w:t>
            </w:r>
            <w:r w:rsidR="006322C2" w:rsidRPr="00E34826">
              <w:rPr>
                <w:sz w:val="16"/>
                <w:szCs w:val="16"/>
              </w:rPr>
              <w:t>anufactureras</w:t>
            </w:r>
            <w:r w:rsidR="006322C2">
              <w:rPr>
                <w:sz w:val="16"/>
                <w:szCs w:val="16"/>
              </w:rPr>
              <w:t xml:space="preserve"> </w:t>
            </w:r>
          </w:p>
        </w:tc>
        <w:tc>
          <w:tcPr>
            <w:tcW w:w="997" w:type="dxa"/>
            <w:tcBorders>
              <w:top w:val="nil"/>
              <w:left w:val="single" w:sz="6" w:space="0" w:color="948A54" w:themeColor="background2" w:themeShade="80"/>
            </w:tcBorders>
            <w:shd w:val="clear" w:color="auto" w:fill="DDD9C3" w:themeFill="background2" w:themeFillShade="E6"/>
            <w:vAlign w:val="center"/>
          </w:tcPr>
          <w:p w14:paraId="26A92BFB" w14:textId="4520B4EE" w:rsidR="006322C2" w:rsidRDefault="006322C2" w:rsidP="006322C2">
            <w:pPr>
              <w:tabs>
                <w:tab w:val="decimal" w:pos="452"/>
              </w:tabs>
              <w:jc w:val="left"/>
              <w:rPr>
                <w:sz w:val="16"/>
                <w:szCs w:val="16"/>
              </w:rPr>
            </w:pPr>
            <w:r>
              <w:rPr>
                <w:sz w:val="16"/>
                <w:szCs w:val="16"/>
              </w:rPr>
              <w:t>126.4</w:t>
            </w:r>
          </w:p>
        </w:tc>
        <w:tc>
          <w:tcPr>
            <w:tcW w:w="997" w:type="dxa"/>
            <w:tcBorders>
              <w:top w:val="nil"/>
            </w:tcBorders>
            <w:shd w:val="clear" w:color="auto" w:fill="DDD9C3" w:themeFill="background2" w:themeFillShade="E6"/>
            <w:vAlign w:val="center"/>
          </w:tcPr>
          <w:p w14:paraId="4308F25B" w14:textId="687CB126" w:rsidR="006322C2" w:rsidRDefault="006322C2" w:rsidP="006322C2">
            <w:pPr>
              <w:tabs>
                <w:tab w:val="decimal" w:pos="463"/>
              </w:tabs>
              <w:jc w:val="left"/>
              <w:rPr>
                <w:sz w:val="16"/>
                <w:szCs w:val="16"/>
              </w:rPr>
            </w:pPr>
            <w:r>
              <w:rPr>
                <w:sz w:val="16"/>
                <w:szCs w:val="16"/>
              </w:rPr>
              <w:t>122.5</w:t>
            </w:r>
          </w:p>
        </w:tc>
        <w:tc>
          <w:tcPr>
            <w:tcW w:w="998" w:type="dxa"/>
            <w:tcBorders>
              <w:top w:val="nil"/>
            </w:tcBorders>
            <w:shd w:val="clear" w:color="auto" w:fill="DDD9C3" w:themeFill="background2" w:themeFillShade="E6"/>
            <w:vAlign w:val="center"/>
          </w:tcPr>
          <w:p w14:paraId="49467369" w14:textId="5CB2BA19" w:rsidR="006322C2" w:rsidRDefault="006322C2" w:rsidP="006322C2">
            <w:pPr>
              <w:tabs>
                <w:tab w:val="decimal" w:pos="474"/>
              </w:tabs>
              <w:jc w:val="left"/>
              <w:rPr>
                <w:sz w:val="16"/>
                <w:szCs w:val="16"/>
              </w:rPr>
            </w:pPr>
            <w:r>
              <w:rPr>
                <w:sz w:val="16"/>
                <w:szCs w:val="16"/>
              </w:rPr>
              <w:t>-3.1</w:t>
            </w:r>
          </w:p>
        </w:tc>
      </w:tr>
      <w:tr w:rsidR="006322C2" w:rsidRPr="00E34826" w14:paraId="0F556582"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0B9C3934" w14:textId="1BB2AB87"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sidR="007A3A95">
              <w:rPr>
                <w:sz w:val="16"/>
                <w:szCs w:val="16"/>
              </w:rPr>
              <w:t>r</w:t>
            </w:r>
            <w:r w:rsidRPr="00E34826">
              <w:rPr>
                <w:sz w:val="16"/>
                <w:szCs w:val="16"/>
              </w:rPr>
              <w:t xml:space="preserve">emuneraciones </w:t>
            </w:r>
            <w:r w:rsidR="007A3A95">
              <w:rPr>
                <w:sz w:val="16"/>
                <w:szCs w:val="16"/>
              </w:rPr>
              <w:t>m</w:t>
            </w:r>
            <w:r w:rsidRPr="00E34826">
              <w:rPr>
                <w:sz w:val="16"/>
                <w:szCs w:val="16"/>
              </w:rPr>
              <w:t xml:space="preserve">edias </w:t>
            </w:r>
            <w:r w:rsidR="007A3A95">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034B3FF5" w14:textId="6B55EFE9" w:rsidR="006322C2" w:rsidRDefault="006322C2" w:rsidP="006322C2">
            <w:pPr>
              <w:tabs>
                <w:tab w:val="decimal" w:pos="452"/>
              </w:tabs>
              <w:jc w:val="left"/>
              <w:rPr>
                <w:sz w:val="16"/>
                <w:szCs w:val="16"/>
              </w:rPr>
            </w:pPr>
            <w:r>
              <w:rPr>
                <w:sz w:val="16"/>
                <w:szCs w:val="16"/>
              </w:rPr>
              <w:t>120.3</w:t>
            </w:r>
          </w:p>
        </w:tc>
        <w:tc>
          <w:tcPr>
            <w:tcW w:w="997" w:type="dxa"/>
            <w:vAlign w:val="center"/>
          </w:tcPr>
          <w:p w14:paraId="78E15917" w14:textId="1C7196BA" w:rsidR="006322C2" w:rsidRDefault="006322C2" w:rsidP="006322C2">
            <w:pPr>
              <w:tabs>
                <w:tab w:val="decimal" w:pos="463"/>
              </w:tabs>
              <w:jc w:val="left"/>
              <w:rPr>
                <w:sz w:val="16"/>
                <w:szCs w:val="16"/>
              </w:rPr>
            </w:pPr>
            <w:r>
              <w:rPr>
                <w:sz w:val="16"/>
                <w:szCs w:val="16"/>
              </w:rPr>
              <w:t>116.5</w:t>
            </w:r>
          </w:p>
        </w:tc>
        <w:tc>
          <w:tcPr>
            <w:tcW w:w="998" w:type="dxa"/>
            <w:vAlign w:val="center"/>
          </w:tcPr>
          <w:p w14:paraId="7823C54F" w14:textId="1E78B242" w:rsidR="006322C2" w:rsidRDefault="006322C2" w:rsidP="006322C2">
            <w:pPr>
              <w:tabs>
                <w:tab w:val="decimal" w:pos="474"/>
              </w:tabs>
              <w:jc w:val="left"/>
              <w:rPr>
                <w:sz w:val="16"/>
                <w:szCs w:val="16"/>
              </w:rPr>
            </w:pPr>
            <w:r>
              <w:rPr>
                <w:sz w:val="16"/>
                <w:szCs w:val="16"/>
              </w:rPr>
              <w:t>-3.2</w:t>
            </w:r>
          </w:p>
        </w:tc>
      </w:tr>
      <w:tr w:rsidR="006322C2" w:rsidRPr="00E34826" w14:paraId="0795443A"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5A23DECD" w14:textId="07E64201"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sidR="007A3A95">
              <w:rPr>
                <w:sz w:val="16"/>
                <w:szCs w:val="16"/>
              </w:rPr>
              <w:t>p</w:t>
            </w:r>
            <w:r w:rsidRPr="00E34826">
              <w:rPr>
                <w:sz w:val="16"/>
                <w:szCs w:val="16"/>
              </w:rPr>
              <w:t xml:space="preserve">roductividad </w:t>
            </w:r>
            <w:r w:rsidR="007A3A95">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2D274F9E" w14:textId="27B079DA" w:rsidR="006322C2" w:rsidRDefault="006322C2" w:rsidP="006322C2">
            <w:pPr>
              <w:tabs>
                <w:tab w:val="decimal" w:pos="452"/>
              </w:tabs>
              <w:jc w:val="left"/>
              <w:rPr>
                <w:sz w:val="16"/>
                <w:szCs w:val="16"/>
              </w:rPr>
            </w:pPr>
            <w:r>
              <w:rPr>
                <w:sz w:val="16"/>
                <w:szCs w:val="16"/>
              </w:rPr>
              <w:t>95.2</w:t>
            </w:r>
          </w:p>
        </w:tc>
        <w:tc>
          <w:tcPr>
            <w:tcW w:w="997" w:type="dxa"/>
            <w:vAlign w:val="center"/>
          </w:tcPr>
          <w:p w14:paraId="58261E83" w14:textId="7265490A" w:rsidR="006322C2" w:rsidRDefault="006322C2" w:rsidP="006322C2">
            <w:pPr>
              <w:tabs>
                <w:tab w:val="decimal" w:pos="463"/>
              </w:tabs>
              <w:jc w:val="left"/>
              <w:rPr>
                <w:sz w:val="16"/>
                <w:szCs w:val="16"/>
              </w:rPr>
            </w:pPr>
            <w:r>
              <w:rPr>
                <w:sz w:val="16"/>
                <w:szCs w:val="16"/>
              </w:rPr>
              <w:t>95.1</w:t>
            </w:r>
          </w:p>
        </w:tc>
        <w:tc>
          <w:tcPr>
            <w:tcW w:w="998" w:type="dxa"/>
            <w:vAlign w:val="center"/>
          </w:tcPr>
          <w:p w14:paraId="496D77AF" w14:textId="2385D0A2" w:rsidR="006322C2" w:rsidRDefault="006322C2" w:rsidP="006322C2">
            <w:pPr>
              <w:tabs>
                <w:tab w:val="decimal" w:pos="474"/>
              </w:tabs>
              <w:jc w:val="left"/>
              <w:rPr>
                <w:sz w:val="16"/>
                <w:szCs w:val="16"/>
              </w:rPr>
            </w:pPr>
            <w:r>
              <w:rPr>
                <w:sz w:val="16"/>
                <w:szCs w:val="16"/>
              </w:rPr>
              <w:t>-0.1</w:t>
            </w:r>
          </w:p>
        </w:tc>
      </w:tr>
      <w:tr w:rsidR="006322C2" w:rsidRPr="00E34826" w14:paraId="47E3F0DD"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671BC6" w14:textId="4AD95BE0" w:rsidR="006322C2" w:rsidRPr="00E34826" w:rsidRDefault="007A3A95" w:rsidP="006322C2">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w:t>
            </w:r>
            <w:r w:rsidR="006322C2" w:rsidRPr="00E34826">
              <w:rPr>
                <w:sz w:val="16"/>
                <w:szCs w:val="16"/>
              </w:rPr>
              <w:t xml:space="preserve">en el </w:t>
            </w:r>
            <w:r>
              <w:rPr>
                <w:sz w:val="16"/>
                <w:szCs w:val="16"/>
              </w:rPr>
              <w:t>c</w:t>
            </w:r>
            <w:r w:rsidR="006322C2" w:rsidRPr="00E34826">
              <w:rPr>
                <w:sz w:val="16"/>
                <w:szCs w:val="16"/>
              </w:rPr>
              <w:t xml:space="preserve">omercio al por </w:t>
            </w:r>
            <w:r>
              <w:rPr>
                <w:sz w:val="16"/>
                <w:szCs w:val="16"/>
              </w:rPr>
              <w:t>m</w:t>
            </w:r>
            <w:r w:rsidR="006322C2" w:rsidRPr="00E34826">
              <w:rPr>
                <w:sz w:val="16"/>
                <w:szCs w:val="16"/>
              </w:rPr>
              <w:t>ayor</w:t>
            </w:r>
            <w:r w:rsidR="006322C2"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2A11EF9" w14:textId="58A56C3D" w:rsidR="006322C2" w:rsidRDefault="006322C2" w:rsidP="006322C2">
            <w:pPr>
              <w:tabs>
                <w:tab w:val="decimal" w:pos="452"/>
              </w:tabs>
              <w:jc w:val="left"/>
              <w:rPr>
                <w:sz w:val="16"/>
                <w:szCs w:val="16"/>
              </w:rPr>
            </w:pPr>
            <w:r>
              <w:rPr>
                <w:sz w:val="16"/>
                <w:szCs w:val="16"/>
              </w:rPr>
              <w:t>120.5</w:t>
            </w:r>
          </w:p>
        </w:tc>
        <w:tc>
          <w:tcPr>
            <w:tcW w:w="997" w:type="dxa"/>
            <w:shd w:val="clear" w:color="auto" w:fill="DDD9C3" w:themeFill="background2" w:themeFillShade="E6"/>
            <w:vAlign w:val="center"/>
          </w:tcPr>
          <w:p w14:paraId="7A2DF817" w14:textId="076CA05F" w:rsidR="006322C2" w:rsidRDefault="006322C2" w:rsidP="006322C2">
            <w:pPr>
              <w:tabs>
                <w:tab w:val="decimal" w:pos="463"/>
              </w:tabs>
              <w:jc w:val="left"/>
              <w:rPr>
                <w:sz w:val="16"/>
                <w:szCs w:val="16"/>
              </w:rPr>
            </w:pPr>
            <w:r>
              <w:rPr>
                <w:sz w:val="16"/>
                <w:szCs w:val="16"/>
              </w:rPr>
              <w:t>110.4</w:t>
            </w:r>
          </w:p>
        </w:tc>
        <w:tc>
          <w:tcPr>
            <w:tcW w:w="998" w:type="dxa"/>
            <w:shd w:val="clear" w:color="auto" w:fill="DDD9C3" w:themeFill="background2" w:themeFillShade="E6"/>
            <w:vAlign w:val="center"/>
          </w:tcPr>
          <w:p w14:paraId="50938F0E" w14:textId="57EDE4F4" w:rsidR="006322C2" w:rsidRDefault="006322C2" w:rsidP="006322C2">
            <w:pPr>
              <w:tabs>
                <w:tab w:val="decimal" w:pos="474"/>
              </w:tabs>
              <w:jc w:val="left"/>
              <w:rPr>
                <w:sz w:val="16"/>
                <w:szCs w:val="16"/>
              </w:rPr>
            </w:pPr>
            <w:r>
              <w:rPr>
                <w:sz w:val="16"/>
                <w:szCs w:val="16"/>
              </w:rPr>
              <w:t>-8.4</w:t>
            </w:r>
          </w:p>
        </w:tc>
      </w:tr>
      <w:tr w:rsidR="006322C2" w:rsidRPr="00E34826" w14:paraId="069A05C2"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0E9C33E4" w14:textId="67AC0E5F"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sidR="007A3A95">
              <w:rPr>
                <w:sz w:val="16"/>
                <w:szCs w:val="16"/>
              </w:rPr>
              <w:t>r</w:t>
            </w:r>
            <w:r w:rsidRPr="00E34826">
              <w:rPr>
                <w:sz w:val="16"/>
                <w:szCs w:val="16"/>
              </w:rPr>
              <w:t xml:space="preserve">emuneraciones </w:t>
            </w:r>
            <w:r w:rsidR="007A3A95">
              <w:rPr>
                <w:sz w:val="16"/>
                <w:szCs w:val="16"/>
              </w:rPr>
              <w:t>m</w:t>
            </w:r>
            <w:r w:rsidRPr="00E34826">
              <w:rPr>
                <w:sz w:val="16"/>
                <w:szCs w:val="16"/>
              </w:rPr>
              <w:t xml:space="preserve">edias </w:t>
            </w:r>
            <w:r w:rsidR="007A3A95">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197F70FF" w14:textId="1C37E056" w:rsidR="006322C2" w:rsidRDefault="006322C2" w:rsidP="006322C2">
            <w:pPr>
              <w:tabs>
                <w:tab w:val="decimal" w:pos="452"/>
              </w:tabs>
              <w:jc w:val="left"/>
              <w:rPr>
                <w:sz w:val="16"/>
                <w:szCs w:val="16"/>
              </w:rPr>
            </w:pPr>
            <w:r>
              <w:rPr>
                <w:sz w:val="16"/>
                <w:szCs w:val="16"/>
              </w:rPr>
              <w:t>111.5</w:t>
            </w:r>
          </w:p>
        </w:tc>
        <w:tc>
          <w:tcPr>
            <w:tcW w:w="997" w:type="dxa"/>
            <w:vAlign w:val="center"/>
          </w:tcPr>
          <w:p w14:paraId="491E9ED5" w14:textId="4A4CA79E" w:rsidR="006322C2" w:rsidRDefault="006322C2" w:rsidP="006322C2">
            <w:pPr>
              <w:tabs>
                <w:tab w:val="decimal" w:pos="463"/>
              </w:tabs>
              <w:jc w:val="left"/>
              <w:rPr>
                <w:sz w:val="16"/>
                <w:szCs w:val="16"/>
              </w:rPr>
            </w:pPr>
            <w:r>
              <w:rPr>
                <w:sz w:val="16"/>
                <w:szCs w:val="16"/>
              </w:rPr>
              <w:t>109.6</w:t>
            </w:r>
          </w:p>
        </w:tc>
        <w:tc>
          <w:tcPr>
            <w:tcW w:w="998" w:type="dxa"/>
            <w:vAlign w:val="center"/>
          </w:tcPr>
          <w:p w14:paraId="36C0340F" w14:textId="67D3F75E" w:rsidR="006322C2" w:rsidRDefault="006322C2" w:rsidP="006322C2">
            <w:pPr>
              <w:tabs>
                <w:tab w:val="decimal" w:pos="474"/>
              </w:tabs>
              <w:jc w:val="left"/>
              <w:rPr>
                <w:sz w:val="16"/>
                <w:szCs w:val="16"/>
              </w:rPr>
            </w:pPr>
            <w:r>
              <w:rPr>
                <w:sz w:val="16"/>
                <w:szCs w:val="16"/>
              </w:rPr>
              <w:t>-1.7</w:t>
            </w:r>
          </w:p>
        </w:tc>
      </w:tr>
      <w:tr w:rsidR="006322C2" w:rsidRPr="00E34826" w14:paraId="775D52F0"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5DDBA2F0" w14:textId="44CFA7D4"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de </w:t>
            </w:r>
            <w:r w:rsidR="007A3A95">
              <w:rPr>
                <w:sz w:val="16"/>
                <w:szCs w:val="16"/>
              </w:rPr>
              <w:t>p</w:t>
            </w:r>
            <w:r w:rsidRPr="00E34826">
              <w:rPr>
                <w:sz w:val="16"/>
                <w:szCs w:val="16"/>
              </w:rPr>
              <w:t xml:space="preserve">roductividad </w:t>
            </w:r>
            <w:r w:rsidR="007A3A95">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E06CB9F" w14:textId="4256D9E3" w:rsidR="006322C2" w:rsidRDefault="006322C2" w:rsidP="006322C2">
            <w:pPr>
              <w:tabs>
                <w:tab w:val="decimal" w:pos="452"/>
              </w:tabs>
              <w:jc w:val="left"/>
              <w:rPr>
                <w:sz w:val="16"/>
                <w:szCs w:val="16"/>
              </w:rPr>
            </w:pPr>
            <w:r>
              <w:rPr>
                <w:sz w:val="16"/>
                <w:szCs w:val="16"/>
              </w:rPr>
              <w:t>92.5</w:t>
            </w:r>
          </w:p>
        </w:tc>
        <w:tc>
          <w:tcPr>
            <w:tcW w:w="997" w:type="dxa"/>
            <w:vAlign w:val="center"/>
          </w:tcPr>
          <w:p w14:paraId="75BE64F5" w14:textId="0D6CB282" w:rsidR="006322C2" w:rsidRDefault="006322C2" w:rsidP="006322C2">
            <w:pPr>
              <w:tabs>
                <w:tab w:val="decimal" w:pos="463"/>
              </w:tabs>
              <w:jc w:val="left"/>
              <w:rPr>
                <w:sz w:val="16"/>
                <w:szCs w:val="16"/>
              </w:rPr>
            </w:pPr>
            <w:r>
              <w:rPr>
                <w:sz w:val="16"/>
                <w:szCs w:val="16"/>
              </w:rPr>
              <w:t>99.4</w:t>
            </w:r>
          </w:p>
        </w:tc>
        <w:tc>
          <w:tcPr>
            <w:tcW w:w="998" w:type="dxa"/>
            <w:vAlign w:val="center"/>
          </w:tcPr>
          <w:p w14:paraId="2433EECF" w14:textId="56232F67" w:rsidR="006322C2" w:rsidRDefault="006322C2" w:rsidP="006322C2">
            <w:pPr>
              <w:tabs>
                <w:tab w:val="decimal" w:pos="474"/>
              </w:tabs>
              <w:jc w:val="left"/>
              <w:rPr>
                <w:sz w:val="16"/>
                <w:szCs w:val="16"/>
              </w:rPr>
            </w:pPr>
            <w:r>
              <w:rPr>
                <w:sz w:val="16"/>
                <w:szCs w:val="16"/>
              </w:rPr>
              <w:t>7.5</w:t>
            </w:r>
          </w:p>
        </w:tc>
      </w:tr>
      <w:tr w:rsidR="006322C2" w:rsidRPr="00E34826" w14:paraId="5B6C5649"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5243B5ED" w14:textId="27DC07AF" w:rsidR="006322C2" w:rsidRPr="00E34826" w:rsidRDefault="006322C2" w:rsidP="006322C2">
            <w:pPr>
              <w:widowControl w:val="0"/>
              <w:spacing w:before="20"/>
              <w:ind w:left="142" w:hanging="96"/>
              <w:rPr>
                <w:sz w:val="16"/>
                <w:szCs w:val="16"/>
              </w:rPr>
            </w:pPr>
            <w:r w:rsidRPr="00E34826">
              <w:rPr>
                <w:sz w:val="16"/>
                <w:szCs w:val="16"/>
              </w:rPr>
              <w:t xml:space="preserve">Costo </w:t>
            </w:r>
            <w:r w:rsidR="007A3A95">
              <w:rPr>
                <w:sz w:val="16"/>
                <w:szCs w:val="16"/>
              </w:rPr>
              <w:t>u</w:t>
            </w:r>
            <w:r w:rsidRPr="00E34826">
              <w:rPr>
                <w:sz w:val="16"/>
                <w:szCs w:val="16"/>
              </w:rPr>
              <w:t xml:space="preserve">nitario de la </w:t>
            </w:r>
            <w:r w:rsidR="007A3A95">
              <w:rPr>
                <w:sz w:val="16"/>
                <w:szCs w:val="16"/>
              </w:rPr>
              <w:t>m</w:t>
            </w:r>
            <w:r w:rsidRPr="00E34826">
              <w:rPr>
                <w:sz w:val="16"/>
                <w:szCs w:val="16"/>
              </w:rPr>
              <w:t xml:space="preserve">ano de </w:t>
            </w:r>
            <w:r w:rsidR="007A3A95">
              <w:rPr>
                <w:sz w:val="16"/>
                <w:szCs w:val="16"/>
              </w:rPr>
              <w:t>o</w:t>
            </w:r>
            <w:r w:rsidRPr="00E34826">
              <w:rPr>
                <w:sz w:val="16"/>
                <w:szCs w:val="16"/>
              </w:rPr>
              <w:t xml:space="preserve">bra en el </w:t>
            </w:r>
            <w:r w:rsidR="007A3A95">
              <w:rPr>
                <w:sz w:val="16"/>
                <w:szCs w:val="16"/>
              </w:rPr>
              <w:t>c</w:t>
            </w:r>
            <w:r w:rsidRPr="00E34826">
              <w:rPr>
                <w:sz w:val="16"/>
                <w:szCs w:val="16"/>
              </w:rPr>
              <w:t xml:space="preserve">omercio al por </w:t>
            </w:r>
            <w:r w:rsidR="007A3A95">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AA71EF1" w14:textId="5751B5EF" w:rsidR="006322C2" w:rsidRDefault="006322C2" w:rsidP="006322C2">
            <w:pPr>
              <w:tabs>
                <w:tab w:val="decimal" w:pos="452"/>
              </w:tabs>
              <w:jc w:val="left"/>
              <w:rPr>
                <w:sz w:val="16"/>
                <w:szCs w:val="16"/>
              </w:rPr>
            </w:pPr>
            <w:r>
              <w:rPr>
                <w:sz w:val="16"/>
                <w:szCs w:val="16"/>
              </w:rPr>
              <w:t>101.9</w:t>
            </w:r>
          </w:p>
        </w:tc>
        <w:tc>
          <w:tcPr>
            <w:tcW w:w="997" w:type="dxa"/>
            <w:shd w:val="clear" w:color="auto" w:fill="DDD9C3" w:themeFill="background2" w:themeFillShade="E6"/>
            <w:vAlign w:val="center"/>
          </w:tcPr>
          <w:p w14:paraId="485AAEDC" w14:textId="25C07D6D" w:rsidR="006322C2" w:rsidRDefault="006322C2" w:rsidP="006322C2">
            <w:pPr>
              <w:tabs>
                <w:tab w:val="decimal" w:pos="463"/>
              </w:tabs>
              <w:jc w:val="left"/>
              <w:rPr>
                <w:sz w:val="16"/>
                <w:szCs w:val="16"/>
              </w:rPr>
            </w:pPr>
            <w:r>
              <w:rPr>
                <w:sz w:val="16"/>
                <w:szCs w:val="16"/>
              </w:rPr>
              <w:t>97.8</w:t>
            </w:r>
          </w:p>
        </w:tc>
        <w:tc>
          <w:tcPr>
            <w:tcW w:w="998" w:type="dxa"/>
            <w:shd w:val="clear" w:color="auto" w:fill="DDD9C3" w:themeFill="background2" w:themeFillShade="E6"/>
            <w:vAlign w:val="center"/>
          </w:tcPr>
          <w:p w14:paraId="59F3074F" w14:textId="4ADDEC39" w:rsidR="006322C2" w:rsidRDefault="006322C2" w:rsidP="006322C2">
            <w:pPr>
              <w:tabs>
                <w:tab w:val="decimal" w:pos="474"/>
              </w:tabs>
              <w:jc w:val="left"/>
              <w:rPr>
                <w:sz w:val="16"/>
                <w:szCs w:val="16"/>
              </w:rPr>
            </w:pPr>
            <w:r>
              <w:rPr>
                <w:sz w:val="16"/>
                <w:szCs w:val="16"/>
              </w:rPr>
              <w:t>-4.0</w:t>
            </w:r>
          </w:p>
        </w:tc>
      </w:tr>
      <w:tr w:rsidR="006322C2" w:rsidRPr="00E34826" w14:paraId="74B2993B"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663720A2" w14:textId="04433C2E"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de </w:t>
            </w:r>
            <w:r w:rsidR="007A3A95">
              <w:rPr>
                <w:sz w:val="16"/>
                <w:szCs w:val="16"/>
              </w:rPr>
              <w:t>r</w:t>
            </w:r>
            <w:r w:rsidRPr="00E34826">
              <w:rPr>
                <w:sz w:val="16"/>
                <w:szCs w:val="16"/>
              </w:rPr>
              <w:t xml:space="preserve">emuneraciones </w:t>
            </w:r>
            <w:r w:rsidR="007A3A95">
              <w:rPr>
                <w:sz w:val="16"/>
                <w:szCs w:val="16"/>
              </w:rPr>
              <w:t>m</w:t>
            </w:r>
            <w:r w:rsidRPr="00E34826">
              <w:rPr>
                <w:sz w:val="16"/>
                <w:szCs w:val="16"/>
              </w:rPr>
              <w:t xml:space="preserve">edias </w:t>
            </w:r>
            <w:r w:rsidR="007A3A95">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BEBD931" w14:textId="54F10D3C" w:rsidR="006322C2" w:rsidRDefault="006322C2" w:rsidP="006322C2">
            <w:pPr>
              <w:tabs>
                <w:tab w:val="decimal" w:pos="452"/>
              </w:tabs>
              <w:jc w:val="left"/>
              <w:rPr>
                <w:sz w:val="16"/>
                <w:szCs w:val="16"/>
              </w:rPr>
            </w:pPr>
            <w:r>
              <w:rPr>
                <w:sz w:val="16"/>
                <w:szCs w:val="16"/>
              </w:rPr>
              <w:t>121.5</w:t>
            </w:r>
          </w:p>
        </w:tc>
        <w:tc>
          <w:tcPr>
            <w:tcW w:w="997" w:type="dxa"/>
            <w:vAlign w:val="center"/>
          </w:tcPr>
          <w:p w14:paraId="51F80DAF" w14:textId="0ACF0F68" w:rsidR="006322C2" w:rsidRDefault="006322C2" w:rsidP="006322C2">
            <w:pPr>
              <w:tabs>
                <w:tab w:val="decimal" w:pos="463"/>
              </w:tabs>
              <w:jc w:val="left"/>
              <w:rPr>
                <w:sz w:val="16"/>
                <w:szCs w:val="16"/>
              </w:rPr>
            </w:pPr>
            <w:r>
              <w:rPr>
                <w:sz w:val="16"/>
                <w:szCs w:val="16"/>
              </w:rPr>
              <w:t>123.0</w:t>
            </w:r>
          </w:p>
        </w:tc>
        <w:tc>
          <w:tcPr>
            <w:tcW w:w="998" w:type="dxa"/>
            <w:vAlign w:val="center"/>
          </w:tcPr>
          <w:p w14:paraId="3431C72B" w14:textId="354025F9" w:rsidR="006322C2" w:rsidRDefault="006322C2" w:rsidP="006322C2">
            <w:pPr>
              <w:tabs>
                <w:tab w:val="decimal" w:pos="474"/>
              </w:tabs>
              <w:jc w:val="left"/>
              <w:rPr>
                <w:sz w:val="16"/>
                <w:szCs w:val="16"/>
              </w:rPr>
            </w:pPr>
            <w:r>
              <w:rPr>
                <w:sz w:val="16"/>
                <w:szCs w:val="16"/>
              </w:rPr>
              <w:t>1.2</w:t>
            </w:r>
          </w:p>
        </w:tc>
      </w:tr>
      <w:tr w:rsidR="006322C2" w:rsidRPr="00E34826" w14:paraId="44EA5C49"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02AD59C2" w14:textId="1650D427"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de </w:t>
            </w:r>
            <w:r w:rsidR="007A3A95">
              <w:rPr>
                <w:sz w:val="16"/>
                <w:szCs w:val="16"/>
              </w:rPr>
              <w:t>p</w:t>
            </w:r>
            <w:r w:rsidRPr="00E34826">
              <w:rPr>
                <w:sz w:val="16"/>
                <w:szCs w:val="16"/>
              </w:rPr>
              <w:t xml:space="preserve">roductividad </w:t>
            </w:r>
            <w:r w:rsidR="007A3A95">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F591B8D" w14:textId="343B8448" w:rsidR="006322C2" w:rsidRDefault="006322C2" w:rsidP="006322C2">
            <w:pPr>
              <w:tabs>
                <w:tab w:val="decimal" w:pos="452"/>
              </w:tabs>
              <w:jc w:val="left"/>
              <w:rPr>
                <w:sz w:val="16"/>
                <w:szCs w:val="16"/>
              </w:rPr>
            </w:pPr>
            <w:r>
              <w:rPr>
                <w:sz w:val="16"/>
                <w:szCs w:val="16"/>
              </w:rPr>
              <w:t>119.2</w:t>
            </w:r>
          </w:p>
        </w:tc>
        <w:tc>
          <w:tcPr>
            <w:tcW w:w="997" w:type="dxa"/>
            <w:vAlign w:val="center"/>
          </w:tcPr>
          <w:p w14:paraId="2882D348" w14:textId="641E63D3" w:rsidR="006322C2" w:rsidRDefault="006322C2" w:rsidP="006322C2">
            <w:pPr>
              <w:tabs>
                <w:tab w:val="decimal" w:pos="463"/>
              </w:tabs>
              <w:jc w:val="left"/>
              <w:rPr>
                <w:sz w:val="16"/>
                <w:szCs w:val="16"/>
              </w:rPr>
            </w:pPr>
            <w:r>
              <w:rPr>
                <w:sz w:val="16"/>
                <w:szCs w:val="16"/>
              </w:rPr>
              <w:t>125.8</w:t>
            </w:r>
          </w:p>
        </w:tc>
        <w:tc>
          <w:tcPr>
            <w:tcW w:w="998" w:type="dxa"/>
            <w:vAlign w:val="center"/>
          </w:tcPr>
          <w:p w14:paraId="3DF04095" w14:textId="7E712AC4" w:rsidR="006322C2" w:rsidRDefault="006322C2" w:rsidP="006322C2">
            <w:pPr>
              <w:tabs>
                <w:tab w:val="decimal" w:pos="474"/>
              </w:tabs>
              <w:jc w:val="left"/>
              <w:rPr>
                <w:sz w:val="16"/>
                <w:szCs w:val="16"/>
              </w:rPr>
            </w:pPr>
            <w:r>
              <w:rPr>
                <w:sz w:val="16"/>
                <w:szCs w:val="16"/>
              </w:rPr>
              <w:t>5.5</w:t>
            </w:r>
          </w:p>
        </w:tc>
      </w:tr>
      <w:tr w:rsidR="006322C2" w:rsidRPr="00E34826" w14:paraId="39B69F92"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DE33349" w14:textId="04E9D003" w:rsidR="006322C2" w:rsidRPr="00E34826" w:rsidRDefault="006322C2" w:rsidP="007A3A95">
            <w:pPr>
              <w:widowControl w:val="0"/>
              <w:spacing w:before="20"/>
              <w:ind w:left="312" w:hanging="266"/>
              <w:rPr>
                <w:sz w:val="16"/>
                <w:szCs w:val="16"/>
              </w:rPr>
            </w:pPr>
            <w:r w:rsidRPr="00E34826">
              <w:rPr>
                <w:sz w:val="16"/>
                <w:szCs w:val="16"/>
              </w:rPr>
              <w:t xml:space="preserve">Costo </w:t>
            </w:r>
            <w:r w:rsidR="007A3A95">
              <w:rPr>
                <w:sz w:val="16"/>
                <w:szCs w:val="16"/>
              </w:rPr>
              <w:t>u</w:t>
            </w:r>
            <w:r w:rsidRPr="00E34826">
              <w:rPr>
                <w:sz w:val="16"/>
                <w:szCs w:val="16"/>
              </w:rPr>
              <w:t xml:space="preserve">nitario de la </w:t>
            </w:r>
            <w:r w:rsidR="007A3A95">
              <w:rPr>
                <w:sz w:val="16"/>
                <w:szCs w:val="16"/>
              </w:rPr>
              <w:t>m</w:t>
            </w:r>
            <w:r w:rsidRPr="00E34826">
              <w:rPr>
                <w:sz w:val="16"/>
                <w:szCs w:val="16"/>
              </w:rPr>
              <w:t xml:space="preserve">ano de </w:t>
            </w:r>
            <w:r w:rsidR="007A3A95">
              <w:rPr>
                <w:sz w:val="16"/>
                <w:szCs w:val="16"/>
              </w:rPr>
              <w:t>o</w:t>
            </w:r>
            <w:r w:rsidRPr="00E34826">
              <w:rPr>
                <w:sz w:val="16"/>
                <w:szCs w:val="16"/>
              </w:rPr>
              <w:t xml:space="preserve">bra en las </w:t>
            </w:r>
            <w:r w:rsidR="007A3A95">
              <w:rPr>
                <w:sz w:val="16"/>
                <w:szCs w:val="16"/>
              </w:rPr>
              <w:t>e</w:t>
            </w:r>
            <w:r w:rsidRPr="00E34826">
              <w:rPr>
                <w:sz w:val="16"/>
                <w:szCs w:val="16"/>
              </w:rPr>
              <w:t xml:space="preserve">mpresas de </w:t>
            </w:r>
            <w:r w:rsidR="007A3A95">
              <w:rPr>
                <w:sz w:val="16"/>
                <w:szCs w:val="16"/>
              </w:rPr>
              <w:t>s</w:t>
            </w:r>
            <w:r w:rsidRPr="00E34826">
              <w:rPr>
                <w:sz w:val="16"/>
                <w:szCs w:val="16"/>
              </w:rPr>
              <w:t>ervicios</w:t>
            </w:r>
            <w:r w:rsidR="007A3A95">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40335E65" w14:textId="6C76E487" w:rsidR="006322C2" w:rsidRDefault="006322C2" w:rsidP="006322C2">
            <w:pPr>
              <w:tabs>
                <w:tab w:val="decimal" w:pos="452"/>
              </w:tabs>
              <w:jc w:val="left"/>
              <w:rPr>
                <w:sz w:val="16"/>
                <w:szCs w:val="16"/>
              </w:rPr>
            </w:pPr>
            <w:r>
              <w:rPr>
                <w:sz w:val="16"/>
                <w:szCs w:val="16"/>
              </w:rPr>
              <w:t>96.1</w:t>
            </w:r>
          </w:p>
        </w:tc>
        <w:tc>
          <w:tcPr>
            <w:tcW w:w="997" w:type="dxa"/>
            <w:shd w:val="clear" w:color="auto" w:fill="DDD9C3" w:themeFill="background2" w:themeFillShade="E6"/>
            <w:vAlign w:val="center"/>
          </w:tcPr>
          <w:p w14:paraId="0DB931AB" w14:textId="6BD20CAB" w:rsidR="006322C2" w:rsidRDefault="006322C2" w:rsidP="006322C2">
            <w:pPr>
              <w:tabs>
                <w:tab w:val="decimal" w:pos="463"/>
              </w:tabs>
              <w:jc w:val="left"/>
              <w:rPr>
                <w:sz w:val="16"/>
                <w:szCs w:val="16"/>
              </w:rPr>
            </w:pPr>
            <w:r>
              <w:rPr>
                <w:sz w:val="16"/>
                <w:szCs w:val="16"/>
              </w:rPr>
              <w:t>74.0</w:t>
            </w:r>
          </w:p>
        </w:tc>
        <w:tc>
          <w:tcPr>
            <w:tcW w:w="998" w:type="dxa"/>
            <w:shd w:val="clear" w:color="auto" w:fill="DDD9C3" w:themeFill="background2" w:themeFillShade="E6"/>
            <w:vAlign w:val="center"/>
          </w:tcPr>
          <w:p w14:paraId="14B332F5" w14:textId="62B16D96" w:rsidR="006322C2" w:rsidRDefault="006322C2" w:rsidP="006322C2">
            <w:pPr>
              <w:tabs>
                <w:tab w:val="decimal" w:pos="474"/>
              </w:tabs>
              <w:jc w:val="left"/>
              <w:rPr>
                <w:sz w:val="16"/>
                <w:szCs w:val="16"/>
              </w:rPr>
            </w:pPr>
            <w:r>
              <w:rPr>
                <w:sz w:val="16"/>
                <w:szCs w:val="16"/>
              </w:rPr>
              <w:t>-23.0</w:t>
            </w:r>
          </w:p>
        </w:tc>
      </w:tr>
      <w:tr w:rsidR="006322C2" w:rsidRPr="00E34826" w14:paraId="62266D07"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2E147137" w14:textId="645D71FC"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de </w:t>
            </w:r>
            <w:r w:rsidR="007A3A95">
              <w:rPr>
                <w:spacing w:val="-4"/>
                <w:sz w:val="16"/>
                <w:szCs w:val="16"/>
              </w:rPr>
              <w:t>r</w:t>
            </w:r>
            <w:r w:rsidRPr="000629EE">
              <w:rPr>
                <w:spacing w:val="-4"/>
                <w:sz w:val="16"/>
                <w:szCs w:val="16"/>
              </w:rPr>
              <w:t>emuneraciones</w:t>
            </w:r>
            <w:r w:rsidRPr="00E34826">
              <w:rPr>
                <w:sz w:val="16"/>
                <w:szCs w:val="16"/>
              </w:rPr>
              <w:t xml:space="preserve"> </w:t>
            </w:r>
            <w:r w:rsidR="007A3A95">
              <w:rPr>
                <w:sz w:val="16"/>
                <w:szCs w:val="16"/>
              </w:rPr>
              <w:t>m</w:t>
            </w:r>
            <w:r w:rsidRPr="00E34826">
              <w:rPr>
                <w:sz w:val="16"/>
                <w:szCs w:val="16"/>
              </w:rPr>
              <w:t xml:space="preserve">edias </w:t>
            </w:r>
            <w:r w:rsidR="007A3A95">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1482844" w14:textId="035CA57C" w:rsidR="006322C2" w:rsidRDefault="006322C2" w:rsidP="006322C2">
            <w:pPr>
              <w:tabs>
                <w:tab w:val="decimal" w:pos="452"/>
              </w:tabs>
              <w:jc w:val="left"/>
              <w:rPr>
                <w:sz w:val="16"/>
                <w:szCs w:val="16"/>
              </w:rPr>
            </w:pPr>
            <w:r>
              <w:rPr>
                <w:sz w:val="16"/>
                <w:szCs w:val="16"/>
              </w:rPr>
              <w:t>107.1</w:t>
            </w:r>
          </w:p>
        </w:tc>
        <w:tc>
          <w:tcPr>
            <w:tcW w:w="997" w:type="dxa"/>
            <w:vAlign w:val="center"/>
          </w:tcPr>
          <w:p w14:paraId="283D9804" w14:textId="40494981" w:rsidR="006322C2" w:rsidRDefault="006322C2" w:rsidP="006322C2">
            <w:pPr>
              <w:tabs>
                <w:tab w:val="decimal" w:pos="463"/>
              </w:tabs>
              <w:jc w:val="left"/>
              <w:rPr>
                <w:sz w:val="16"/>
                <w:szCs w:val="16"/>
              </w:rPr>
            </w:pPr>
            <w:r>
              <w:rPr>
                <w:sz w:val="16"/>
                <w:szCs w:val="16"/>
              </w:rPr>
              <w:t>100.6</w:t>
            </w:r>
          </w:p>
        </w:tc>
        <w:tc>
          <w:tcPr>
            <w:tcW w:w="998" w:type="dxa"/>
            <w:vAlign w:val="center"/>
          </w:tcPr>
          <w:p w14:paraId="5DFD86BA" w14:textId="490D4733" w:rsidR="006322C2" w:rsidRPr="00B872C7" w:rsidRDefault="006322C2" w:rsidP="006322C2">
            <w:pPr>
              <w:tabs>
                <w:tab w:val="decimal" w:pos="474"/>
              </w:tabs>
              <w:jc w:val="left"/>
              <w:rPr>
                <w:strike/>
                <w:sz w:val="16"/>
                <w:szCs w:val="16"/>
              </w:rPr>
            </w:pPr>
            <w:r>
              <w:rPr>
                <w:sz w:val="16"/>
                <w:szCs w:val="16"/>
              </w:rPr>
              <w:t>-6.0</w:t>
            </w:r>
          </w:p>
        </w:tc>
      </w:tr>
      <w:tr w:rsidR="006322C2" w:rsidRPr="00E34826" w14:paraId="172E6733" w14:textId="77777777" w:rsidTr="006322C2">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77318F1D" w14:textId="62629D9D" w:rsidR="006322C2" w:rsidRPr="00E34826" w:rsidRDefault="006322C2" w:rsidP="006322C2">
            <w:pPr>
              <w:widowControl w:val="0"/>
              <w:numPr>
                <w:ilvl w:val="0"/>
                <w:numId w:val="25"/>
              </w:numPr>
              <w:spacing w:before="20" w:after="20"/>
              <w:ind w:left="283" w:hanging="113"/>
              <w:rPr>
                <w:sz w:val="16"/>
                <w:szCs w:val="16"/>
              </w:rPr>
            </w:pPr>
            <w:r w:rsidRPr="00E34826">
              <w:rPr>
                <w:sz w:val="16"/>
                <w:szCs w:val="16"/>
              </w:rPr>
              <w:t xml:space="preserve">Índice de </w:t>
            </w:r>
            <w:r w:rsidR="007A3A95">
              <w:rPr>
                <w:spacing w:val="-4"/>
                <w:sz w:val="16"/>
                <w:szCs w:val="16"/>
              </w:rPr>
              <w:t>p</w:t>
            </w:r>
            <w:r w:rsidRPr="000629EE">
              <w:rPr>
                <w:spacing w:val="-4"/>
                <w:sz w:val="16"/>
                <w:szCs w:val="16"/>
              </w:rPr>
              <w:t>roductividad</w:t>
            </w:r>
            <w:r w:rsidRPr="00E34826">
              <w:rPr>
                <w:sz w:val="16"/>
                <w:szCs w:val="16"/>
              </w:rPr>
              <w:t xml:space="preserve"> </w:t>
            </w:r>
            <w:r w:rsidR="007A3A95">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34C491D" w14:textId="1DE4AF27" w:rsidR="006322C2" w:rsidRDefault="006322C2" w:rsidP="006322C2">
            <w:pPr>
              <w:tabs>
                <w:tab w:val="decimal" w:pos="452"/>
              </w:tabs>
              <w:jc w:val="left"/>
              <w:rPr>
                <w:sz w:val="16"/>
                <w:szCs w:val="16"/>
              </w:rPr>
            </w:pPr>
            <w:r>
              <w:rPr>
                <w:sz w:val="16"/>
                <w:szCs w:val="16"/>
              </w:rPr>
              <w:t>111.5</w:t>
            </w:r>
          </w:p>
        </w:tc>
        <w:tc>
          <w:tcPr>
            <w:tcW w:w="997" w:type="dxa"/>
            <w:vAlign w:val="center"/>
          </w:tcPr>
          <w:p w14:paraId="609DC7DB" w14:textId="0FD176CA" w:rsidR="006322C2" w:rsidRDefault="006322C2" w:rsidP="006322C2">
            <w:pPr>
              <w:tabs>
                <w:tab w:val="decimal" w:pos="463"/>
              </w:tabs>
              <w:jc w:val="left"/>
              <w:rPr>
                <w:sz w:val="16"/>
                <w:szCs w:val="16"/>
              </w:rPr>
            </w:pPr>
            <w:r>
              <w:rPr>
                <w:sz w:val="16"/>
                <w:szCs w:val="16"/>
              </w:rPr>
              <w:t>136.0</w:t>
            </w:r>
          </w:p>
        </w:tc>
        <w:tc>
          <w:tcPr>
            <w:tcW w:w="998" w:type="dxa"/>
            <w:vAlign w:val="center"/>
          </w:tcPr>
          <w:p w14:paraId="20091319" w14:textId="75D134B6" w:rsidR="006322C2" w:rsidRDefault="006322C2" w:rsidP="006322C2">
            <w:pPr>
              <w:tabs>
                <w:tab w:val="decimal" w:pos="474"/>
              </w:tabs>
              <w:jc w:val="left"/>
              <w:rPr>
                <w:sz w:val="16"/>
                <w:szCs w:val="16"/>
              </w:rPr>
            </w:pPr>
            <w:r>
              <w:rPr>
                <w:sz w:val="16"/>
                <w:szCs w:val="16"/>
              </w:rPr>
              <w:t>22.0</w:t>
            </w:r>
          </w:p>
        </w:tc>
      </w:tr>
    </w:tbl>
    <w:p w14:paraId="738BBD98" w14:textId="1D0A460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52F5761D" w14:textId="581BFF36"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6B65B07F" w14:textId="473FAD22"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4AED129A"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3EF735E"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14299353" w14:textId="476A5AAA"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w:t>
      </w:r>
      <w:r w:rsidR="007A3A95">
        <w:rPr>
          <w:b/>
          <w:smallCaps/>
          <w:sz w:val="20"/>
          <w:szCs w:val="20"/>
        </w:rPr>
        <w:t>e</w:t>
      </w:r>
      <w:r w:rsidR="00EA5096" w:rsidRPr="00E34826">
        <w:rPr>
          <w:b/>
          <w:smallCaps/>
          <w:sz w:val="20"/>
          <w:szCs w:val="20"/>
        </w:rPr>
        <w:t xml:space="preserve">ntidad </w:t>
      </w:r>
      <w:r w:rsidR="007A3A95">
        <w:rPr>
          <w:b/>
          <w:smallCaps/>
          <w:sz w:val="20"/>
          <w:szCs w:val="20"/>
        </w:rPr>
        <w:t>f</w:t>
      </w:r>
      <w:r w:rsidR="00EA5096" w:rsidRPr="00E34826">
        <w:rPr>
          <w:b/>
          <w:smallCaps/>
          <w:sz w:val="20"/>
          <w:szCs w:val="20"/>
        </w:rPr>
        <w:t xml:space="preserve">ederativa según </w:t>
      </w:r>
      <w:r w:rsidR="007A3A95">
        <w:rPr>
          <w:b/>
          <w:smallCaps/>
          <w:sz w:val="20"/>
          <w:szCs w:val="20"/>
        </w:rPr>
        <w:t>s</w:t>
      </w:r>
      <w:r w:rsidR="00EA5096" w:rsidRPr="00E34826">
        <w:rPr>
          <w:b/>
          <w:smallCaps/>
          <w:sz w:val="20"/>
          <w:szCs w:val="20"/>
        </w:rPr>
        <w:t>ector</w:t>
      </w:r>
      <w:r w:rsidR="00EA5096" w:rsidRPr="00E34826">
        <w:rPr>
          <w:b/>
          <w:smallCaps/>
          <w:sz w:val="20"/>
          <w:szCs w:val="20"/>
        </w:rPr>
        <w:br/>
      </w:r>
      <w:r w:rsidR="006322C2">
        <w:rPr>
          <w:b/>
          <w:smallCaps/>
          <w:sz w:val="20"/>
          <w:szCs w:val="20"/>
        </w:rPr>
        <w:t>cua</w:t>
      </w:r>
      <w:r w:rsidR="008154E5">
        <w:rPr>
          <w:b/>
          <w:smallCaps/>
          <w:sz w:val="20"/>
          <w:szCs w:val="20"/>
        </w:rPr>
        <w:t>r</w:t>
      </w:r>
      <w:r w:rsidR="006322C2">
        <w:rPr>
          <w:b/>
          <w:smallCaps/>
          <w:sz w:val="20"/>
          <w:szCs w:val="20"/>
        </w:rPr>
        <w:t>to</w:t>
      </w:r>
      <w:r w:rsidR="001A75CB">
        <w:rPr>
          <w:b/>
          <w:smallCaps/>
          <w:sz w:val="20"/>
          <w:szCs w:val="20"/>
        </w:rPr>
        <w:t xml:space="preserve"> </w:t>
      </w:r>
      <w:r w:rsidR="00EA5096" w:rsidRPr="00E34826">
        <w:rPr>
          <w:b/>
          <w:smallCaps/>
          <w:sz w:val="20"/>
          <w:szCs w:val="20"/>
        </w:rPr>
        <w:t xml:space="preserve">trimestre de </w:t>
      </w:r>
      <w:r w:rsidR="00EB1D0C">
        <w:rPr>
          <w:b/>
          <w:smallCaps/>
          <w:sz w:val="20"/>
          <w:szCs w:val="20"/>
        </w:rPr>
        <w:t>20</w:t>
      </w:r>
      <w:r w:rsidR="00E96D99">
        <w:rPr>
          <w:b/>
          <w:smallCaps/>
          <w:sz w:val="20"/>
          <w:szCs w:val="20"/>
        </w:rPr>
        <w:t>2</w:t>
      </w:r>
      <w:r w:rsidR="00917606">
        <w:rPr>
          <w:b/>
          <w:smallCaps/>
          <w:sz w:val="20"/>
          <w:szCs w:val="20"/>
        </w:rPr>
        <w:t>1</w:t>
      </w:r>
      <w:r w:rsidR="00EA5096" w:rsidRPr="00E34826">
        <w:rPr>
          <w:b/>
          <w:sz w:val="20"/>
          <w:szCs w:val="20"/>
          <w:vertAlign w:val="superscript"/>
        </w:rPr>
        <w:t>p</w:t>
      </w:r>
      <w:r w:rsidR="00EA5096" w:rsidRPr="00E34826">
        <w:rPr>
          <w:b/>
          <w:sz w:val="22"/>
          <w:vertAlign w:val="superscript"/>
        </w:rPr>
        <w:t>/</w:t>
      </w:r>
    </w:p>
    <w:p w14:paraId="1A059725"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0E11B3EB"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63841E90" w14:textId="12B2D1BC"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5E955606" w14:textId="2B18A1E1"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22120A9C" w14:textId="08039E3C"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292DC1C3"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5B6F2D6E" w14:textId="6DA6A296"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532EBBC3" w14:textId="34515C89"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42E609C5" w14:textId="32B71402"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m</w:t>
            </w:r>
            <w:r w:rsidRPr="00E34826">
              <w:rPr>
                <w:sz w:val="16"/>
                <w:szCs w:val="16"/>
                <w:lang w:val="es-MX" w:eastAsia="es-MX"/>
              </w:rPr>
              <w:t>omerciales</w:t>
            </w:r>
            <w:r w:rsidR="00003EB2" w:rsidRPr="00E34826">
              <w:rPr>
                <w:sz w:val="16"/>
                <w:szCs w:val="16"/>
                <w:vertAlign w:val="superscript"/>
                <w:lang w:val="es-MX" w:eastAsia="es-MX"/>
              </w:rPr>
              <w:t>2/</w:t>
            </w:r>
          </w:p>
        </w:tc>
      </w:tr>
      <w:tr w:rsidR="00EA5096" w:rsidRPr="00E34826" w14:paraId="19FFEF94"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583000AE"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49709E6"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71638B9A" w14:textId="04709673"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12EF84FD" w14:textId="699FFEC9"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09CDA313"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30F5B61E"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5D5868CD"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3B95A63" w14:textId="4B212210"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8CD609C" w14:textId="02E85BB3"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r>
      <w:tr w:rsidR="006322C2" w:rsidRPr="00E34826" w14:paraId="32F8B517" w14:textId="77777777" w:rsidTr="006322C2">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0A96CF5E"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69E1161" w14:textId="020EEB35" w:rsidR="006322C2" w:rsidRPr="00A46A94" w:rsidRDefault="006322C2" w:rsidP="006322C2">
            <w:pPr>
              <w:tabs>
                <w:tab w:val="decimal" w:pos="568"/>
              </w:tabs>
              <w:jc w:val="left"/>
              <w:rPr>
                <w:color w:val="000000"/>
                <w:sz w:val="16"/>
                <w:szCs w:val="16"/>
              </w:rPr>
            </w:pPr>
            <w:r>
              <w:rPr>
                <w:sz w:val="16"/>
                <w:szCs w:val="16"/>
              </w:rPr>
              <w:t>24.8</w:t>
            </w:r>
          </w:p>
        </w:tc>
        <w:tc>
          <w:tcPr>
            <w:tcW w:w="550" w:type="pct"/>
            <w:tcBorders>
              <w:top w:val="single" w:sz="8" w:space="0" w:color="948A54"/>
            </w:tcBorders>
            <w:shd w:val="clear" w:color="auto" w:fill="auto"/>
            <w:noWrap/>
            <w:vAlign w:val="center"/>
          </w:tcPr>
          <w:p w14:paraId="090D93FA" w14:textId="76DCFE20" w:rsidR="006322C2" w:rsidRPr="00A46A94" w:rsidRDefault="006322C2" w:rsidP="006322C2">
            <w:pPr>
              <w:tabs>
                <w:tab w:val="decimal" w:pos="547"/>
              </w:tabs>
              <w:jc w:val="left"/>
              <w:rPr>
                <w:color w:val="000000"/>
                <w:sz w:val="16"/>
                <w:szCs w:val="16"/>
              </w:rPr>
            </w:pPr>
            <w:r>
              <w:rPr>
                <w:sz w:val="16"/>
                <w:szCs w:val="16"/>
              </w:rPr>
              <w:t>12.6</w:t>
            </w:r>
          </w:p>
        </w:tc>
        <w:tc>
          <w:tcPr>
            <w:tcW w:w="550" w:type="pct"/>
            <w:tcBorders>
              <w:top w:val="single" w:sz="8" w:space="0" w:color="948A54"/>
              <w:right w:val="single" w:sz="8" w:space="0" w:color="948A54"/>
            </w:tcBorders>
            <w:shd w:val="clear" w:color="auto" w:fill="auto"/>
            <w:noWrap/>
            <w:vAlign w:val="center"/>
          </w:tcPr>
          <w:p w14:paraId="68F29A36" w14:textId="0ECF4639" w:rsidR="006322C2" w:rsidRPr="00A46A94" w:rsidRDefault="006322C2" w:rsidP="006322C2">
            <w:pPr>
              <w:tabs>
                <w:tab w:val="decimal" w:pos="423"/>
              </w:tabs>
              <w:jc w:val="left"/>
              <w:rPr>
                <w:color w:val="000000"/>
                <w:sz w:val="16"/>
                <w:szCs w:val="16"/>
              </w:rPr>
            </w:pPr>
            <w:r>
              <w:rPr>
                <w:sz w:val="16"/>
                <w:szCs w:val="16"/>
              </w:rPr>
              <w:t>-7.1</w:t>
            </w:r>
          </w:p>
        </w:tc>
        <w:tc>
          <w:tcPr>
            <w:tcW w:w="87" w:type="pct"/>
            <w:tcBorders>
              <w:left w:val="single" w:sz="8" w:space="0" w:color="948A54"/>
              <w:right w:val="single" w:sz="8" w:space="0" w:color="948A54"/>
            </w:tcBorders>
            <w:shd w:val="clear" w:color="auto" w:fill="auto"/>
            <w:noWrap/>
            <w:vAlign w:val="center"/>
            <w:hideMark/>
          </w:tcPr>
          <w:p w14:paraId="3E12F2E4" w14:textId="77777777" w:rsidR="006322C2" w:rsidRPr="00E1388D" w:rsidRDefault="006322C2" w:rsidP="006322C2">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77FCF688"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3E8ABA37" w14:textId="45279D9C" w:rsidR="006322C2" w:rsidRDefault="006322C2" w:rsidP="00EA58BB">
            <w:pPr>
              <w:tabs>
                <w:tab w:val="decimal" w:pos="532"/>
              </w:tabs>
              <w:jc w:val="left"/>
              <w:rPr>
                <w:sz w:val="16"/>
                <w:szCs w:val="16"/>
                <w:lang w:val="es-MX" w:eastAsia="es-MX"/>
              </w:rPr>
            </w:pPr>
            <w:r>
              <w:rPr>
                <w:sz w:val="16"/>
                <w:szCs w:val="16"/>
              </w:rPr>
              <w:t>2.5</w:t>
            </w:r>
          </w:p>
        </w:tc>
        <w:tc>
          <w:tcPr>
            <w:tcW w:w="547" w:type="pct"/>
            <w:tcBorders>
              <w:top w:val="single" w:sz="6" w:space="0" w:color="948A54"/>
            </w:tcBorders>
            <w:shd w:val="clear" w:color="auto" w:fill="auto"/>
            <w:vAlign w:val="center"/>
          </w:tcPr>
          <w:p w14:paraId="6B169EBA" w14:textId="07EB531E" w:rsidR="006322C2" w:rsidRPr="00A46A94" w:rsidRDefault="006322C2" w:rsidP="00EA58BB">
            <w:pPr>
              <w:tabs>
                <w:tab w:val="decimal" w:pos="542"/>
              </w:tabs>
              <w:jc w:val="left"/>
              <w:rPr>
                <w:color w:val="000000"/>
                <w:sz w:val="16"/>
                <w:szCs w:val="16"/>
              </w:rPr>
            </w:pPr>
            <w:r>
              <w:rPr>
                <w:sz w:val="16"/>
                <w:szCs w:val="16"/>
              </w:rPr>
              <w:t>-3.1</w:t>
            </w:r>
          </w:p>
        </w:tc>
        <w:tc>
          <w:tcPr>
            <w:tcW w:w="545" w:type="pct"/>
            <w:tcBorders>
              <w:top w:val="single" w:sz="6" w:space="0" w:color="948A54"/>
              <w:right w:val="single" w:sz="8" w:space="0" w:color="948A54"/>
            </w:tcBorders>
            <w:shd w:val="clear" w:color="auto" w:fill="auto"/>
            <w:vAlign w:val="center"/>
          </w:tcPr>
          <w:p w14:paraId="5DD4421A" w14:textId="5D6FF974" w:rsidR="006322C2" w:rsidRPr="00A46A94" w:rsidRDefault="006322C2" w:rsidP="00EA58BB">
            <w:pPr>
              <w:tabs>
                <w:tab w:val="decimal" w:pos="466"/>
              </w:tabs>
              <w:jc w:val="left"/>
              <w:rPr>
                <w:color w:val="000000"/>
                <w:sz w:val="16"/>
                <w:szCs w:val="16"/>
              </w:rPr>
            </w:pPr>
            <w:r>
              <w:rPr>
                <w:sz w:val="16"/>
                <w:szCs w:val="16"/>
              </w:rPr>
              <w:t>-5.8</w:t>
            </w:r>
          </w:p>
        </w:tc>
      </w:tr>
      <w:tr w:rsidR="006322C2" w:rsidRPr="00E34826" w14:paraId="70284AAE"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0A47FE70"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06F8C251" w14:textId="78858E99" w:rsidR="006322C2" w:rsidRPr="00A46A94" w:rsidRDefault="006322C2" w:rsidP="006322C2">
            <w:pPr>
              <w:tabs>
                <w:tab w:val="decimal" w:pos="568"/>
              </w:tabs>
              <w:jc w:val="left"/>
              <w:rPr>
                <w:color w:val="000000"/>
                <w:sz w:val="16"/>
                <w:szCs w:val="16"/>
              </w:rPr>
            </w:pPr>
            <w:r>
              <w:rPr>
                <w:sz w:val="16"/>
                <w:szCs w:val="16"/>
              </w:rPr>
              <w:t>-3.1</w:t>
            </w:r>
          </w:p>
        </w:tc>
        <w:tc>
          <w:tcPr>
            <w:tcW w:w="550" w:type="pct"/>
            <w:shd w:val="clear" w:color="auto" w:fill="auto"/>
            <w:noWrap/>
            <w:vAlign w:val="center"/>
          </w:tcPr>
          <w:p w14:paraId="104356AD" w14:textId="79EA5E3F" w:rsidR="006322C2" w:rsidRPr="00A46A94" w:rsidRDefault="006322C2" w:rsidP="006322C2">
            <w:pPr>
              <w:tabs>
                <w:tab w:val="decimal" w:pos="547"/>
              </w:tabs>
              <w:jc w:val="left"/>
              <w:rPr>
                <w:color w:val="000000"/>
                <w:sz w:val="16"/>
                <w:szCs w:val="16"/>
              </w:rPr>
            </w:pPr>
            <w:r>
              <w:rPr>
                <w:sz w:val="16"/>
                <w:szCs w:val="16"/>
              </w:rPr>
              <w:t>-5.3</w:t>
            </w:r>
          </w:p>
        </w:tc>
        <w:tc>
          <w:tcPr>
            <w:tcW w:w="550" w:type="pct"/>
            <w:tcBorders>
              <w:right w:val="single" w:sz="8" w:space="0" w:color="948A54"/>
            </w:tcBorders>
            <w:shd w:val="clear" w:color="auto" w:fill="auto"/>
            <w:noWrap/>
            <w:vAlign w:val="center"/>
          </w:tcPr>
          <w:p w14:paraId="0260D5A3" w14:textId="2A3EB57B" w:rsidR="006322C2" w:rsidRPr="00A46A94" w:rsidRDefault="006322C2" w:rsidP="006322C2">
            <w:pPr>
              <w:tabs>
                <w:tab w:val="decimal" w:pos="423"/>
              </w:tabs>
              <w:jc w:val="left"/>
              <w:rPr>
                <w:color w:val="000000"/>
                <w:sz w:val="16"/>
                <w:szCs w:val="16"/>
              </w:rPr>
            </w:pPr>
            <w:r>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57F076D3"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F0B67BA"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33972AB4" w14:textId="41D77189" w:rsidR="006322C2" w:rsidRDefault="006322C2" w:rsidP="00EA58BB">
            <w:pPr>
              <w:tabs>
                <w:tab w:val="decimal" w:pos="532"/>
              </w:tabs>
              <w:jc w:val="left"/>
              <w:rPr>
                <w:sz w:val="16"/>
                <w:szCs w:val="16"/>
              </w:rPr>
            </w:pPr>
            <w:r>
              <w:rPr>
                <w:sz w:val="16"/>
                <w:szCs w:val="16"/>
              </w:rPr>
              <w:t>-2.0</w:t>
            </w:r>
          </w:p>
        </w:tc>
        <w:tc>
          <w:tcPr>
            <w:tcW w:w="547" w:type="pct"/>
            <w:shd w:val="clear" w:color="auto" w:fill="auto"/>
            <w:vAlign w:val="center"/>
          </w:tcPr>
          <w:p w14:paraId="494E16F4" w14:textId="79CF0D62" w:rsidR="006322C2" w:rsidRPr="00A46A94" w:rsidRDefault="006322C2" w:rsidP="00EA58BB">
            <w:pPr>
              <w:tabs>
                <w:tab w:val="decimal" w:pos="542"/>
              </w:tabs>
              <w:jc w:val="left"/>
              <w:rPr>
                <w:color w:val="000000"/>
                <w:sz w:val="16"/>
                <w:szCs w:val="16"/>
              </w:rPr>
            </w:pPr>
            <w:r>
              <w:rPr>
                <w:sz w:val="16"/>
                <w:szCs w:val="16"/>
              </w:rPr>
              <w:t>2.8</w:t>
            </w:r>
          </w:p>
        </w:tc>
        <w:tc>
          <w:tcPr>
            <w:tcW w:w="545" w:type="pct"/>
            <w:tcBorders>
              <w:right w:val="single" w:sz="8" w:space="0" w:color="948A54"/>
            </w:tcBorders>
            <w:shd w:val="clear" w:color="auto" w:fill="auto"/>
            <w:vAlign w:val="center"/>
          </w:tcPr>
          <w:p w14:paraId="53D36721" w14:textId="44641847" w:rsidR="006322C2" w:rsidRPr="00A46A94" w:rsidRDefault="006322C2" w:rsidP="00EA58BB">
            <w:pPr>
              <w:tabs>
                <w:tab w:val="decimal" w:pos="466"/>
              </w:tabs>
              <w:jc w:val="left"/>
              <w:rPr>
                <w:color w:val="000000"/>
                <w:sz w:val="16"/>
                <w:szCs w:val="16"/>
              </w:rPr>
            </w:pPr>
            <w:r>
              <w:rPr>
                <w:sz w:val="16"/>
                <w:szCs w:val="16"/>
              </w:rPr>
              <w:t>-8.9</w:t>
            </w:r>
          </w:p>
        </w:tc>
      </w:tr>
      <w:tr w:rsidR="006322C2" w:rsidRPr="00E34826" w14:paraId="17F74F20"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54C5F26A"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48F1BA6D" w14:textId="17FD7A0A" w:rsidR="006322C2" w:rsidRPr="00A46A94" w:rsidRDefault="006322C2" w:rsidP="006322C2">
            <w:pPr>
              <w:tabs>
                <w:tab w:val="decimal" w:pos="568"/>
              </w:tabs>
              <w:jc w:val="left"/>
              <w:rPr>
                <w:color w:val="000000"/>
                <w:sz w:val="16"/>
                <w:szCs w:val="16"/>
              </w:rPr>
            </w:pPr>
            <w:r>
              <w:rPr>
                <w:sz w:val="16"/>
                <w:szCs w:val="16"/>
              </w:rPr>
              <w:t>-10.1</w:t>
            </w:r>
          </w:p>
        </w:tc>
        <w:tc>
          <w:tcPr>
            <w:tcW w:w="550" w:type="pct"/>
            <w:shd w:val="clear" w:color="auto" w:fill="DDD9C3"/>
            <w:noWrap/>
            <w:vAlign w:val="center"/>
          </w:tcPr>
          <w:p w14:paraId="7C89D357" w14:textId="0E4C0206" w:rsidR="006322C2" w:rsidRPr="00A46A94" w:rsidRDefault="006322C2" w:rsidP="006322C2">
            <w:pPr>
              <w:tabs>
                <w:tab w:val="decimal" w:pos="547"/>
              </w:tabs>
              <w:jc w:val="left"/>
              <w:rPr>
                <w:color w:val="000000"/>
                <w:sz w:val="16"/>
                <w:szCs w:val="16"/>
              </w:rPr>
            </w:pPr>
            <w:r>
              <w:rPr>
                <w:sz w:val="16"/>
                <w:szCs w:val="16"/>
              </w:rPr>
              <w:t>-15.9</w:t>
            </w:r>
          </w:p>
        </w:tc>
        <w:tc>
          <w:tcPr>
            <w:tcW w:w="550" w:type="pct"/>
            <w:tcBorders>
              <w:right w:val="single" w:sz="8" w:space="0" w:color="948A54"/>
            </w:tcBorders>
            <w:shd w:val="clear" w:color="auto" w:fill="DDD9C3"/>
            <w:noWrap/>
            <w:vAlign w:val="center"/>
          </w:tcPr>
          <w:p w14:paraId="4E7DB873" w14:textId="47A6B4B4" w:rsidR="006322C2" w:rsidRPr="00A46A94" w:rsidRDefault="006322C2" w:rsidP="006322C2">
            <w:pPr>
              <w:tabs>
                <w:tab w:val="decimal" w:pos="423"/>
              </w:tabs>
              <w:jc w:val="left"/>
              <w:rPr>
                <w:color w:val="000000"/>
                <w:sz w:val="16"/>
                <w:szCs w:val="16"/>
              </w:rPr>
            </w:pPr>
            <w:r>
              <w:rPr>
                <w:sz w:val="16"/>
                <w:szCs w:val="16"/>
              </w:rPr>
              <w:t>-9.6</w:t>
            </w:r>
          </w:p>
        </w:tc>
        <w:tc>
          <w:tcPr>
            <w:tcW w:w="87" w:type="pct"/>
            <w:tcBorders>
              <w:left w:val="single" w:sz="8" w:space="0" w:color="948A54"/>
              <w:right w:val="single" w:sz="8" w:space="0" w:color="948A54"/>
            </w:tcBorders>
            <w:shd w:val="clear" w:color="auto" w:fill="auto"/>
            <w:noWrap/>
            <w:vAlign w:val="center"/>
            <w:hideMark/>
          </w:tcPr>
          <w:p w14:paraId="4819F9C1"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78F431F"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E0EC637" w14:textId="709B6D3C" w:rsidR="006322C2" w:rsidRDefault="006322C2" w:rsidP="00EA58BB">
            <w:pPr>
              <w:tabs>
                <w:tab w:val="decimal" w:pos="532"/>
              </w:tabs>
              <w:jc w:val="left"/>
              <w:rPr>
                <w:sz w:val="16"/>
                <w:szCs w:val="16"/>
              </w:rPr>
            </w:pPr>
            <w:r>
              <w:rPr>
                <w:sz w:val="16"/>
                <w:szCs w:val="16"/>
              </w:rPr>
              <w:t>-5.4</w:t>
            </w:r>
          </w:p>
        </w:tc>
        <w:tc>
          <w:tcPr>
            <w:tcW w:w="547" w:type="pct"/>
            <w:shd w:val="clear" w:color="auto" w:fill="DDD9C3"/>
            <w:vAlign w:val="center"/>
          </w:tcPr>
          <w:p w14:paraId="57D71088" w14:textId="31009B07" w:rsidR="006322C2" w:rsidRPr="00A46A94" w:rsidRDefault="006322C2" w:rsidP="00EA58BB">
            <w:pPr>
              <w:tabs>
                <w:tab w:val="decimal" w:pos="542"/>
              </w:tabs>
              <w:jc w:val="left"/>
              <w:rPr>
                <w:color w:val="000000"/>
                <w:sz w:val="16"/>
                <w:szCs w:val="16"/>
              </w:rPr>
            </w:pPr>
            <w:r>
              <w:rPr>
                <w:sz w:val="16"/>
                <w:szCs w:val="16"/>
              </w:rPr>
              <w:t>-5.3</w:t>
            </w:r>
          </w:p>
        </w:tc>
        <w:tc>
          <w:tcPr>
            <w:tcW w:w="545" w:type="pct"/>
            <w:tcBorders>
              <w:right w:val="single" w:sz="8" w:space="0" w:color="948A54"/>
            </w:tcBorders>
            <w:shd w:val="clear" w:color="auto" w:fill="DDD9C3"/>
            <w:vAlign w:val="center"/>
          </w:tcPr>
          <w:p w14:paraId="70A22877" w14:textId="0FB36819" w:rsidR="006322C2" w:rsidRPr="00A46A94" w:rsidRDefault="006322C2" w:rsidP="00EA58BB">
            <w:pPr>
              <w:tabs>
                <w:tab w:val="decimal" w:pos="466"/>
              </w:tabs>
              <w:jc w:val="left"/>
              <w:rPr>
                <w:color w:val="000000"/>
                <w:sz w:val="16"/>
                <w:szCs w:val="16"/>
              </w:rPr>
            </w:pPr>
            <w:r>
              <w:rPr>
                <w:sz w:val="16"/>
                <w:szCs w:val="16"/>
              </w:rPr>
              <w:t>-5.4</w:t>
            </w:r>
          </w:p>
        </w:tc>
      </w:tr>
      <w:tr w:rsidR="006322C2" w:rsidRPr="00E34826" w14:paraId="12619245"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05A335B4"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614FDAE8" w14:textId="053BC65D" w:rsidR="006322C2" w:rsidRPr="00A46A94" w:rsidRDefault="006322C2" w:rsidP="006322C2">
            <w:pPr>
              <w:tabs>
                <w:tab w:val="decimal" w:pos="568"/>
              </w:tabs>
              <w:jc w:val="left"/>
              <w:rPr>
                <w:color w:val="000000"/>
                <w:sz w:val="16"/>
                <w:szCs w:val="16"/>
              </w:rPr>
            </w:pPr>
            <w:r>
              <w:rPr>
                <w:sz w:val="16"/>
                <w:szCs w:val="16"/>
              </w:rPr>
              <w:t>-1.9</w:t>
            </w:r>
          </w:p>
        </w:tc>
        <w:tc>
          <w:tcPr>
            <w:tcW w:w="550" w:type="pct"/>
            <w:shd w:val="clear" w:color="auto" w:fill="DDD9C3"/>
            <w:noWrap/>
            <w:vAlign w:val="center"/>
          </w:tcPr>
          <w:p w14:paraId="4F8DF00A" w14:textId="60B07663" w:rsidR="006322C2" w:rsidRPr="00A46A94" w:rsidRDefault="006322C2" w:rsidP="006322C2">
            <w:pPr>
              <w:tabs>
                <w:tab w:val="decimal" w:pos="547"/>
              </w:tabs>
              <w:jc w:val="left"/>
              <w:rPr>
                <w:color w:val="000000"/>
                <w:sz w:val="16"/>
                <w:szCs w:val="16"/>
              </w:rPr>
            </w:pPr>
            <w:r>
              <w:rPr>
                <w:sz w:val="16"/>
                <w:szCs w:val="16"/>
              </w:rPr>
              <w:t>-3.8</w:t>
            </w:r>
          </w:p>
        </w:tc>
        <w:tc>
          <w:tcPr>
            <w:tcW w:w="550" w:type="pct"/>
            <w:tcBorders>
              <w:right w:val="single" w:sz="8" w:space="0" w:color="948A54"/>
            </w:tcBorders>
            <w:shd w:val="clear" w:color="auto" w:fill="DDD9C3"/>
            <w:noWrap/>
            <w:vAlign w:val="center"/>
          </w:tcPr>
          <w:p w14:paraId="133E8FD8" w14:textId="4EDB871B" w:rsidR="006322C2" w:rsidRPr="00A46A94" w:rsidRDefault="006322C2" w:rsidP="006322C2">
            <w:pPr>
              <w:tabs>
                <w:tab w:val="decimal" w:pos="423"/>
              </w:tabs>
              <w:jc w:val="left"/>
              <w:rPr>
                <w:color w:val="000000"/>
                <w:sz w:val="16"/>
                <w:szCs w:val="16"/>
              </w:rPr>
            </w:pPr>
            <w:r>
              <w:rPr>
                <w:sz w:val="16"/>
                <w:szCs w:val="16"/>
              </w:rPr>
              <w:t>-0.6</w:t>
            </w:r>
          </w:p>
        </w:tc>
        <w:tc>
          <w:tcPr>
            <w:tcW w:w="87" w:type="pct"/>
            <w:tcBorders>
              <w:left w:val="single" w:sz="8" w:space="0" w:color="948A54"/>
              <w:right w:val="single" w:sz="8" w:space="0" w:color="948A54"/>
            </w:tcBorders>
            <w:shd w:val="clear" w:color="auto" w:fill="auto"/>
            <w:noWrap/>
            <w:vAlign w:val="center"/>
            <w:hideMark/>
          </w:tcPr>
          <w:p w14:paraId="62210DA2"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914FA96"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24DE1433" w14:textId="3FA99D43" w:rsidR="006322C2" w:rsidRDefault="006322C2" w:rsidP="00EA58BB">
            <w:pPr>
              <w:tabs>
                <w:tab w:val="decimal" w:pos="532"/>
              </w:tabs>
              <w:jc w:val="left"/>
              <w:rPr>
                <w:sz w:val="16"/>
                <w:szCs w:val="16"/>
              </w:rPr>
            </w:pPr>
            <w:r>
              <w:rPr>
                <w:sz w:val="16"/>
                <w:szCs w:val="16"/>
              </w:rPr>
              <w:t>-21.8</w:t>
            </w:r>
          </w:p>
        </w:tc>
        <w:tc>
          <w:tcPr>
            <w:tcW w:w="547" w:type="pct"/>
            <w:shd w:val="clear" w:color="auto" w:fill="DDD9C3"/>
            <w:vAlign w:val="center"/>
          </w:tcPr>
          <w:p w14:paraId="76B9BBD8" w14:textId="2E57E625" w:rsidR="006322C2" w:rsidRPr="00A46A94" w:rsidRDefault="006322C2" w:rsidP="00EA58BB">
            <w:pPr>
              <w:tabs>
                <w:tab w:val="decimal" w:pos="542"/>
              </w:tabs>
              <w:jc w:val="left"/>
              <w:rPr>
                <w:color w:val="000000"/>
                <w:sz w:val="16"/>
                <w:szCs w:val="16"/>
              </w:rPr>
            </w:pPr>
            <w:r>
              <w:rPr>
                <w:sz w:val="16"/>
                <w:szCs w:val="16"/>
              </w:rPr>
              <w:t>-6.2</w:t>
            </w:r>
          </w:p>
        </w:tc>
        <w:tc>
          <w:tcPr>
            <w:tcW w:w="545" w:type="pct"/>
            <w:tcBorders>
              <w:right w:val="single" w:sz="8" w:space="0" w:color="948A54"/>
            </w:tcBorders>
            <w:shd w:val="clear" w:color="auto" w:fill="DDD9C3"/>
            <w:vAlign w:val="center"/>
          </w:tcPr>
          <w:p w14:paraId="4E684D12" w14:textId="0CFAA9D1" w:rsidR="006322C2" w:rsidRPr="00A46A94" w:rsidRDefault="006322C2" w:rsidP="00EA58BB">
            <w:pPr>
              <w:tabs>
                <w:tab w:val="decimal" w:pos="466"/>
              </w:tabs>
              <w:jc w:val="left"/>
              <w:rPr>
                <w:color w:val="000000"/>
                <w:sz w:val="16"/>
                <w:szCs w:val="16"/>
              </w:rPr>
            </w:pPr>
            <w:r>
              <w:rPr>
                <w:sz w:val="16"/>
                <w:szCs w:val="16"/>
              </w:rPr>
              <w:t>-7.9</w:t>
            </w:r>
          </w:p>
        </w:tc>
      </w:tr>
      <w:tr w:rsidR="006322C2" w:rsidRPr="00E34826" w14:paraId="48E899C5"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443515AB" w14:textId="77777777" w:rsidR="006322C2" w:rsidRPr="00E34826" w:rsidRDefault="006322C2" w:rsidP="006322C2">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438D083A" w14:textId="2AB04690" w:rsidR="006322C2" w:rsidRPr="00A46A94" w:rsidRDefault="006322C2" w:rsidP="006322C2">
            <w:pPr>
              <w:tabs>
                <w:tab w:val="decimal" w:pos="568"/>
              </w:tabs>
              <w:jc w:val="left"/>
              <w:rPr>
                <w:color w:val="000000"/>
                <w:sz w:val="16"/>
                <w:szCs w:val="16"/>
              </w:rPr>
            </w:pPr>
            <w:r>
              <w:rPr>
                <w:sz w:val="16"/>
                <w:szCs w:val="16"/>
              </w:rPr>
              <w:t>3.1</w:t>
            </w:r>
          </w:p>
        </w:tc>
        <w:tc>
          <w:tcPr>
            <w:tcW w:w="550" w:type="pct"/>
            <w:shd w:val="clear" w:color="auto" w:fill="auto"/>
            <w:noWrap/>
            <w:vAlign w:val="center"/>
          </w:tcPr>
          <w:p w14:paraId="14818160" w14:textId="707A09D4" w:rsidR="006322C2" w:rsidRPr="00A46A94" w:rsidRDefault="006322C2" w:rsidP="006322C2">
            <w:pPr>
              <w:tabs>
                <w:tab w:val="decimal" w:pos="547"/>
              </w:tabs>
              <w:jc w:val="left"/>
              <w:rPr>
                <w:color w:val="000000"/>
                <w:sz w:val="16"/>
                <w:szCs w:val="16"/>
              </w:rPr>
            </w:pPr>
            <w:r>
              <w:rPr>
                <w:sz w:val="16"/>
                <w:szCs w:val="16"/>
              </w:rPr>
              <w:t>-9.9</w:t>
            </w:r>
          </w:p>
        </w:tc>
        <w:tc>
          <w:tcPr>
            <w:tcW w:w="550" w:type="pct"/>
            <w:tcBorders>
              <w:right w:val="single" w:sz="8" w:space="0" w:color="948A54"/>
            </w:tcBorders>
            <w:shd w:val="clear" w:color="auto" w:fill="auto"/>
            <w:noWrap/>
            <w:vAlign w:val="center"/>
          </w:tcPr>
          <w:p w14:paraId="474CED5B" w14:textId="3A4A0EED" w:rsidR="006322C2" w:rsidRPr="00A46A94" w:rsidRDefault="006322C2" w:rsidP="006322C2">
            <w:pPr>
              <w:tabs>
                <w:tab w:val="decimal" w:pos="423"/>
              </w:tabs>
              <w:jc w:val="left"/>
              <w:rPr>
                <w:color w:val="000000"/>
                <w:sz w:val="16"/>
                <w:szCs w:val="16"/>
              </w:rPr>
            </w:pPr>
            <w:r>
              <w:rPr>
                <w:sz w:val="16"/>
                <w:szCs w:val="16"/>
              </w:rPr>
              <w:t>2.8</w:t>
            </w:r>
          </w:p>
        </w:tc>
        <w:tc>
          <w:tcPr>
            <w:tcW w:w="87" w:type="pct"/>
            <w:tcBorders>
              <w:left w:val="single" w:sz="8" w:space="0" w:color="948A54"/>
              <w:right w:val="single" w:sz="8" w:space="0" w:color="948A54"/>
            </w:tcBorders>
            <w:shd w:val="clear" w:color="auto" w:fill="auto"/>
            <w:noWrap/>
            <w:vAlign w:val="center"/>
            <w:hideMark/>
          </w:tcPr>
          <w:p w14:paraId="6D3A9FB6"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0DF948"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1C213C37" w14:textId="5835510E" w:rsidR="006322C2" w:rsidRDefault="006322C2" w:rsidP="00EA58BB">
            <w:pPr>
              <w:tabs>
                <w:tab w:val="decimal" w:pos="532"/>
              </w:tabs>
              <w:jc w:val="left"/>
              <w:rPr>
                <w:sz w:val="16"/>
                <w:szCs w:val="16"/>
              </w:rPr>
            </w:pPr>
            <w:r>
              <w:rPr>
                <w:sz w:val="16"/>
                <w:szCs w:val="16"/>
              </w:rPr>
              <w:t>4.3</w:t>
            </w:r>
          </w:p>
        </w:tc>
        <w:tc>
          <w:tcPr>
            <w:tcW w:w="547" w:type="pct"/>
            <w:shd w:val="clear" w:color="auto" w:fill="auto"/>
            <w:vAlign w:val="center"/>
          </w:tcPr>
          <w:p w14:paraId="420FC39A" w14:textId="3897F1B7" w:rsidR="006322C2" w:rsidRPr="00A46A94" w:rsidRDefault="006322C2" w:rsidP="00EA58BB">
            <w:pPr>
              <w:tabs>
                <w:tab w:val="decimal" w:pos="542"/>
              </w:tabs>
              <w:jc w:val="left"/>
              <w:rPr>
                <w:color w:val="000000"/>
                <w:sz w:val="16"/>
                <w:szCs w:val="16"/>
              </w:rPr>
            </w:pPr>
            <w:r>
              <w:rPr>
                <w:sz w:val="16"/>
                <w:szCs w:val="16"/>
              </w:rPr>
              <w:t>-8.1</w:t>
            </w:r>
          </w:p>
        </w:tc>
        <w:tc>
          <w:tcPr>
            <w:tcW w:w="545" w:type="pct"/>
            <w:tcBorders>
              <w:right w:val="single" w:sz="8" w:space="0" w:color="948A54"/>
            </w:tcBorders>
            <w:shd w:val="clear" w:color="auto" w:fill="auto"/>
            <w:vAlign w:val="center"/>
          </w:tcPr>
          <w:p w14:paraId="71CFB891" w14:textId="5BBCE077" w:rsidR="006322C2" w:rsidRPr="00A46A94" w:rsidRDefault="006322C2" w:rsidP="00EA58BB">
            <w:pPr>
              <w:tabs>
                <w:tab w:val="decimal" w:pos="466"/>
              </w:tabs>
              <w:jc w:val="left"/>
              <w:rPr>
                <w:color w:val="000000"/>
                <w:sz w:val="16"/>
                <w:szCs w:val="16"/>
              </w:rPr>
            </w:pPr>
            <w:r>
              <w:rPr>
                <w:sz w:val="16"/>
                <w:szCs w:val="16"/>
              </w:rPr>
              <w:t>-2.0</w:t>
            </w:r>
          </w:p>
        </w:tc>
      </w:tr>
      <w:tr w:rsidR="006322C2" w:rsidRPr="00E34826" w14:paraId="42DF1369"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1E600797"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50FEA58" w14:textId="0A6AC29D" w:rsidR="006322C2" w:rsidRPr="00A46A94" w:rsidRDefault="006322C2" w:rsidP="006322C2">
            <w:pPr>
              <w:tabs>
                <w:tab w:val="decimal" w:pos="568"/>
              </w:tabs>
              <w:jc w:val="left"/>
              <w:rPr>
                <w:color w:val="000000"/>
                <w:sz w:val="16"/>
                <w:szCs w:val="16"/>
              </w:rPr>
            </w:pPr>
            <w:r>
              <w:rPr>
                <w:sz w:val="16"/>
                <w:szCs w:val="16"/>
              </w:rPr>
              <w:t>7.4</w:t>
            </w:r>
          </w:p>
        </w:tc>
        <w:tc>
          <w:tcPr>
            <w:tcW w:w="550" w:type="pct"/>
            <w:shd w:val="clear" w:color="auto" w:fill="auto"/>
            <w:noWrap/>
            <w:vAlign w:val="center"/>
          </w:tcPr>
          <w:p w14:paraId="2E9E1E8B" w14:textId="183091E4" w:rsidR="006322C2" w:rsidRPr="00A46A94" w:rsidRDefault="006322C2" w:rsidP="006322C2">
            <w:pPr>
              <w:tabs>
                <w:tab w:val="decimal" w:pos="547"/>
              </w:tabs>
              <w:jc w:val="left"/>
              <w:rPr>
                <w:color w:val="000000"/>
                <w:sz w:val="16"/>
                <w:szCs w:val="16"/>
              </w:rPr>
            </w:pPr>
            <w:r>
              <w:rPr>
                <w:sz w:val="16"/>
                <w:szCs w:val="16"/>
              </w:rPr>
              <w:t>-19.8</w:t>
            </w:r>
          </w:p>
        </w:tc>
        <w:tc>
          <w:tcPr>
            <w:tcW w:w="550" w:type="pct"/>
            <w:tcBorders>
              <w:right w:val="single" w:sz="8" w:space="0" w:color="948A54"/>
            </w:tcBorders>
            <w:shd w:val="clear" w:color="auto" w:fill="auto"/>
            <w:noWrap/>
            <w:vAlign w:val="center"/>
          </w:tcPr>
          <w:p w14:paraId="0306758B" w14:textId="77EEA4C1" w:rsidR="006322C2" w:rsidRPr="00A46A94" w:rsidRDefault="006322C2" w:rsidP="006322C2">
            <w:pPr>
              <w:tabs>
                <w:tab w:val="decimal" w:pos="423"/>
              </w:tabs>
              <w:jc w:val="left"/>
              <w:rPr>
                <w:color w:val="000000"/>
                <w:sz w:val="16"/>
                <w:szCs w:val="16"/>
              </w:rPr>
            </w:pPr>
            <w:r>
              <w:rPr>
                <w:sz w:val="16"/>
                <w:szCs w:val="16"/>
              </w:rPr>
              <w:t>-9.4</w:t>
            </w:r>
          </w:p>
        </w:tc>
        <w:tc>
          <w:tcPr>
            <w:tcW w:w="87" w:type="pct"/>
            <w:tcBorders>
              <w:left w:val="single" w:sz="8" w:space="0" w:color="948A54"/>
              <w:right w:val="single" w:sz="8" w:space="0" w:color="948A54"/>
            </w:tcBorders>
            <w:shd w:val="clear" w:color="auto" w:fill="auto"/>
            <w:noWrap/>
            <w:vAlign w:val="center"/>
            <w:hideMark/>
          </w:tcPr>
          <w:p w14:paraId="29D80E12"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0A08156"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088EA4F3" w14:textId="1B56BD2A" w:rsidR="006322C2" w:rsidRDefault="006322C2" w:rsidP="00EA58BB">
            <w:pPr>
              <w:tabs>
                <w:tab w:val="decimal" w:pos="532"/>
              </w:tabs>
              <w:jc w:val="left"/>
              <w:rPr>
                <w:sz w:val="16"/>
                <w:szCs w:val="16"/>
              </w:rPr>
            </w:pPr>
            <w:r>
              <w:rPr>
                <w:sz w:val="16"/>
                <w:szCs w:val="16"/>
              </w:rPr>
              <w:t>2.1</w:t>
            </w:r>
          </w:p>
        </w:tc>
        <w:tc>
          <w:tcPr>
            <w:tcW w:w="547" w:type="pct"/>
            <w:shd w:val="clear" w:color="auto" w:fill="auto"/>
            <w:vAlign w:val="center"/>
          </w:tcPr>
          <w:p w14:paraId="635AB68C" w14:textId="45FF2DA0" w:rsidR="006322C2" w:rsidRPr="00A46A94" w:rsidRDefault="006322C2" w:rsidP="00EA58BB">
            <w:pPr>
              <w:tabs>
                <w:tab w:val="decimal" w:pos="542"/>
              </w:tabs>
              <w:jc w:val="left"/>
              <w:rPr>
                <w:color w:val="000000"/>
                <w:sz w:val="16"/>
                <w:szCs w:val="16"/>
              </w:rPr>
            </w:pPr>
            <w:r>
              <w:rPr>
                <w:sz w:val="16"/>
                <w:szCs w:val="16"/>
              </w:rPr>
              <w:t>2.5</w:t>
            </w:r>
          </w:p>
        </w:tc>
        <w:tc>
          <w:tcPr>
            <w:tcW w:w="545" w:type="pct"/>
            <w:tcBorders>
              <w:right w:val="single" w:sz="8" w:space="0" w:color="948A54"/>
            </w:tcBorders>
            <w:shd w:val="clear" w:color="auto" w:fill="auto"/>
            <w:vAlign w:val="center"/>
          </w:tcPr>
          <w:p w14:paraId="2A1A0283" w14:textId="5AA31AF9" w:rsidR="006322C2" w:rsidRPr="00A46A94" w:rsidRDefault="006322C2" w:rsidP="00EA58BB">
            <w:pPr>
              <w:tabs>
                <w:tab w:val="decimal" w:pos="466"/>
              </w:tabs>
              <w:jc w:val="left"/>
              <w:rPr>
                <w:color w:val="000000"/>
                <w:sz w:val="16"/>
                <w:szCs w:val="16"/>
              </w:rPr>
            </w:pPr>
            <w:r>
              <w:rPr>
                <w:sz w:val="16"/>
                <w:szCs w:val="16"/>
              </w:rPr>
              <w:t>-3.8</w:t>
            </w:r>
          </w:p>
        </w:tc>
      </w:tr>
      <w:tr w:rsidR="006322C2" w:rsidRPr="00E34826" w14:paraId="7D37E0BB"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02F8895A"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13B9EBE2" w14:textId="6866CE3E" w:rsidR="006322C2" w:rsidRPr="00A46A94" w:rsidRDefault="006322C2" w:rsidP="006322C2">
            <w:pPr>
              <w:tabs>
                <w:tab w:val="decimal" w:pos="568"/>
              </w:tabs>
              <w:jc w:val="left"/>
              <w:rPr>
                <w:color w:val="000000"/>
                <w:sz w:val="16"/>
                <w:szCs w:val="16"/>
              </w:rPr>
            </w:pPr>
            <w:r>
              <w:rPr>
                <w:sz w:val="16"/>
                <w:szCs w:val="16"/>
              </w:rPr>
              <w:t>2.2</w:t>
            </w:r>
          </w:p>
        </w:tc>
        <w:tc>
          <w:tcPr>
            <w:tcW w:w="550" w:type="pct"/>
            <w:shd w:val="clear" w:color="auto" w:fill="DDD9C3"/>
            <w:noWrap/>
            <w:vAlign w:val="center"/>
          </w:tcPr>
          <w:p w14:paraId="5E9AFAB2" w14:textId="4DFD9FEE" w:rsidR="006322C2" w:rsidRPr="00A46A94" w:rsidRDefault="006322C2" w:rsidP="006322C2">
            <w:pPr>
              <w:tabs>
                <w:tab w:val="decimal" w:pos="547"/>
              </w:tabs>
              <w:jc w:val="left"/>
              <w:rPr>
                <w:color w:val="000000"/>
                <w:sz w:val="16"/>
                <w:szCs w:val="16"/>
              </w:rPr>
            </w:pPr>
            <w:r>
              <w:rPr>
                <w:sz w:val="16"/>
                <w:szCs w:val="16"/>
              </w:rPr>
              <w:t>3.1</w:t>
            </w:r>
          </w:p>
        </w:tc>
        <w:tc>
          <w:tcPr>
            <w:tcW w:w="550" w:type="pct"/>
            <w:tcBorders>
              <w:right w:val="single" w:sz="8" w:space="0" w:color="948A54"/>
            </w:tcBorders>
            <w:shd w:val="clear" w:color="auto" w:fill="DDD9C3"/>
            <w:noWrap/>
            <w:vAlign w:val="center"/>
          </w:tcPr>
          <w:p w14:paraId="7A9054FA" w14:textId="497F1609" w:rsidR="006322C2" w:rsidRPr="00A46A94" w:rsidRDefault="006322C2" w:rsidP="006322C2">
            <w:pPr>
              <w:tabs>
                <w:tab w:val="decimal" w:pos="423"/>
              </w:tabs>
              <w:jc w:val="left"/>
              <w:rPr>
                <w:color w:val="000000"/>
                <w:sz w:val="16"/>
                <w:szCs w:val="16"/>
              </w:rPr>
            </w:pPr>
            <w:r>
              <w:rPr>
                <w:sz w:val="16"/>
                <w:szCs w:val="16"/>
              </w:rPr>
              <w:t>-12.5</w:t>
            </w:r>
          </w:p>
        </w:tc>
        <w:tc>
          <w:tcPr>
            <w:tcW w:w="87" w:type="pct"/>
            <w:tcBorders>
              <w:left w:val="single" w:sz="8" w:space="0" w:color="948A54"/>
              <w:right w:val="single" w:sz="8" w:space="0" w:color="948A54"/>
            </w:tcBorders>
            <w:shd w:val="clear" w:color="auto" w:fill="auto"/>
            <w:noWrap/>
            <w:vAlign w:val="center"/>
            <w:hideMark/>
          </w:tcPr>
          <w:p w14:paraId="0E19049E"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0D2D65F"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376E475" w14:textId="6872E56B" w:rsidR="006322C2" w:rsidRDefault="006322C2" w:rsidP="00EA58BB">
            <w:pPr>
              <w:tabs>
                <w:tab w:val="decimal" w:pos="532"/>
              </w:tabs>
              <w:jc w:val="left"/>
              <w:rPr>
                <w:sz w:val="16"/>
                <w:szCs w:val="16"/>
              </w:rPr>
            </w:pPr>
            <w:r>
              <w:rPr>
                <w:sz w:val="16"/>
                <w:szCs w:val="16"/>
              </w:rPr>
              <w:t>11.6</w:t>
            </w:r>
          </w:p>
        </w:tc>
        <w:tc>
          <w:tcPr>
            <w:tcW w:w="547" w:type="pct"/>
            <w:shd w:val="clear" w:color="auto" w:fill="DDD9C3"/>
            <w:vAlign w:val="center"/>
          </w:tcPr>
          <w:p w14:paraId="632756B6" w14:textId="70EBA298" w:rsidR="006322C2" w:rsidRPr="00A46A94" w:rsidRDefault="006322C2" w:rsidP="00EA58BB">
            <w:pPr>
              <w:tabs>
                <w:tab w:val="decimal" w:pos="542"/>
              </w:tabs>
              <w:jc w:val="left"/>
              <w:rPr>
                <w:color w:val="000000"/>
                <w:sz w:val="16"/>
                <w:szCs w:val="16"/>
              </w:rPr>
            </w:pPr>
            <w:r>
              <w:rPr>
                <w:sz w:val="16"/>
                <w:szCs w:val="16"/>
              </w:rPr>
              <w:t>-22.9</w:t>
            </w:r>
          </w:p>
        </w:tc>
        <w:tc>
          <w:tcPr>
            <w:tcW w:w="545" w:type="pct"/>
            <w:tcBorders>
              <w:right w:val="single" w:sz="8" w:space="0" w:color="948A54"/>
            </w:tcBorders>
            <w:shd w:val="clear" w:color="auto" w:fill="DDD9C3"/>
            <w:vAlign w:val="center"/>
          </w:tcPr>
          <w:p w14:paraId="773667C5" w14:textId="41CA1A6F" w:rsidR="006322C2" w:rsidRPr="00A46A94" w:rsidRDefault="006322C2" w:rsidP="00EA58BB">
            <w:pPr>
              <w:tabs>
                <w:tab w:val="decimal" w:pos="466"/>
              </w:tabs>
              <w:jc w:val="left"/>
              <w:rPr>
                <w:color w:val="000000"/>
                <w:sz w:val="16"/>
                <w:szCs w:val="16"/>
              </w:rPr>
            </w:pPr>
            <w:r>
              <w:rPr>
                <w:sz w:val="16"/>
                <w:szCs w:val="16"/>
              </w:rPr>
              <w:t>-11.5</w:t>
            </w:r>
          </w:p>
        </w:tc>
      </w:tr>
      <w:tr w:rsidR="006322C2" w:rsidRPr="00E34826" w14:paraId="11645599"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63B562FD"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40A363E5" w14:textId="7B817FF9" w:rsidR="006322C2" w:rsidRPr="00A46A94" w:rsidRDefault="006322C2" w:rsidP="006322C2">
            <w:pPr>
              <w:tabs>
                <w:tab w:val="decimal" w:pos="568"/>
              </w:tabs>
              <w:jc w:val="left"/>
              <w:rPr>
                <w:color w:val="000000"/>
                <w:sz w:val="16"/>
                <w:szCs w:val="16"/>
              </w:rPr>
            </w:pPr>
            <w:r>
              <w:rPr>
                <w:sz w:val="16"/>
                <w:szCs w:val="16"/>
              </w:rPr>
              <w:t>1.8</w:t>
            </w:r>
          </w:p>
        </w:tc>
        <w:tc>
          <w:tcPr>
            <w:tcW w:w="550" w:type="pct"/>
            <w:shd w:val="clear" w:color="auto" w:fill="DDD9C3"/>
            <w:noWrap/>
            <w:vAlign w:val="center"/>
          </w:tcPr>
          <w:p w14:paraId="573C15D1" w14:textId="4630696C" w:rsidR="006322C2" w:rsidRPr="00A46A94" w:rsidRDefault="006322C2" w:rsidP="006322C2">
            <w:pPr>
              <w:tabs>
                <w:tab w:val="decimal" w:pos="547"/>
              </w:tabs>
              <w:jc w:val="left"/>
              <w:rPr>
                <w:color w:val="000000"/>
                <w:sz w:val="16"/>
                <w:szCs w:val="16"/>
              </w:rPr>
            </w:pPr>
            <w:r>
              <w:rPr>
                <w:sz w:val="16"/>
                <w:szCs w:val="16"/>
              </w:rPr>
              <w:t>-10.2</w:t>
            </w:r>
          </w:p>
        </w:tc>
        <w:tc>
          <w:tcPr>
            <w:tcW w:w="550" w:type="pct"/>
            <w:tcBorders>
              <w:right w:val="single" w:sz="8" w:space="0" w:color="948A54"/>
            </w:tcBorders>
            <w:shd w:val="clear" w:color="auto" w:fill="DDD9C3"/>
            <w:noWrap/>
            <w:vAlign w:val="center"/>
          </w:tcPr>
          <w:p w14:paraId="371DD3A9" w14:textId="769E67DF" w:rsidR="006322C2" w:rsidRPr="00A46A94" w:rsidRDefault="006322C2" w:rsidP="006322C2">
            <w:pPr>
              <w:tabs>
                <w:tab w:val="decimal" w:pos="423"/>
              </w:tabs>
              <w:jc w:val="left"/>
              <w:rPr>
                <w:color w:val="000000"/>
                <w:sz w:val="16"/>
                <w:szCs w:val="16"/>
              </w:rPr>
            </w:pPr>
            <w:r>
              <w:rPr>
                <w:sz w:val="16"/>
                <w:szCs w:val="16"/>
              </w:rPr>
              <w:t>-4.7</w:t>
            </w:r>
          </w:p>
        </w:tc>
        <w:tc>
          <w:tcPr>
            <w:tcW w:w="87" w:type="pct"/>
            <w:tcBorders>
              <w:left w:val="single" w:sz="8" w:space="0" w:color="948A54"/>
              <w:right w:val="single" w:sz="8" w:space="0" w:color="948A54"/>
            </w:tcBorders>
            <w:shd w:val="clear" w:color="auto" w:fill="auto"/>
            <w:noWrap/>
            <w:vAlign w:val="center"/>
            <w:hideMark/>
          </w:tcPr>
          <w:p w14:paraId="0E4DC0FB"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7F114B4"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56B42E15" w14:textId="16EF3FFF" w:rsidR="006322C2" w:rsidRDefault="006322C2" w:rsidP="00EA58BB">
            <w:pPr>
              <w:tabs>
                <w:tab w:val="decimal" w:pos="532"/>
              </w:tabs>
              <w:jc w:val="left"/>
              <w:rPr>
                <w:sz w:val="16"/>
                <w:szCs w:val="16"/>
              </w:rPr>
            </w:pPr>
            <w:r>
              <w:rPr>
                <w:sz w:val="16"/>
                <w:szCs w:val="16"/>
              </w:rPr>
              <w:t>8.8</w:t>
            </w:r>
          </w:p>
        </w:tc>
        <w:tc>
          <w:tcPr>
            <w:tcW w:w="547" w:type="pct"/>
            <w:shd w:val="clear" w:color="auto" w:fill="DDD9C3"/>
            <w:vAlign w:val="center"/>
          </w:tcPr>
          <w:p w14:paraId="5958BCA9" w14:textId="2EB91972" w:rsidR="006322C2" w:rsidRPr="00A46A94" w:rsidRDefault="006322C2" w:rsidP="00EA58BB">
            <w:pPr>
              <w:tabs>
                <w:tab w:val="decimal" w:pos="542"/>
              </w:tabs>
              <w:jc w:val="left"/>
              <w:rPr>
                <w:color w:val="000000"/>
                <w:sz w:val="16"/>
                <w:szCs w:val="16"/>
              </w:rPr>
            </w:pPr>
            <w:r>
              <w:rPr>
                <w:sz w:val="16"/>
                <w:szCs w:val="16"/>
              </w:rPr>
              <w:t>-18.2</w:t>
            </w:r>
          </w:p>
        </w:tc>
        <w:tc>
          <w:tcPr>
            <w:tcW w:w="545" w:type="pct"/>
            <w:tcBorders>
              <w:right w:val="single" w:sz="8" w:space="0" w:color="948A54"/>
            </w:tcBorders>
            <w:shd w:val="clear" w:color="auto" w:fill="DDD9C3"/>
            <w:vAlign w:val="center"/>
          </w:tcPr>
          <w:p w14:paraId="3C4A81DA" w14:textId="6023B25C" w:rsidR="006322C2" w:rsidRPr="00A46A94" w:rsidRDefault="006322C2" w:rsidP="00EA58BB">
            <w:pPr>
              <w:tabs>
                <w:tab w:val="decimal" w:pos="466"/>
              </w:tabs>
              <w:jc w:val="left"/>
              <w:rPr>
                <w:color w:val="000000"/>
                <w:sz w:val="16"/>
                <w:szCs w:val="16"/>
              </w:rPr>
            </w:pPr>
            <w:r>
              <w:rPr>
                <w:sz w:val="16"/>
                <w:szCs w:val="16"/>
              </w:rPr>
              <w:t>-3.9</w:t>
            </w:r>
          </w:p>
        </w:tc>
      </w:tr>
      <w:tr w:rsidR="006322C2" w:rsidRPr="00E34826" w14:paraId="00EA5483"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51349A69"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6A148117" w14:textId="4932D0B3" w:rsidR="006322C2" w:rsidRPr="00A46A94" w:rsidRDefault="006322C2" w:rsidP="006322C2">
            <w:pPr>
              <w:tabs>
                <w:tab w:val="decimal" w:pos="568"/>
              </w:tabs>
              <w:jc w:val="left"/>
              <w:rPr>
                <w:color w:val="000000"/>
                <w:sz w:val="16"/>
                <w:szCs w:val="16"/>
              </w:rPr>
            </w:pPr>
            <w:r>
              <w:rPr>
                <w:sz w:val="16"/>
                <w:szCs w:val="16"/>
              </w:rPr>
              <w:t>-8.6</w:t>
            </w:r>
          </w:p>
        </w:tc>
        <w:tc>
          <w:tcPr>
            <w:tcW w:w="550" w:type="pct"/>
            <w:shd w:val="clear" w:color="auto" w:fill="auto"/>
            <w:noWrap/>
            <w:vAlign w:val="center"/>
          </w:tcPr>
          <w:p w14:paraId="2FA92C1E" w14:textId="09277BBA" w:rsidR="006322C2" w:rsidRPr="00A46A94" w:rsidRDefault="006322C2" w:rsidP="006322C2">
            <w:pPr>
              <w:tabs>
                <w:tab w:val="decimal" w:pos="547"/>
              </w:tabs>
              <w:jc w:val="left"/>
              <w:rPr>
                <w:color w:val="000000"/>
                <w:sz w:val="16"/>
                <w:szCs w:val="16"/>
              </w:rPr>
            </w:pPr>
            <w:r>
              <w:rPr>
                <w:sz w:val="16"/>
                <w:szCs w:val="16"/>
              </w:rPr>
              <w:t>-12.2</w:t>
            </w:r>
          </w:p>
        </w:tc>
        <w:tc>
          <w:tcPr>
            <w:tcW w:w="550" w:type="pct"/>
            <w:tcBorders>
              <w:right w:val="single" w:sz="8" w:space="0" w:color="948A54"/>
            </w:tcBorders>
            <w:shd w:val="clear" w:color="auto" w:fill="auto"/>
            <w:noWrap/>
            <w:vAlign w:val="center"/>
          </w:tcPr>
          <w:p w14:paraId="080E4FCC" w14:textId="1C5AD648" w:rsidR="006322C2" w:rsidRPr="00A46A94" w:rsidRDefault="006322C2" w:rsidP="006322C2">
            <w:pPr>
              <w:tabs>
                <w:tab w:val="decimal" w:pos="423"/>
              </w:tabs>
              <w:jc w:val="left"/>
              <w:rPr>
                <w:color w:val="000000"/>
                <w:sz w:val="16"/>
                <w:szCs w:val="16"/>
              </w:rPr>
            </w:pPr>
            <w:r>
              <w:rPr>
                <w:sz w:val="16"/>
                <w:szCs w:val="16"/>
              </w:rPr>
              <w:t>1.0</w:t>
            </w:r>
          </w:p>
        </w:tc>
        <w:tc>
          <w:tcPr>
            <w:tcW w:w="87" w:type="pct"/>
            <w:tcBorders>
              <w:left w:val="single" w:sz="8" w:space="0" w:color="948A54"/>
              <w:right w:val="single" w:sz="8" w:space="0" w:color="948A54"/>
            </w:tcBorders>
            <w:shd w:val="clear" w:color="auto" w:fill="auto"/>
            <w:noWrap/>
            <w:vAlign w:val="center"/>
            <w:hideMark/>
          </w:tcPr>
          <w:p w14:paraId="2817F0DF"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980517C"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0AC2DDEA" w14:textId="0CEB0F11" w:rsidR="006322C2" w:rsidRDefault="006322C2" w:rsidP="00EA58BB">
            <w:pPr>
              <w:tabs>
                <w:tab w:val="decimal" w:pos="532"/>
              </w:tabs>
              <w:jc w:val="left"/>
              <w:rPr>
                <w:sz w:val="16"/>
                <w:szCs w:val="16"/>
              </w:rPr>
            </w:pPr>
            <w:r>
              <w:rPr>
                <w:sz w:val="16"/>
                <w:szCs w:val="16"/>
              </w:rPr>
              <w:t>-10.0</w:t>
            </w:r>
          </w:p>
        </w:tc>
        <w:tc>
          <w:tcPr>
            <w:tcW w:w="547" w:type="pct"/>
            <w:shd w:val="clear" w:color="auto" w:fill="auto"/>
            <w:vAlign w:val="center"/>
          </w:tcPr>
          <w:p w14:paraId="70C801A4" w14:textId="12F07F3D" w:rsidR="006322C2" w:rsidRPr="00A46A94" w:rsidRDefault="006322C2" w:rsidP="00EA58BB">
            <w:pPr>
              <w:tabs>
                <w:tab w:val="decimal" w:pos="542"/>
              </w:tabs>
              <w:jc w:val="left"/>
              <w:rPr>
                <w:color w:val="000000"/>
                <w:sz w:val="16"/>
                <w:szCs w:val="16"/>
              </w:rPr>
            </w:pPr>
            <w:r>
              <w:rPr>
                <w:sz w:val="16"/>
                <w:szCs w:val="16"/>
              </w:rPr>
              <w:t>-10.2</w:t>
            </w:r>
          </w:p>
        </w:tc>
        <w:tc>
          <w:tcPr>
            <w:tcW w:w="545" w:type="pct"/>
            <w:tcBorders>
              <w:right w:val="single" w:sz="8" w:space="0" w:color="948A54"/>
            </w:tcBorders>
            <w:shd w:val="clear" w:color="auto" w:fill="auto"/>
            <w:vAlign w:val="center"/>
          </w:tcPr>
          <w:p w14:paraId="43F3F427" w14:textId="5FF0B5BA" w:rsidR="006322C2" w:rsidRPr="00A46A94" w:rsidRDefault="006322C2" w:rsidP="00EA58BB">
            <w:pPr>
              <w:tabs>
                <w:tab w:val="decimal" w:pos="466"/>
              </w:tabs>
              <w:jc w:val="left"/>
              <w:rPr>
                <w:color w:val="000000"/>
                <w:sz w:val="16"/>
                <w:szCs w:val="16"/>
              </w:rPr>
            </w:pPr>
            <w:r>
              <w:rPr>
                <w:sz w:val="16"/>
                <w:szCs w:val="16"/>
              </w:rPr>
              <w:t>-8.0</w:t>
            </w:r>
          </w:p>
        </w:tc>
      </w:tr>
      <w:tr w:rsidR="006322C2" w:rsidRPr="00E34826" w14:paraId="77EFDCC4"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38B8DEFC"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74F48A2" w14:textId="6C43AAC1" w:rsidR="006322C2" w:rsidRPr="00A46A94" w:rsidRDefault="006322C2" w:rsidP="006322C2">
            <w:pPr>
              <w:tabs>
                <w:tab w:val="decimal" w:pos="568"/>
              </w:tabs>
              <w:jc w:val="left"/>
              <w:rPr>
                <w:color w:val="000000"/>
                <w:sz w:val="16"/>
                <w:szCs w:val="16"/>
              </w:rPr>
            </w:pPr>
            <w:r>
              <w:rPr>
                <w:sz w:val="16"/>
                <w:szCs w:val="16"/>
              </w:rPr>
              <w:t>-9.3</w:t>
            </w:r>
          </w:p>
        </w:tc>
        <w:tc>
          <w:tcPr>
            <w:tcW w:w="550" w:type="pct"/>
            <w:shd w:val="clear" w:color="auto" w:fill="auto"/>
            <w:noWrap/>
            <w:vAlign w:val="center"/>
          </w:tcPr>
          <w:p w14:paraId="27A2410D" w14:textId="7C1E20B1" w:rsidR="006322C2" w:rsidRPr="00A46A94" w:rsidRDefault="006322C2" w:rsidP="006322C2">
            <w:pPr>
              <w:tabs>
                <w:tab w:val="decimal" w:pos="547"/>
              </w:tabs>
              <w:jc w:val="left"/>
              <w:rPr>
                <w:color w:val="000000"/>
                <w:sz w:val="16"/>
                <w:szCs w:val="16"/>
              </w:rPr>
            </w:pPr>
            <w:r>
              <w:rPr>
                <w:sz w:val="16"/>
                <w:szCs w:val="16"/>
              </w:rPr>
              <w:t>-4.8</w:t>
            </w:r>
          </w:p>
        </w:tc>
        <w:tc>
          <w:tcPr>
            <w:tcW w:w="550" w:type="pct"/>
            <w:tcBorders>
              <w:right w:val="single" w:sz="8" w:space="0" w:color="948A54"/>
            </w:tcBorders>
            <w:shd w:val="clear" w:color="auto" w:fill="auto"/>
            <w:noWrap/>
            <w:vAlign w:val="center"/>
          </w:tcPr>
          <w:p w14:paraId="16A64D2B" w14:textId="673F7944" w:rsidR="006322C2" w:rsidRPr="00A46A94" w:rsidRDefault="006322C2" w:rsidP="006322C2">
            <w:pPr>
              <w:tabs>
                <w:tab w:val="decimal" w:pos="423"/>
              </w:tabs>
              <w:jc w:val="left"/>
              <w:rPr>
                <w:color w:val="000000"/>
                <w:sz w:val="16"/>
                <w:szCs w:val="16"/>
              </w:rPr>
            </w:pPr>
            <w:r>
              <w:rPr>
                <w:sz w:val="16"/>
                <w:szCs w:val="16"/>
              </w:rPr>
              <w:t>-10.8</w:t>
            </w:r>
          </w:p>
        </w:tc>
        <w:tc>
          <w:tcPr>
            <w:tcW w:w="87" w:type="pct"/>
            <w:tcBorders>
              <w:left w:val="single" w:sz="8" w:space="0" w:color="948A54"/>
              <w:right w:val="single" w:sz="8" w:space="0" w:color="948A54"/>
            </w:tcBorders>
            <w:shd w:val="clear" w:color="auto" w:fill="auto"/>
            <w:noWrap/>
            <w:vAlign w:val="center"/>
            <w:hideMark/>
          </w:tcPr>
          <w:p w14:paraId="04EB1C01"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9DFA60"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299B0E91" w14:textId="1B75435E" w:rsidR="006322C2" w:rsidRDefault="006322C2" w:rsidP="00EA58BB">
            <w:pPr>
              <w:tabs>
                <w:tab w:val="decimal" w:pos="532"/>
              </w:tabs>
              <w:jc w:val="left"/>
              <w:rPr>
                <w:sz w:val="16"/>
                <w:szCs w:val="16"/>
              </w:rPr>
            </w:pPr>
            <w:r>
              <w:rPr>
                <w:sz w:val="16"/>
                <w:szCs w:val="16"/>
              </w:rPr>
              <w:t>-13.4</w:t>
            </w:r>
          </w:p>
        </w:tc>
        <w:tc>
          <w:tcPr>
            <w:tcW w:w="547" w:type="pct"/>
            <w:shd w:val="clear" w:color="auto" w:fill="auto"/>
            <w:vAlign w:val="center"/>
          </w:tcPr>
          <w:p w14:paraId="3C8A9469" w14:textId="0E499443" w:rsidR="006322C2" w:rsidRPr="00A46A94" w:rsidRDefault="006322C2" w:rsidP="00EA58BB">
            <w:pPr>
              <w:tabs>
                <w:tab w:val="decimal" w:pos="542"/>
              </w:tabs>
              <w:jc w:val="left"/>
              <w:rPr>
                <w:color w:val="000000"/>
                <w:sz w:val="16"/>
                <w:szCs w:val="16"/>
              </w:rPr>
            </w:pPr>
            <w:r>
              <w:rPr>
                <w:sz w:val="16"/>
                <w:szCs w:val="16"/>
              </w:rPr>
              <w:t>-2.3</w:t>
            </w:r>
          </w:p>
        </w:tc>
        <w:tc>
          <w:tcPr>
            <w:tcW w:w="545" w:type="pct"/>
            <w:tcBorders>
              <w:right w:val="single" w:sz="8" w:space="0" w:color="948A54"/>
            </w:tcBorders>
            <w:shd w:val="clear" w:color="auto" w:fill="auto"/>
            <w:vAlign w:val="center"/>
          </w:tcPr>
          <w:p w14:paraId="2B6C61C7" w14:textId="4B09E3A1" w:rsidR="006322C2" w:rsidRPr="00A46A94" w:rsidRDefault="006322C2" w:rsidP="00EA58BB">
            <w:pPr>
              <w:tabs>
                <w:tab w:val="decimal" w:pos="466"/>
              </w:tabs>
              <w:jc w:val="left"/>
              <w:rPr>
                <w:color w:val="000000"/>
                <w:sz w:val="16"/>
                <w:szCs w:val="16"/>
              </w:rPr>
            </w:pPr>
            <w:r>
              <w:rPr>
                <w:sz w:val="16"/>
                <w:szCs w:val="16"/>
              </w:rPr>
              <w:t>0.3</w:t>
            </w:r>
          </w:p>
        </w:tc>
      </w:tr>
      <w:tr w:rsidR="006322C2" w:rsidRPr="00E34826" w14:paraId="56C9B791"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47F5445D"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4C72B0" w14:textId="125DE6B7" w:rsidR="006322C2" w:rsidRPr="00A46A94" w:rsidRDefault="006322C2" w:rsidP="006322C2">
            <w:pPr>
              <w:tabs>
                <w:tab w:val="decimal" w:pos="568"/>
              </w:tabs>
              <w:jc w:val="left"/>
              <w:rPr>
                <w:color w:val="000000"/>
                <w:sz w:val="16"/>
                <w:szCs w:val="16"/>
              </w:rPr>
            </w:pPr>
            <w:r>
              <w:rPr>
                <w:sz w:val="16"/>
                <w:szCs w:val="16"/>
              </w:rPr>
              <w:t>7.4</w:t>
            </w:r>
          </w:p>
        </w:tc>
        <w:tc>
          <w:tcPr>
            <w:tcW w:w="550" w:type="pct"/>
            <w:shd w:val="clear" w:color="auto" w:fill="DDD9C3"/>
            <w:noWrap/>
            <w:vAlign w:val="center"/>
          </w:tcPr>
          <w:p w14:paraId="3AD887AE" w14:textId="4598C52B" w:rsidR="006322C2" w:rsidRPr="00A46A94" w:rsidRDefault="006322C2" w:rsidP="006322C2">
            <w:pPr>
              <w:tabs>
                <w:tab w:val="decimal" w:pos="547"/>
              </w:tabs>
              <w:jc w:val="left"/>
              <w:rPr>
                <w:color w:val="000000"/>
                <w:sz w:val="16"/>
                <w:szCs w:val="16"/>
              </w:rPr>
            </w:pPr>
            <w:r>
              <w:rPr>
                <w:sz w:val="16"/>
                <w:szCs w:val="16"/>
              </w:rPr>
              <w:t>-10.6</w:t>
            </w:r>
          </w:p>
        </w:tc>
        <w:tc>
          <w:tcPr>
            <w:tcW w:w="550" w:type="pct"/>
            <w:tcBorders>
              <w:right w:val="single" w:sz="8" w:space="0" w:color="948A54"/>
            </w:tcBorders>
            <w:shd w:val="clear" w:color="auto" w:fill="DDD9C3"/>
            <w:noWrap/>
            <w:vAlign w:val="center"/>
          </w:tcPr>
          <w:p w14:paraId="1FD9EB77" w14:textId="370293E9" w:rsidR="006322C2" w:rsidRPr="00A46A94" w:rsidRDefault="006322C2" w:rsidP="006322C2">
            <w:pPr>
              <w:tabs>
                <w:tab w:val="decimal" w:pos="423"/>
              </w:tabs>
              <w:jc w:val="left"/>
              <w:rPr>
                <w:color w:val="000000"/>
                <w:sz w:val="16"/>
                <w:szCs w:val="16"/>
              </w:rPr>
            </w:pPr>
            <w:r>
              <w:rPr>
                <w:sz w:val="16"/>
                <w:szCs w:val="16"/>
              </w:rPr>
              <w:t>-7.0</w:t>
            </w:r>
          </w:p>
        </w:tc>
        <w:tc>
          <w:tcPr>
            <w:tcW w:w="87" w:type="pct"/>
            <w:tcBorders>
              <w:left w:val="single" w:sz="8" w:space="0" w:color="948A54"/>
              <w:right w:val="single" w:sz="8" w:space="0" w:color="948A54"/>
            </w:tcBorders>
            <w:shd w:val="clear" w:color="auto" w:fill="auto"/>
            <w:noWrap/>
            <w:vAlign w:val="center"/>
            <w:hideMark/>
          </w:tcPr>
          <w:p w14:paraId="062AF220"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8976A73"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3DB99CB" w14:textId="08913A1B" w:rsidR="006322C2" w:rsidRDefault="006322C2" w:rsidP="00EA58BB">
            <w:pPr>
              <w:tabs>
                <w:tab w:val="decimal" w:pos="532"/>
              </w:tabs>
              <w:jc w:val="left"/>
              <w:rPr>
                <w:sz w:val="16"/>
                <w:szCs w:val="16"/>
              </w:rPr>
            </w:pPr>
            <w:r>
              <w:rPr>
                <w:sz w:val="16"/>
                <w:szCs w:val="16"/>
              </w:rPr>
              <w:t>11.7</w:t>
            </w:r>
          </w:p>
        </w:tc>
        <w:tc>
          <w:tcPr>
            <w:tcW w:w="547" w:type="pct"/>
            <w:shd w:val="clear" w:color="auto" w:fill="DDD9C3"/>
            <w:vAlign w:val="center"/>
          </w:tcPr>
          <w:p w14:paraId="3AA7B652" w14:textId="24C72A8A" w:rsidR="006322C2" w:rsidRPr="00A46A94" w:rsidRDefault="006322C2" w:rsidP="00EA58BB">
            <w:pPr>
              <w:tabs>
                <w:tab w:val="decimal" w:pos="542"/>
              </w:tabs>
              <w:jc w:val="left"/>
              <w:rPr>
                <w:color w:val="000000"/>
                <w:sz w:val="16"/>
                <w:szCs w:val="16"/>
              </w:rPr>
            </w:pPr>
            <w:r>
              <w:rPr>
                <w:sz w:val="16"/>
                <w:szCs w:val="16"/>
              </w:rPr>
              <w:t>-2.6</w:t>
            </w:r>
          </w:p>
        </w:tc>
        <w:tc>
          <w:tcPr>
            <w:tcW w:w="545" w:type="pct"/>
            <w:tcBorders>
              <w:right w:val="single" w:sz="8" w:space="0" w:color="948A54"/>
            </w:tcBorders>
            <w:shd w:val="clear" w:color="auto" w:fill="DDD9C3"/>
            <w:vAlign w:val="center"/>
          </w:tcPr>
          <w:p w14:paraId="4F0A3CC2" w14:textId="2BBEA154" w:rsidR="006322C2" w:rsidRPr="00A46A94" w:rsidRDefault="006322C2" w:rsidP="00EA58BB">
            <w:pPr>
              <w:tabs>
                <w:tab w:val="decimal" w:pos="466"/>
              </w:tabs>
              <w:jc w:val="left"/>
              <w:rPr>
                <w:color w:val="000000"/>
                <w:sz w:val="16"/>
                <w:szCs w:val="16"/>
              </w:rPr>
            </w:pPr>
            <w:r>
              <w:rPr>
                <w:sz w:val="16"/>
                <w:szCs w:val="16"/>
              </w:rPr>
              <w:t>-6.4</w:t>
            </w:r>
          </w:p>
        </w:tc>
      </w:tr>
      <w:tr w:rsidR="006322C2" w:rsidRPr="00E34826" w14:paraId="3E6E2CDE"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13940E65"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31F8EE91" w14:textId="57C1DE59" w:rsidR="006322C2" w:rsidRPr="00A46A94" w:rsidRDefault="006322C2" w:rsidP="006322C2">
            <w:pPr>
              <w:tabs>
                <w:tab w:val="decimal" w:pos="568"/>
              </w:tabs>
              <w:jc w:val="left"/>
              <w:rPr>
                <w:color w:val="000000"/>
                <w:sz w:val="16"/>
                <w:szCs w:val="16"/>
              </w:rPr>
            </w:pPr>
            <w:r>
              <w:rPr>
                <w:sz w:val="16"/>
                <w:szCs w:val="16"/>
              </w:rPr>
              <w:t>-1.7</w:t>
            </w:r>
          </w:p>
        </w:tc>
        <w:tc>
          <w:tcPr>
            <w:tcW w:w="550" w:type="pct"/>
            <w:shd w:val="clear" w:color="auto" w:fill="DDD9C3"/>
            <w:noWrap/>
            <w:vAlign w:val="center"/>
          </w:tcPr>
          <w:p w14:paraId="35E4FB28" w14:textId="0010B074" w:rsidR="006322C2" w:rsidRPr="00A46A94" w:rsidRDefault="006322C2" w:rsidP="006322C2">
            <w:pPr>
              <w:tabs>
                <w:tab w:val="decimal" w:pos="547"/>
              </w:tabs>
              <w:jc w:val="left"/>
              <w:rPr>
                <w:color w:val="000000"/>
                <w:sz w:val="16"/>
                <w:szCs w:val="16"/>
              </w:rPr>
            </w:pPr>
            <w:r>
              <w:rPr>
                <w:sz w:val="16"/>
                <w:szCs w:val="16"/>
              </w:rPr>
              <w:t>-2.4</w:t>
            </w:r>
          </w:p>
        </w:tc>
        <w:tc>
          <w:tcPr>
            <w:tcW w:w="550" w:type="pct"/>
            <w:tcBorders>
              <w:right w:val="single" w:sz="8" w:space="0" w:color="948A54"/>
            </w:tcBorders>
            <w:shd w:val="clear" w:color="auto" w:fill="DDD9C3"/>
            <w:noWrap/>
            <w:vAlign w:val="center"/>
          </w:tcPr>
          <w:p w14:paraId="2C83F623" w14:textId="1CE97CAD" w:rsidR="006322C2" w:rsidRPr="00A46A94" w:rsidRDefault="006322C2" w:rsidP="006322C2">
            <w:pPr>
              <w:tabs>
                <w:tab w:val="decimal" w:pos="423"/>
              </w:tabs>
              <w:jc w:val="left"/>
              <w:rPr>
                <w:color w:val="000000"/>
                <w:sz w:val="16"/>
                <w:szCs w:val="16"/>
              </w:rPr>
            </w:pPr>
            <w:r>
              <w:rPr>
                <w:sz w:val="16"/>
                <w:szCs w:val="16"/>
              </w:rPr>
              <w:t>-6.8</w:t>
            </w:r>
          </w:p>
        </w:tc>
        <w:tc>
          <w:tcPr>
            <w:tcW w:w="87" w:type="pct"/>
            <w:tcBorders>
              <w:left w:val="single" w:sz="8" w:space="0" w:color="948A54"/>
              <w:right w:val="single" w:sz="8" w:space="0" w:color="948A54"/>
            </w:tcBorders>
            <w:shd w:val="clear" w:color="auto" w:fill="auto"/>
            <w:noWrap/>
            <w:vAlign w:val="center"/>
            <w:hideMark/>
          </w:tcPr>
          <w:p w14:paraId="5D8676ED"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A8D569D"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B4089D1" w14:textId="6AA4BA37" w:rsidR="006322C2" w:rsidRDefault="006322C2" w:rsidP="00EA58BB">
            <w:pPr>
              <w:tabs>
                <w:tab w:val="decimal" w:pos="532"/>
              </w:tabs>
              <w:jc w:val="left"/>
              <w:rPr>
                <w:sz w:val="16"/>
                <w:szCs w:val="16"/>
              </w:rPr>
            </w:pPr>
            <w:r>
              <w:rPr>
                <w:sz w:val="16"/>
                <w:szCs w:val="16"/>
              </w:rPr>
              <w:t>-5.7</w:t>
            </w:r>
          </w:p>
        </w:tc>
        <w:tc>
          <w:tcPr>
            <w:tcW w:w="547" w:type="pct"/>
            <w:shd w:val="clear" w:color="auto" w:fill="DDD9C3"/>
            <w:vAlign w:val="center"/>
          </w:tcPr>
          <w:p w14:paraId="25F40D64" w14:textId="375130A0" w:rsidR="006322C2" w:rsidRPr="00A46A94" w:rsidRDefault="006322C2" w:rsidP="00EA58BB">
            <w:pPr>
              <w:tabs>
                <w:tab w:val="decimal" w:pos="542"/>
              </w:tabs>
              <w:jc w:val="left"/>
              <w:rPr>
                <w:color w:val="000000"/>
                <w:sz w:val="16"/>
                <w:szCs w:val="16"/>
              </w:rPr>
            </w:pPr>
            <w:r>
              <w:rPr>
                <w:sz w:val="16"/>
                <w:szCs w:val="16"/>
              </w:rPr>
              <w:t>-1.7</w:t>
            </w:r>
          </w:p>
        </w:tc>
        <w:tc>
          <w:tcPr>
            <w:tcW w:w="545" w:type="pct"/>
            <w:tcBorders>
              <w:right w:val="single" w:sz="8" w:space="0" w:color="948A54"/>
            </w:tcBorders>
            <w:shd w:val="clear" w:color="auto" w:fill="DDD9C3"/>
            <w:vAlign w:val="center"/>
          </w:tcPr>
          <w:p w14:paraId="1EB26F8D" w14:textId="1F499E70" w:rsidR="006322C2" w:rsidRPr="00A46A94" w:rsidRDefault="006322C2" w:rsidP="00EA58BB">
            <w:pPr>
              <w:tabs>
                <w:tab w:val="decimal" w:pos="466"/>
              </w:tabs>
              <w:jc w:val="left"/>
              <w:rPr>
                <w:color w:val="000000"/>
                <w:sz w:val="16"/>
                <w:szCs w:val="16"/>
              </w:rPr>
            </w:pPr>
            <w:r>
              <w:rPr>
                <w:sz w:val="16"/>
                <w:szCs w:val="16"/>
              </w:rPr>
              <w:t>1.6</w:t>
            </w:r>
          </w:p>
        </w:tc>
      </w:tr>
      <w:tr w:rsidR="006322C2" w:rsidRPr="00E34826" w14:paraId="07B4C2F4"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23BC26C7"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042869E0" w14:textId="4D12EE90" w:rsidR="006322C2" w:rsidRPr="00A46A94" w:rsidRDefault="006322C2" w:rsidP="006322C2">
            <w:pPr>
              <w:tabs>
                <w:tab w:val="decimal" w:pos="568"/>
              </w:tabs>
              <w:jc w:val="left"/>
              <w:rPr>
                <w:color w:val="000000"/>
                <w:sz w:val="16"/>
                <w:szCs w:val="16"/>
              </w:rPr>
            </w:pPr>
            <w:r>
              <w:rPr>
                <w:sz w:val="16"/>
                <w:szCs w:val="16"/>
              </w:rPr>
              <w:t>-0.4</w:t>
            </w:r>
          </w:p>
        </w:tc>
        <w:tc>
          <w:tcPr>
            <w:tcW w:w="550" w:type="pct"/>
            <w:shd w:val="clear" w:color="auto" w:fill="auto"/>
            <w:noWrap/>
            <w:vAlign w:val="center"/>
          </w:tcPr>
          <w:p w14:paraId="1D727817" w14:textId="24476926" w:rsidR="006322C2" w:rsidRPr="00A46A94" w:rsidRDefault="006322C2" w:rsidP="006322C2">
            <w:pPr>
              <w:tabs>
                <w:tab w:val="decimal" w:pos="547"/>
              </w:tabs>
              <w:jc w:val="left"/>
              <w:rPr>
                <w:color w:val="000000"/>
                <w:sz w:val="16"/>
                <w:szCs w:val="16"/>
              </w:rPr>
            </w:pPr>
            <w:r>
              <w:rPr>
                <w:sz w:val="16"/>
                <w:szCs w:val="16"/>
              </w:rPr>
              <w:t>-1.3</w:t>
            </w:r>
          </w:p>
        </w:tc>
        <w:tc>
          <w:tcPr>
            <w:tcW w:w="550" w:type="pct"/>
            <w:tcBorders>
              <w:right w:val="single" w:sz="8" w:space="0" w:color="948A54"/>
            </w:tcBorders>
            <w:shd w:val="clear" w:color="auto" w:fill="auto"/>
            <w:noWrap/>
            <w:vAlign w:val="center"/>
          </w:tcPr>
          <w:p w14:paraId="4B75C94B" w14:textId="3BF548CE" w:rsidR="006322C2" w:rsidRPr="00A46A94" w:rsidRDefault="006322C2" w:rsidP="006322C2">
            <w:pPr>
              <w:tabs>
                <w:tab w:val="decimal" w:pos="423"/>
              </w:tabs>
              <w:jc w:val="left"/>
              <w:rPr>
                <w:color w:val="000000"/>
                <w:sz w:val="16"/>
                <w:szCs w:val="16"/>
              </w:rPr>
            </w:pPr>
            <w:r>
              <w:rPr>
                <w:sz w:val="16"/>
                <w:szCs w:val="16"/>
              </w:rPr>
              <w:t>4.9</w:t>
            </w:r>
          </w:p>
        </w:tc>
        <w:tc>
          <w:tcPr>
            <w:tcW w:w="87" w:type="pct"/>
            <w:tcBorders>
              <w:left w:val="single" w:sz="8" w:space="0" w:color="948A54"/>
              <w:right w:val="single" w:sz="8" w:space="0" w:color="948A54"/>
            </w:tcBorders>
            <w:shd w:val="clear" w:color="auto" w:fill="auto"/>
            <w:noWrap/>
            <w:vAlign w:val="center"/>
            <w:hideMark/>
          </w:tcPr>
          <w:p w14:paraId="00B83245"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56D2362"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36F347C9" w14:textId="23DD5D53" w:rsidR="006322C2" w:rsidRDefault="006322C2" w:rsidP="00EA58BB">
            <w:pPr>
              <w:tabs>
                <w:tab w:val="decimal" w:pos="532"/>
              </w:tabs>
              <w:jc w:val="left"/>
              <w:rPr>
                <w:sz w:val="16"/>
                <w:szCs w:val="16"/>
              </w:rPr>
            </w:pPr>
            <w:r>
              <w:rPr>
                <w:sz w:val="16"/>
                <w:szCs w:val="16"/>
              </w:rPr>
              <w:t>10.1</w:t>
            </w:r>
          </w:p>
        </w:tc>
        <w:tc>
          <w:tcPr>
            <w:tcW w:w="547" w:type="pct"/>
            <w:shd w:val="clear" w:color="auto" w:fill="auto"/>
            <w:vAlign w:val="center"/>
          </w:tcPr>
          <w:p w14:paraId="2E15BF84" w14:textId="2C117E92" w:rsidR="006322C2" w:rsidRPr="00A46A94" w:rsidRDefault="006322C2" w:rsidP="00EA58BB">
            <w:pPr>
              <w:tabs>
                <w:tab w:val="decimal" w:pos="542"/>
              </w:tabs>
              <w:jc w:val="left"/>
              <w:rPr>
                <w:color w:val="000000"/>
                <w:sz w:val="16"/>
                <w:szCs w:val="16"/>
              </w:rPr>
            </w:pPr>
            <w:r>
              <w:rPr>
                <w:sz w:val="16"/>
                <w:szCs w:val="16"/>
              </w:rPr>
              <w:t>-11.8</w:t>
            </w:r>
          </w:p>
        </w:tc>
        <w:tc>
          <w:tcPr>
            <w:tcW w:w="545" w:type="pct"/>
            <w:tcBorders>
              <w:right w:val="single" w:sz="8" w:space="0" w:color="948A54"/>
            </w:tcBorders>
            <w:shd w:val="clear" w:color="auto" w:fill="auto"/>
            <w:vAlign w:val="center"/>
          </w:tcPr>
          <w:p w14:paraId="1360E819" w14:textId="2110AD1B" w:rsidR="006322C2" w:rsidRPr="00A46A94" w:rsidRDefault="006322C2" w:rsidP="00EA58BB">
            <w:pPr>
              <w:tabs>
                <w:tab w:val="decimal" w:pos="466"/>
              </w:tabs>
              <w:jc w:val="left"/>
              <w:rPr>
                <w:color w:val="000000"/>
                <w:sz w:val="16"/>
                <w:szCs w:val="16"/>
              </w:rPr>
            </w:pPr>
            <w:r>
              <w:rPr>
                <w:sz w:val="16"/>
                <w:szCs w:val="16"/>
              </w:rPr>
              <w:t>-2.6</w:t>
            </w:r>
          </w:p>
        </w:tc>
      </w:tr>
      <w:tr w:rsidR="006322C2" w:rsidRPr="00E34826" w14:paraId="0D943058" w14:textId="77777777" w:rsidTr="006322C2">
        <w:trPr>
          <w:jc w:val="center"/>
        </w:trPr>
        <w:tc>
          <w:tcPr>
            <w:tcW w:w="753" w:type="pct"/>
            <w:tcBorders>
              <w:left w:val="single" w:sz="8" w:space="0" w:color="948A54"/>
              <w:right w:val="single" w:sz="6" w:space="0" w:color="948A54"/>
            </w:tcBorders>
            <w:shd w:val="clear" w:color="auto" w:fill="auto"/>
            <w:noWrap/>
            <w:vAlign w:val="center"/>
            <w:hideMark/>
          </w:tcPr>
          <w:p w14:paraId="3CA7C323"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0AF5EDE9" w14:textId="58C5A224" w:rsidR="006322C2" w:rsidRPr="00A46A94" w:rsidRDefault="006322C2" w:rsidP="006322C2">
            <w:pPr>
              <w:tabs>
                <w:tab w:val="decimal" w:pos="568"/>
              </w:tabs>
              <w:jc w:val="left"/>
              <w:rPr>
                <w:color w:val="000000"/>
                <w:sz w:val="16"/>
                <w:szCs w:val="16"/>
              </w:rPr>
            </w:pPr>
            <w:r>
              <w:rPr>
                <w:sz w:val="16"/>
                <w:szCs w:val="16"/>
              </w:rPr>
              <w:t>-4.8</w:t>
            </w:r>
          </w:p>
        </w:tc>
        <w:tc>
          <w:tcPr>
            <w:tcW w:w="550" w:type="pct"/>
            <w:shd w:val="clear" w:color="auto" w:fill="auto"/>
            <w:noWrap/>
            <w:vAlign w:val="center"/>
          </w:tcPr>
          <w:p w14:paraId="17B4AF1B" w14:textId="1FC5014E" w:rsidR="006322C2" w:rsidRPr="00A46A94" w:rsidRDefault="006322C2" w:rsidP="006322C2">
            <w:pPr>
              <w:tabs>
                <w:tab w:val="decimal" w:pos="547"/>
              </w:tabs>
              <w:jc w:val="left"/>
              <w:rPr>
                <w:color w:val="000000"/>
                <w:sz w:val="16"/>
                <w:szCs w:val="16"/>
              </w:rPr>
            </w:pPr>
            <w:r>
              <w:rPr>
                <w:sz w:val="16"/>
                <w:szCs w:val="16"/>
              </w:rPr>
              <w:t>-8.8</w:t>
            </w:r>
          </w:p>
        </w:tc>
        <w:tc>
          <w:tcPr>
            <w:tcW w:w="550" w:type="pct"/>
            <w:tcBorders>
              <w:right w:val="single" w:sz="8" w:space="0" w:color="948A54"/>
            </w:tcBorders>
            <w:shd w:val="clear" w:color="auto" w:fill="auto"/>
            <w:noWrap/>
            <w:vAlign w:val="center"/>
          </w:tcPr>
          <w:p w14:paraId="09AE5FC6" w14:textId="354FAFC9" w:rsidR="006322C2" w:rsidRPr="00A46A94" w:rsidRDefault="006322C2" w:rsidP="006322C2">
            <w:pPr>
              <w:tabs>
                <w:tab w:val="decimal" w:pos="423"/>
              </w:tabs>
              <w:jc w:val="left"/>
              <w:rPr>
                <w:color w:val="000000"/>
                <w:sz w:val="16"/>
                <w:szCs w:val="16"/>
              </w:rPr>
            </w:pPr>
            <w:r>
              <w:rPr>
                <w:sz w:val="16"/>
                <w:szCs w:val="16"/>
              </w:rPr>
              <w:t>-7.0</w:t>
            </w:r>
          </w:p>
        </w:tc>
        <w:tc>
          <w:tcPr>
            <w:tcW w:w="87" w:type="pct"/>
            <w:tcBorders>
              <w:left w:val="single" w:sz="8" w:space="0" w:color="948A54"/>
              <w:right w:val="single" w:sz="8" w:space="0" w:color="948A54"/>
            </w:tcBorders>
            <w:shd w:val="clear" w:color="auto" w:fill="auto"/>
            <w:noWrap/>
            <w:vAlign w:val="center"/>
            <w:hideMark/>
          </w:tcPr>
          <w:p w14:paraId="019CF4EB"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6C8182" w14:textId="77777777" w:rsidR="006322C2" w:rsidRPr="00E1388D" w:rsidRDefault="006322C2" w:rsidP="006322C2">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46B14386" w14:textId="49011008" w:rsidR="006322C2" w:rsidRDefault="006322C2" w:rsidP="00EA58BB">
            <w:pPr>
              <w:tabs>
                <w:tab w:val="decimal" w:pos="532"/>
              </w:tabs>
              <w:jc w:val="left"/>
              <w:rPr>
                <w:sz w:val="16"/>
                <w:szCs w:val="16"/>
              </w:rPr>
            </w:pPr>
            <w:r>
              <w:rPr>
                <w:sz w:val="16"/>
                <w:szCs w:val="16"/>
              </w:rPr>
              <w:t>-4.9</w:t>
            </w:r>
          </w:p>
        </w:tc>
        <w:tc>
          <w:tcPr>
            <w:tcW w:w="547" w:type="pct"/>
            <w:shd w:val="clear" w:color="auto" w:fill="auto"/>
            <w:vAlign w:val="center"/>
          </w:tcPr>
          <w:p w14:paraId="19785542" w14:textId="0F835F22" w:rsidR="006322C2" w:rsidRPr="00A46A94" w:rsidRDefault="006322C2" w:rsidP="00EA58BB">
            <w:pPr>
              <w:tabs>
                <w:tab w:val="decimal" w:pos="542"/>
              </w:tabs>
              <w:jc w:val="left"/>
              <w:rPr>
                <w:color w:val="000000"/>
                <w:sz w:val="16"/>
                <w:szCs w:val="16"/>
              </w:rPr>
            </w:pPr>
            <w:r>
              <w:rPr>
                <w:sz w:val="16"/>
                <w:szCs w:val="16"/>
              </w:rPr>
              <w:t>-3.4</w:t>
            </w:r>
          </w:p>
        </w:tc>
        <w:tc>
          <w:tcPr>
            <w:tcW w:w="545" w:type="pct"/>
            <w:tcBorders>
              <w:right w:val="single" w:sz="8" w:space="0" w:color="948A54"/>
            </w:tcBorders>
            <w:shd w:val="clear" w:color="auto" w:fill="auto"/>
            <w:vAlign w:val="center"/>
          </w:tcPr>
          <w:p w14:paraId="386B75D5" w14:textId="1F5EC017" w:rsidR="006322C2" w:rsidRPr="00A46A94" w:rsidRDefault="006322C2" w:rsidP="00EA58BB">
            <w:pPr>
              <w:tabs>
                <w:tab w:val="decimal" w:pos="466"/>
              </w:tabs>
              <w:jc w:val="left"/>
              <w:rPr>
                <w:color w:val="000000"/>
                <w:sz w:val="16"/>
                <w:szCs w:val="16"/>
              </w:rPr>
            </w:pPr>
            <w:r>
              <w:rPr>
                <w:sz w:val="16"/>
                <w:szCs w:val="16"/>
              </w:rPr>
              <w:t>-3.2</w:t>
            </w:r>
          </w:p>
        </w:tc>
      </w:tr>
      <w:tr w:rsidR="006322C2" w:rsidRPr="00E34826" w14:paraId="3D0B68C0" w14:textId="77777777" w:rsidTr="006322C2">
        <w:trPr>
          <w:jc w:val="center"/>
        </w:trPr>
        <w:tc>
          <w:tcPr>
            <w:tcW w:w="753" w:type="pct"/>
            <w:tcBorders>
              <w:left w:val="single" w:sz="8" w:space="0" w:color="948A54"/>
              <w:right w:val="single" w:sz="6" w:space="0" w:color="948A54"/>
            </w:tcBorders>
            <w:shd w:val="clear" w:color="auto" w:fill="DDD9C3"/>
            <w:noWrap/>
            <w:vAlign w:val="center"/>
            <w:hideMark/>
          </w:tcPr>
          <w:p w14:paraId="090F49C8"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A8E3EC5" w14:textId="1A4F14C1" w:rsidR="006322C2" w:rsidRPr="00A46A94" w:rsidRDefault="006322C2" w:rsidP="006322C2">
            <w:pPr>
              <w:tabs>
                <w:tab w:val="decimal" w:pos="568"/>
              </w:tabs>
              <w:jc w:val="left"/>
              <w:rPr>
                <w:color w:val="000000"/>
                <w:sz w:val="16"/>
                <w:szCs w:val="16"/>
              </w:rPr>
            </w:pPr>
            <w:r>
              <w:rPr>
                <w:sz w:val="16"/>
                <w:szCs w:val="16"/>
              </w:rPr>
              <w:t>-8.3</w:t>
            </w:r>
          </w:p>
        </w:tc>
        <w:tc>
          <w:tcPr>
            <w:tcW w:w="550" w:type="pct"/>
            <w:shd w:val="clear" w:color="auto" w:fill="DDD9C3"/>
            <w:noWrap/>
            <w:vAlign w:val="center"/>
          </w:tcPr>
          <w:p w14:paraId="2E0ADF7D" w14:textId="1D3563D7" w:rsidR="006322C2" w:rsidRPr="00A46A94" w:rsidRDefault="006322C2" w:rsidP="006322C2">
            <w:pPr>
              <w:tabs>
                <w:tab w:val="decimal" w:pos="547"/>
              </w:tabs>
              <w:jc w:val="left"/>
              <w:rPr>
                <w:color w:val="000000"/>
                <w:sz w:val="16"/>
                <w:szCs w:val="16"/>
              </w:rPr>
            </w:pPr>
            <w:r>
              <w:rPr>
                <w:sz w:val="16"/>
                <w:szCs w:val="16"/>
              </w:rPr>
              <w:t>-8.2</w:t>
            </w:r>
          </w:p>
        </w:tc>
        <w:tc>
          <w:tcPr>
            <w:tcW w:w="550" w:type="pct"/>
            <w:tcBorders>
              <w:right w:val="single" w:sz="8" w:space="0" w:color="948A54"/>
            </w:tcBorders>
            <w:shd w:val="clear" w:color="auto" w:fill="DDD9C3"/>
            <w:noWrap/>
            <w:vAlign w:val="center"/>
          </w:tcPr>
          <w:p w14:paraId="722C82AB" w14:textId="5CD96E78" w:rsidR="006322C2" w:rsidRPr="00A46A94" w:rsidRDefault="006322C2" w:rsidP="006322C2">
            <w:pPr>
              <w:tabs>
                <w:tab w:val="decimal" w:pos="423"/>
              </w:tabs>
              <w:jc w:val="left"/>
              <w:rPr>
                <w:color w:val="000000"/>
                <w:sz w:val="16"/>
                <w:szCs w:val="16"/>
              </w:rPr>
            </w:pPr>
            <w:r>
              <w:rPr>
                <w:sz w:val="16"/>
                <w:szCs w:val="16"/>
              </w:rPr>
              <w:t>-3.0</w:t>
            </w:r>
          </w:p>
        </w:tc>
        <w:tc>
          <w:tcPr>
            <w:tcW w:w="87" w:type="pct"/>
            <w:tcBorders>
              <w:left w:val="single" w:sz="8" w:space="0" w:color="948A54"/>
              <w:right w:val="single" w:sz="8" w:space="0" w:color="948A54"/>
            </w:tcBorders>
            <w:shd w:val="clear" w:color="auto" w:fill="auto"/>
            <w:noWrap/>
            <w:vAlign w:val="center"/>
            <w:hideMark/>
          </w:tcPr>
          <w:p w14:paraId="309DC62B"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FC836C4"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2EE9BA32" w14:textId="2B426754" w:rsidR="006322C2" w:rsidRDefault="006322C2" w:rsidP="00EA58BB">
            <w:pPr>
              <w:tabs>
                <w:tab w:val="decimal" w:pos="532"/>
              </w:tabs>
              <w:jc w:val="left"/>
              <w:rPr>
                <w:sz w:val="16"/>
                <w:szCs w:val="16"/>
              </w:rPr>
            </w:pPr>
            <w:r>
              <w:rPr>
                <w:sz w:val="16"/>
                <w:szCs w:val="16"/>
              </w:rPr>
              <w:t>1.8</w:t>
            </w:r>
          </w:p>
        </w:tc>
        <w:tc>
          <w:tcPr>
            <w:tcW w:w="547" w:type="pct"/>
            <w:shd w:val="clear" w:color="auto" w:fill="DDD9C3"/>
            <w:vAlign w:val="center"/>
          </w:tcPr>
          <w:p w14:paraId="5798E475" w14:textId="0CB66B4F" w:rsidR="006322C2" w:rsidRPr="00A46A94" w:rsidRDefault="006322C2" w:rsidP="00EA58BB">
            <w:pPr>
              <w:tabs>
                <w:tab w:val="decimal" w:pos="542"/>
              </w:tabs>
              <w:jc w:val="left"/>
              <w:rPr>
                <w:color w:val="000000"/>
                <w:sz w:val="16"/>
                <w:szCs w:val="16"/>
              </w:rPr>
            </w:pPr>
            <w:r>
              <w:rPr>
                <w:sz w:val="16"/>
                <w:szCs w:val="16"/>
              </w:rPr>
              <w:t>-11.7</w:t>
            </w:r>
          </w:p>
        </w:tc>
        <w:tc>
          <w:tcPr>
            <w:tcW w:w="545" w:type="pct"/>
            <w:tcBorders>
              <w:right w:val="single" w:sz="8" w:space="0" w:color="948A54"/>
            </w:tcBorders>
            <w:shd w:val="clear" w:color="auto" w:fill="DDD9C3"/>
            <w:vAlign w:val="center"/>
          </w:tcPr>
          <w:p w14:paraId="1F81439C" w14:textId="13E3BE55" w:rsidR="006322C2" w:rsidRPr="00A46A94" w:rsidRDefault="006322C2" w:rsidP="00EA58BB">
            <w:pPr>
              <w:tabs>
                <w:tab w:val="decimal" w:pos="466"/>
              </w:tabs>
              <w:jc w:val="left"/>
              <w:rPr>
                <w:color w:val="000000"/>
                <w:sz w:val="16"/>
                <w:szCs w:val="16"/>
              </w:rPr>
            </w:pPr>
            <w:r>
              <w:rPr>
                <w:sz w:val="16"/>
                <w:szCs w:val="16"/>
              </w:rPr>
              <w:t>-7.5</w:t>
            </w:r>
          </w:p>
        </w:tc>
      </w:tr>
      <w:tr w:rsidR="006322C2" w:rsidRPr="00E34826" w14:paraId="5882460A" w14:textId="77777777" w:rsidTr="006322C2">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79BE669D" w14:textId="77777777" w:rsidR="006322C2" w:rsidRPr="00E34826" w:rsidRDefault="006322C2" w:rsidP="006322C2">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8737F36" w14:textId="0B460BAF" w:rsidR="006322C2" w:rsidRPr="00A46A94" w:rsidRDefault="006322C2" w:rsidP="006322C2">
            <w:pPr>
              <w:tabs>
                <w:tab w:val="decimal" w:pos="568"/>
              </w:tabs>
              <w:jc w:val="left"/>
              <w:rPr>
                <w:color w:val="000000"/>
                <w:sz w:val="16"/>
                <w:szCs w:val="16"/>
              </w:rPr>
            </w:pPr>
            <w:r>
              <w:rPr>
                <w:sz w:val="16"/>
                <w:szCs w:val="16"/>
              </w:rPr>
              <w:t>6.6</w:t>
            </w:r>
          </w:p>
        </w:tc>
        <w:tc>
          <w:tcPr>
            <w:tcW w:w="550" w:type="pct"/>
            <w:tcBorders>
              <w:bottom w:val="single" w:sz="8" w:space="0" w:color="948A54"/>
            </w:tcBorders>
            <w:shd w:val="clear" w:color="auto" w:fill="DDD9C3"/>
            <w:noWrap/>
            <w:vAlign w:val="center"/>
          </w:tcPr>
          <w:p w14:paraId="21E3FCEE" w14:textId="06672A6A" w:rsidR="006322C2" w:rsidRPr="00A46A94" w:rsidRDefault="006322C2" w:rsidP="006322C2">
            <w:pPr>
              <w:tabs>
                <w:tab w:val="decimal" w:pos="547"/>
              </w:tabs>
              <w:jc w:val="left"/>
              <w:rPr>
                <w:color w:val="000000"/>
                <w:sz w:val="16"/>
                <w:szCs w:val="16"/>
              </w:rPr>
            </w:pPr>
            <w:r>
              <w:rPr>
                <w:sz w:val="16"/>
                <w:szCs w:val="16"/>
              </w:rPr>
              <w:t>2.2</w:t>
            </w:r>
          </w:p>
        </w:tc>
        <w:tc>
          <w:tcPr>
            <w:tcW w:w="550" w:type="pct"/>
            <w:tcBorders>
              <w:bottom w:val="single" w:sz="8" w:space="0" w:color="948A54"/>
              <w:right w:val="single" w:sz="8" w:space="0" w:color="948A54"/>
            </w:tcBorders>
            <w:shd w:val="clear" w:color="auto" w:fill="DDD9C3"/>
            <w:noWrap/>
            <w:vAlign w:val="center"/>
          </w:tcPr>
          <w:p w14:paraId="426B06C9" w14:textId="38224253" w:rsidR="006322C2" w:rsidRPr="00A46A94" w:rsidRDefault="006322C2" w:rsidP="006322C2">
            <w:pPr>
              <w:tabs>
                <w:tab w:val="decimal" w:pos="423"/>
              </w:tabs>
              <w:jc w:val="left"/>
              <w:rPr>
                <w:color w:val="000000"/>
                <w:sz w:val="16"/>
                <w:szCs w:val="16"/>
              </w:rPr>
            </w:pPr>
            <w:r>
              <w:rPr>
                <w:sz w:val="16"/>
                <w:szCs w:val="16"/>
              </w:rPr>
              <w:t>-15.7</w:t>
            </w:r>
          </w:p>
        </w:tc>
        <w:tc>
          <w:tcPr>
            <w:tcW w:w="87" w:type="pct"/>
            <w:tcBorders>
              <w:left w:val="single" w:sz="8" w:space="0" w:color="948A54"/>
              <w:right w:val="single" w:sz="8" w:space="0" w:color="948A54"/>
            </w:tcBorders>
            <w:shd w:val="clear" w:color="auto" w:fill="auto"/>
            <w:noWrap/>
            <w:vAlign w:val="center"/>
            <w:hideMark/>
          </w:tcPr>
          <w:p w14:paraId="1EF01C12" w14:textId="77777777" w:rsidR="006322C2" w:rsidRPr="00E1388D" w:rsidRDefault="006322C2" w:rsidP="006322C2">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C71AA37" w14:textId="77777777" w:rsidR="006322C2" w:rsidRPr="00E1388D" w:rsidRDefault="006322C2" w:rsidP="006322C2">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2F9BEB5B" w14:textId="4135E2E1" w:rsidR="006322C2" w:rsidRDefault="006322C2" w:rsidP="00EA58BB">
            <w:pPr>
              <w:tabs>
                <w:tab w:val="decimal" w:pos="532"/>
              </w:tabs>
              <w:jc w:val="left"/>
              <w:rPr>
                <w:sz w:val="16"/>
                <w:szCs w:val="16"/>
              </w:rPr>
            </w:pPr>
            <w:r>
              <w:rPr>
                <w:sz w:val="16"/>
                <w:szCs w:val="16"/>
              </w:rPr>
              <w:t>-8.3</w:t>
            </w:r>
          </w:p>
        </w:tc>
        <w:tc>
          <w:tcPr>
            <w:tcW w:w="547" w:type="pct"/>
            <w:tcBorders>
              <w:bottom w:val="single" w:sz="8" w:space="0" w:color="948A54"/>
            </w:tcBorders>
            <w:shd w:val="clear" w:color="auto" w:fill="DDD9C3"/>
            <w:vAlign w:val="center"/>
          </w:tcPr>
          <w:p w14:paraId="0BA0C0C7" w14:textId="7F208E66" w:rsidR="006322C2" w:rsidRPr="00A46A94" w:rsidRDefault="006322C2" w:rsidP="00EA58BB">
            <w:pPr>
              <w:tabs>
                <w:tab w:val="decimal" w:pos="542"/>
              </w:tabs>
              <w:jc w:val="left"/>
              <w:rPr>
                <w:color w:val="000000"/>
                <w:sz w:val="16"/>
                <w:szCs w:val="16"/>
              </w:rPr>
            </w:pPr>
            <w:r>
              <w:rPr>
                <w:sz w:val="16"/>
                <w:szCs w:val="16"/>
              </w:rPr>
              <w:t>-4.5</w:t>
            </w:r>
          </w:p>
        </w:tc>
        <w:tc>
          <w:tcPr>
            <w:tcW w:w="545" w:type="pct"/>
            <w:tcBorders>
              <w:bottom w:val="single" w:sz="8" w:space="0" w:color="948A54"/>
              <w:right w:val="single" w:sz="8" w:space="0" w:color="948A54"/>
            </w:tcBorders>
            <w:shd w:val="clear" w:color="auto" w:fill="DDD9C3"/>
            <w:vAlign w:val="center"/>
          </w:tcPr>
          <w:p w14:paraId="3110470B" w14:textId="70B00EB5" w:rsidR="006322C2" w:rsidRPr="00A46A94" w:rsidRDefault="006322C2" w:rsidP="00EA58BB">
            <w:pPr>
              <w:tabs>
                <w:tab w:val="decimal" w:pos="466"/>
              </w:tabs>
              <w:jc w:val="left"/>
              <w:rPr>
                <w:color w:val="000000"/>
                <w:sz w:val="16"/>
                <w:szCs w:val="16"/>
              </w:rPr>
            </w:pPr>
            <w:r>
              <w:rPr>
                <w:sz w:val="16"/>
                <w:szCs w:val="16"/>
              </w:rPr>
              <w:t>-9.3</w:t>
            </w:r>
          </w:p>
        </w:tc>
      </w:tr>
    </w:tbl>
    <w:p w14:paraId="18C5CDB2"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7770D3E4"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3E7DD4CE"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C59A9CA"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BC928E9" w14:textId="77777777" w:rsidR="00575ABF" w:rsidRPr="00F719A1" w:rsidRDefault="00575ABF" w:rsidP="008149C0">
      <w:pPr>
        <w:pStyle w:val="p0"/>
        <w:keepLines w:val="0"/>
        <w:spacing w:before="480"/>
        <w:rPr>
          <w:rFonts w:ascii="Arial" w:hAnsi="Arial"/>
          <w:b/>
          <w:i/>
          <w:color w:val="auto"/>
        </w:rPr>
      </w:pPr>
      <w:r w:rsidRPr="00F719A1">
        <w:rPr>
          <w:rFonts w:ascii="Arial" w:hAnsi="Arial"/>
          <w:b/>
          <w:i/>
          <w:color w:val="auto"/>
        </w:rPr>
        <w:t>Nota al usuario</w:t>
      </w:r>
    </w:p>
    <w:p w14:paraId="521EDD86" w14:textId="1AE1BAF5" w:rsidR="00510E72" w:rsidRPr="007D4957" w:rsidRDefault="00510E72" w:rsidP="00510E72">
      <w:pPr>
        <w:pStyle w:val="p0"/>
        <w:rPr>
          <w:rFonts w:ascii="Arial" w:hAnsi="Arial"/>
          <w:color w:val="auto"/>
        </w:rPr>
      </w:pPr>
      <w:bookmarkStart w:id="6" w:name="_Hlk57794120"/>
      <w:r w:rsidRPr="007D4957">
        <w:rPr>
          <w:rFonts w:ascii="Arial" w:hAnsi="Arial"/>
          <w:color w:val="auto"/>
        </w:rPr>
        <w:t>El Índice Global de Productividad Laboral de la Economía (IGPLE) se actualiz</w:t>
      </w:r>
      <w:r w:rsidR="00706826">
        <w:rPr>
          <w:rFonts w:ascii="Arial" w:hAnsi="Arial"/>
          <w:color w:val="auto"/>
        </w:rPr>
        <w:t>ó</w:t>
      </w:r>
      <w:r w:rsidRPr="007D4957">
        <w:rPr>
          <w:rFonts w:ascii="Arial" w:hAnsi="Arial"/>
          <w:color w:val="auto"/>
        </w:rPr>
        <w:t xml:space="preserve"> con base en los datos </w:t>
      </w:r>
      <w:r w:rsidR="0095046C">
        <w:rPr>
          <w:rFonts w:ascii="Arial" w:hAnsi="Arial"/>
          <w:color w:val="auto"/>
        </w:rPr>
        <w:t>de</w:t>
      </w:r>
      <w:r w:rsidRPr="007D4957">
        <w:rPr>
          <w:rFonts w:ascii="Arial" w:hAnsi="Arial"/>
          <w:color w:val="auto"/>
        </w:rPr>
        <w:t xml:space="preserve"> la Encuesta Nacional de Ocupación y Empleo</w:t>
      </w:r>
      <w:r w:rsidR="00291226">
        <w:rPr>
          <w:rFonts w:ascii="Arial" w:hAnsi="Arial"/>
          <w:color w:val="auto"/>
        </w:rPr>
        <w:t>, Nueva Edición</w:t>
      </w:r>
      <w:r w:rsidRPr="007D4957">
        <w:rPr>
          <w:rFonts w:ascii="Arial" w:hAnsi="Arial"/>
          <w:color w:val="auto"/>
        </w:rPr>
        <w:t xml:space="preserve"> (ENOE</w:t>
      </w:r>
      <w:r w:rsidRPr="007D4957">
        <w:rPr>
          <w:rFonts w:ascii="Arial" w:hAnsi="Arial"/>
          <w:color w:val="auto"/>
          <w:vertAlign w:val="superscript"/>
        </w:rPr>
        <w:t>N</w:t>
      </w:r>
      <w:r w:rsidRPr="007D4957">
        <w:rPr>
          <w:rFonts w:ascii="Arial" w:hAnsi="Arial"/>
          <w:color w:val="auto"/>
        </w:rPr>
        <w:t>)</w:t>
      </w:r>
      <w:r w:rsidR="00641901">
        <w:rPr>
          <w:rFonts w:ascii="Arial" w:hAnsi="Arial"/>
          <w:color w:val="auto"/>
        </w:rPr>
        <w:t xml:space="preserve"> y </w:t>
      </w:r>
      <w:r w:rsidR="00484C70">
        <w:rPr>
          <w:rFonts w:ascii="Arial" w:hAnsi="Arial"/>
          <w:color w:val="auto"/>
        </w:rPr>
        <w:t>en las actualizaciones</w:t>
      </w:r>
      <w:r w:rsidR="00171342">
        <w:rPr>
          <w:rFonts w:ascii="Arial" w:hAnsi="Arial"/>
          <w:color w:val="auto"/>
        </w:rPr>
        <w:t xml:space="preserve"> del </w:t>
      </w:r>
      <w:r w:rsidR="00641901" w:rsidRPr="007D4957">
        <w:rPr>
          <w:rFonts w:ascii="Arial" w:hAnsi="Arial"/>
          <w:color w:val="auto"/>
        </w:rPr>
        <w:t>Producto Interno Bruto (PIB)</w:t>
      </w:r>
      <w:r w:rsidR="00641901">
        <w:rPr>
          <w:rFonts w:ascii="Arial" w:hAnsi="Arial"/>
          <w:color w:val="auto"/>
        </w:rPr>
        <w:t xml:space="preserve"> </w:t>
      </w:r>
      <w:r w:rsidRPr="007D4957">
        <w:rPr>
          <w:rFonts w:ascii="Arial" w:hAnsi="Arial"/>
          <w:color w:val="auto"/>
        </w:rPr>
        <w:t>de 2021.</w:t>
      </w:r>
    </w:p>
    <w:p w14:paraId="590CED63" w14:textId="486C2F92" w:rsidR="007D4957" w:rsidRDefault="007D4957" w:rsidP="00C35AB5">
      <w:pPr>
        <w:spacing w:before="120"/>
      </w:pPr>
      <w:r w:rsidRPr="002A49E7">
        <w:t xml:space="preserve">La </w:t>
      </w:r>
      <w:r>
        <w:t>t</w:t>
      </w:r>
      <w:r w:rsidRPr="002A49E7">
        <w:t xml:space="preserve">asa de </w:t>
      </w:r>
      <w:r>
        <w:t>n</w:t>
      </w:r>
      <w:r w:rsidRPr="002A49E7">
        <w:t xml:space="preserve">o </w:t>
      </w:r>
      <w:r>
        <w:t>r</w:t>
      </w:r>
      <w:r w:rsidRPr="002A49E7">
        <w:t xml:space="preserve">espuesta de las </w:t>
      </w:r>
      <w:r>
        <w:t>e</w:t>
      </w:r>
      <w:r w:rsidRPr="002A49E7">
        <w:t xml:space="preserve">ncuestas </w:t>
      </w:r>
      <w:r>
        <w:t>e</w:t>
      </w:r>
      <w:r w:rsidRPr="002A49E7">
        <w:t xml:space="preserve">conómicas </w:t>
      </w:r>
      <w:r>
        <w:t>n</w:t>
      </w:r>
      <w:r w:rsidRPr="002A49E7">
        <w:t>acionales que se consideran para la integración de los Índices de Productividad Laboral y del Costo Unitario de la Mano de Obra, correspondiente al cuarto trimestre de 2021, registró porcentajes apropiados conforme al diseño estadístico de las encuestas</w:t>
      </w:r>
      <w:r w:rsidR="001634DE">
        <w:t>. Esto</w:t>
      </w:r>
      <w:r w:rsidRPr="002A49E7">
        <w:t xml:space="preserve"> permitió la generación de estadísticas con niveles altos de cobertura y precisión estadística para su integración en los índices del periodo de referencia</w:t>
      </w:r>
      <w:r>
        <w:t>.</w:t>
      </w:r>
    </w:p>
    <w:bookmarkEnd w:id="6"/>
    <w:p w14:paraId="53277C9C" w14:textId="2AA098A0" w:rsidR="001174A1" w:rsidRPr="00F719A1" w:rsidRDefault="00B97740" w:rsidP="00C35AB5">
      <w:pPr>
        <w:pStyle w:val="p0"/>
        <w:keepLines w:val="0"/>
        <w:widowControl/>
        <w:spacing w:before="120"/>
        <w:rPr>
          <w:rFonts w:ascii="Arial" w:hAnsi="Arial"/>
          <w:color w:val="auto"/>
        </w:rPr>
      </w:pPr>
      <w:r>
        <w:rPr>
          <w:rFonts w:ascii="Arial" w:hAnsi="Arial"/>
          <w:color w:val="auto"/>
        </w:rPr>
        <w:t>Asimismo</w:t>
      </w:r>
      <w:r w:rsidR="00B734CD" w:rsidRPr="00F719A1">
        <w:rPr>
          <w:rFonts w:ascii="Arial" w:hAnsi="Arial"/>
          <w:color w:val="auto"/>
        </w:rPr>
        <w:t>, se informa que las cifras desestacionalizadas y de tendencia-ciclo pueden estar sujetas a revisiones debido al impacto derivado de la emergencia sanitaria de</w:t>
      </w:r>
      <w:r w:rsidR="00CB3B5C">
        <w:rPr>
          <w:rFonts w:ascii="Arial" w:hAnsi="Arial"/>
          <w:color w:val="auto"/>
        </w:rPr>
        <w:t xml:space="preserve"> </w:t>
      </w:r>
      <w:r w:rsidR="00B734CD" w:rsidRPr="00F719A1">
        <w:rPr>
          <w:rFonts w:ascii="Arial" w:hAnsi="Arial"/>
          <w:color w:val="auto"/>
        </w:rPr>
        <w:t>l</w:t>
      </w:r>
      <w:r w:rsidR="00CB3B5C">
        <w:rPr>
          <w:rFonts w:ascii="Arial" w:hAnsi="Arial"/>
          <w:color w:val="auto"/>
        </w:rPr>
        <w:t>a</w:t>
      </w:r>
      <w:r w:rsidR="00B734CD" w:rsidRPr="00F719A1">
        <w:rPr>
          <w:rFonts w:ascii="Arial" w:hAnsi="Arial"/>
          <w:color w:val="auto"/>
        </w:rPr>
        <w:t xml:space="preserve"> COVID-19. La estrategia seguida por el INEGI ha sido revisar de manera particular cada serie de tiempo y analizar la necesidad de incluir algún tratamiento especial</w:t>
      </w:r>
      <w:r w:rsidR="000A2928">
        <w:rPr>
          <w:rFonts w:ascii="Arial" w:hAnsi="Arial"/>
          <w:color w:val="auto"/>
        </w:rPr>
        <w:t>,</w:t>
      </w:r>
      <w:r w:rsidR="00B734CD" w:rsidRPr="00F719A1">
        <w:rPr>
          <w:rFonts w:ascii="Arial" w:hAnsi="Arial"/>
          <w:color w:val="auto"/>
        </w:rPr>
        <w:t xml:space="preserve"> </w:t>
      </w:r>
      <w:r w:rsidR="00CB3B5C">
        <w:rPr>
          <w:rFonts w:ascii="Arial" w:hAnsi="Arial"/>
          <w:color w:val="auto"/>
        </w:rPr>
        <w:t xml:space="preserve">como el de </w:t>
      </w:r>
      <w:proofErr w:type="spellStart"/>
      <w:r w:rsidR="00CB3B5C" w:rsidRPr="00FD2699">
        <w:rPr>
          <w:i/>
          <w:iCs/>
          <w:color w:val="auto"/>
        </w:rPr>
        <w:t>Outliers</w:t>
      </w:r>
      <w:proofErr w:type="spellEnd"/>
      <w:r w:rsidR="00CB3B5C">
        <w:rPr>
          <w:i/>
          <w:iCs/>
          <w:color w:val="auto"/>
        </w:rPr>
        <w:t>,</w:t>
      </w:r>
      <w:r w:rsidR="00B734CD" w:rsidRPr="00F719A1">
        <w:rPr>
          <w:rFonts w:ascii="Arial" w:hAnsi="Arial"/>
          <w:color w:val="auto"/>
        </w:rPr>
        <w:t xml:space="preserve"> en los modelos de ajuste estacional para los meses de la contingencia. Lo anterior con el objetivo de que los grandes cambios en las cifras originales no influyan de manera desproporcionada en los factores estacionales utilizados.</w:t>
      </w:r>
    </w:p>
    <w:p w14:paraId="54FA16B9" w14:textId="77777777" w:rsidR="007A3A95" w:rsidRDefault="007A3A95">
      <w:pPr>
        <w:jc w:val="left"/>
        <w:rPr>
          <w:b/>
          <w:i/>
          <w:snapToGrid w:val="0"/>
        </w:rPr>
      </w:pPr>
      <w:r>
        <w:rPr>
          <w:b/>
          <w:i/>
        </w:rPr>
        <w:br w:type="page"/>
      </w:r>
    </w:p>
    <w:p w14:paraId="4F837126" w14:textId="5E5DF12C" w:rsidR="00EA5096" w:rsidRPr="00E34826" w:rsidRDefault="007B75D7" w:rsidP="00767C37">
      <w:pPr>
        <w:pStyle w:val="p0"/>
        <w:keepLines w:val="0"/>
        <w:spacing w:before="360"/>
        <w:rPr>
          <w:rFonts w:ascii="Arial" w:hAnsi="Arial"/>
          <w:b/>
          <w:i/>
          <w:color w:val="auto"/>
        </w:rPr>
      </w:pPr>
      <w:r>
        <w:rPr>
          <w:rFonts w:ascii="Arial" w:hAnsi="Arial"/>
          <w:b/>
          <w:i/>
          <w:color w:val="auto"/>
        </w:rPr>
        <w:lastRenderedPageBreak/>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00988CF6" w14:textId="127380D9"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w:t>
      </w:r>
      <w:r w:rsidR="00150164">
        <w:rPr>
          <w:rFonts w:cs="Arial"/>
          <w:b w:val="0"/>
          <w:color w:val="auto"/>
          <w:spacing w:val="0"/>
          <w:szCs w:val="24"/>
        </w:rPr>
        <w:t>on el</w:t>
      </w:r>
      <w:r w:rsidRPr="00E34826">
        <w:rPr>
          <w:rFonts w:cs="Arial"/>
          <w:b w:val="0"/>
          <w:color w:val="auto"/>
          <w:spacing w:val="0"/>
          <w:szCs w:val="24"/>
        </w:rPr>
        <w:t xml:space="preserve"> objetivo </w:t>
      </w:r>
      <w:r w:rsidR="00150164">
        <w:rPr>
          <w:rFonts w:cs="Arial"/>
          <w:b w:val="0"/>
          <w:color w:val="auto"/>
          <w:spacing w:val="0"/>
          <w:szCs w:val="24"/>
        </w:rPr>
        <w:t>de</w:t>
      </w:r>
      <w:r w:rsidR="00150164" w:rsidRPr="00E34826">
        <w:rPr>
          <w:rFonts w:cs="Arial"/>
          <w:b w:val="0"/>
          <w:color w:val="auto"/>
          <w:spacing w:val="0"/>
          <w:szCs w:val="24"/>
        </w:rPr>
        <w:t xml:space="preserve"> </w:t>
      </w:r>
      <w:r w:rsidRPr="00E34826">
        <w:rPr>
          <w:rFonts w:cs="Arial"/>
          <w:b w:val="0"/>
          <w:color w:val="auto"/>
          <w:spacing w:val="0"/>
          <w:szCs w:val="24"/>
        </w:rPr>
        <w:t>“coordinar y promover la ejecución de programas de desarrollo de estadísticas laborales, vigilar el cumplimiento de las normas y las metodologías establecidas para la captación, procesamiento, análisis y difusión de las mismas”.</w:t>
      </w:r>
    </w:p>
    <w:p w14:paraId="776457C9"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5F88B07B" w14:textId="53E78B01"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w:t>
      </w:r>
      <w:r w:rsidR="008C64E7">
        <w:rPr>
          <w:rFonts w:cs="Arial"/>
          <w:b w:val="0"/>
          <w:color w:val="auto"/>
          <w:spacing w:val="0"/>
          <w:szCs w:val="24"/>
        </w:rPr>
        <w:t>C</w:t>
      </w:r>
      <w:r w:rsidRPr="00C72B0D">
        <w:rPr>
          <w:rFonts w:cs="Arial"/>
          <w:b w:val="0"/>
          <w:color w:val="auto"/>
          <w:spacing w:val="0"/>
          <w:szCs w:val="24"/>
        </w:rPr>
        <w:t xml:space="preserve">onstrucción,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9E74ACF"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06BC72E5" w14:textId="77777777" w:rsidR="00003EB2" w:rsidRPr="00E34826" w:rsidRDefault="00EA5096" w:rsidP="0010028F">
      <w:pPr>
        <w:widowControl w:val="0"/>
        <w:spacing w:before="240"/>
      </w:pPr>
      <w:r w:rsidRPr="00E34826">
        <w:t>La información sobre productividad y costo de la mano de obra ofrece las siguientes ventajas:</w:t>
      </w:r>
    </w:p>
    <w:p w14:paraId="06907C88"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70062FDD"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386735E9"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A8BF299" w14:textId="39575EFC"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w:t>
      </w:r>
      <w:r w:rsidR="008C64E7" w:rsidRPr="00E34826">
        <w:t>20</w:t>
      </w:r>
      <w:r w:rsidR="008C64E7">
        <w:t>13</w:t>
      </w:r>
      <w:r w:rsidR="00AD59E0" w:rsidRPr="00054403">
        <w:t>,</w:t>
      </w:r>
      <w:r w:rsidRPr="00E34826">
        <w:t xml:space="preserve"> lo que facilita la comparación entre sectores.</w:t>
      </w:r>
    </w:p>
    <w:p w14:paraId="15E6D850"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54052AC9" w14:textId="64C46CC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Los índices son calculados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 xml:space="preserve">de diversas fuentes estadísticas del INEGI: el Sistema de Cuentas Nacionales de México (SCNM); </w:t>
      </w:r>
      <w:r w:rsidR="008459D3" w:rsidRPr="008459D3">
        <w:rPr>
          <w:rFonts w:cs="Arial"/>
          <w:b w:val="0"/>
          <w:color w:val="auto"/>
          <w:spacing w:val="0"/>
          <w:szCs w:val="24"/>
          <w:lang w:val="es-ES_tradnl"/>
        </w:rPr>
        <w:t>Encuesta Nacional de Ocupación y Empleo, Nueva Edición (ENOE</w:t>
      </w:r>
      <w:r w:rsidR="008459D3" w:rsidRPr="008459D3">
        <w:rPr>
          <w:rFonts w:cs="Arial"/>
          <w:b w:val="0"/>
          <w:color w:val="auto"/>
          <w:spacing w:val="0"/>
          <w:szCs w:val="24"/>
          <w:vertAlign w:val="superscript"/>
          <w:lang w:val="es-ES_tradnl"/>
        </w:rPr>
        <w:t>N</w:t>
      </w:r>
      <w:r w:rsidR="008459D3" w:rsidRPr="008459D3">
        <w:rPr>
          <w:rFonts w:cs="Arial"/>
          <w:b w:val="0"/>
          <w:color w:val="auto"/>
          <w:spacing w:val="0"/>
          <w:szCs w:val="24"/>
          <w:lang w:val="es-ES_tradnl"/>
        </w:rPr>
        <w:t>)</w:t>
      </w:r>
      <w:r w:rsidRPr="00E34826">
        <w:rPr>
          <w:rFonts w:cs="Arial"/>
          <w:b w:val="0"/>
          <w:color w:val="auto"/>
          <w:spacing w:val="0"/>
          <w:szCs w:val="24"/>
          <w:lang w:val="es-ES_tradnl"/>
        </w:rPr>
        <w:t xml:space="preserv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654743EC" w14:textId="53B1568D"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lastRenderedPageBreak/>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w:t>
      </w:r>
      <w:r w:rsidR="00D84672">
        <w:rPr>
          <w:rFonts w:cs="Arial"/>
          <w:b w:val="0"/>
          <w:color w:val="auto"/>
          <w:spacing w:val="0"/>
          <w:szCs w:val="24"/>
          <w:lang w:val="es-ES_tradnl"/>
        </w:rPr>
        <w:t xml:space="preserve"> y</w:t>
      </w:r>
      <w:r w:rsidRPr="00E34826">
        <w:rPr>
          <w:rFonts w:cs="Arial"/>
          <w:b w:val="0"/>
          <w:color w:val="auto"/>
          <w:spacing w:val="0"/>
          <w:szCs w:val="24"/>
          <w:lang w:val="es-ES_tradnl"/>
        </w:rPr>
        <w:t xml:space="preserve"> se enumeran a continuación:</w:t>
      </w:r>
    </w:p>
    <w:p w14:paraId="7A05ABF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6A23C61" w14:textId="4700FE38"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e obtiene al relacionar dos variables agregadas de la economía del país, obtenidas de dos fuentes de información:</w:t>
      </w:r>
    </w:p>
    <w:p w14:paraId="58F32A95"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Sistema de Cuentas Nacionales de México (SCNM), que </w:t>
      </w:r>
      <w:r w:rsidRPr="00F719A1">
        <w:rPr>
          <w:color w:val="auto"/>
          <w:sz w:val="24"/>
          <w:szCs w:val="24"/>
        </w:rPr>
        <w:t xml:space="preserve">genera el Producto Interno Bruto (PIB) trimestral en términos reales, base </w:t>
      </w:r>
      <w:r w:rsidR="00AD59E0" w:rsidRPr="00F719A1">
        <w:rPr>
          <w:color w:val="auto"/>
          <w:sz w:val="24"/>
          <w:szCs w:val="24"/>
        </w:rPr>
        <w:t>2013</w:t>
      </w:r>
      <w:r w:rsidRPr="00F719A1">
        <w:rPr>
          <w:color w:val="auto"/>
          <w:sz w:val="24"/>
          <w:szCs w:val="24"/>
        </w:rPr>
        <w:t>.</w:t>
      </w:r>
    </w:p>
    <w:p w14:paraId="03B56BB3" w14:textId="1E306A2C"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Encuesta Nacional de Ocupación y Empleo</w:t>
      </w:r>
      <w:r w:rsidR="008459D3">
        <w:rPr>
          <w:color w:val="auto"/>
          <w:sz w:val="24"/>
          <w:szCs w:val="24"/>
        </w:rPr>
        <w:t xml:space="preserve">, Nueva Edición </w:t>
      </w:r>
      <w:r w:rsidRPr="00F719A1">
        <w:rPr>
          <w:color w:val="auto"/>
          <w:sz w:val="24"/>
          <w:szCs w:val="24"/>
        </w:rPr>
        <w:t>(ENOE</w:t>
      </w:r>
      <w:r w:rsidR="008459D3" w:rsidRPr="008459D3">
        <w:rPr>
          <w:rFonts w:eastAsia="Times New Roman"/>
          <w:color w:val="auto"/>
          <w:sz w:val="24"/>
          <w:szCs w:val="24"/>
          <w:vertAlign w:val="superscript"/>
          <w:lang w:val="es-ES_tradnl" w:eastAsia="es-ES"/>
        </w:rPr>
        <w:t>N</w:t>
      </w:r>
      <w:r w:rsidRPr="00F719A1">
        <w:rPr>
          <w:color w:val="auto"/>
          <w:sz w:val="24"/>
          <w:szCs w:val="24"/>
        </w:rPr>
        <w:t>),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61F17623" w14:textId="0BD2CAC0"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difundirá para la totalidad de la economía nacional y para los tres grupos tradicionales de actividades económicas: primarias, secundarias y terciarias. El periodo de la serie inicia en el primer trimestre de 2005.</w:t>
      </w:r>
    </w:p>
    <w:p w14:paraId="074DFAD4"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559C4FE3"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68B18C22" w14:textId="77777777" w:rsidR="00EA5096" w:rsidRPr="00E34826" w:rsidRDefault="00EA5096"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el personal ocupado total.</w:t>
      </w:r>
    </w:p>
    <w:p w14:paraId="7E59D7EE" w14:textId="77777777" w:rsidR="00EA5096" w:rsidRPr="00E34826" w:rsidRDefault="00EA5096"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57BDAEA9" w14:textId="77777777" w:rsidR="00EA5096" w:rsidRPr="00E34826" w:rsidRDefault="00EA5096"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22E26423" w14:textId="77777777"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622844EA"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3DE8B9A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2427CE35" w14:textId="7A843226"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261E8F1D"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7D65066D" w14:textId="22CCDEE8" w:rsidR="00F719A1"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lastRenderedPageBreak/>
        <w:t>Índice</w:t>
      </w:r>
      <w:r w:rsidRPr="00E34826">
        <w:rPr>
          <w:rFonts w:cs="Arial"/>
          <w:b w:val="0"/>
          <w:color w:val="auto"/>
          <w:spacing w:val="0"/>
          <w:szCs w:val="24"/>
        </w:rPr>
        <w:t xml:space="preserve"> de productividad laboral, calculado con base en las horas trabajadas.</w:t>
      </w:r>
    </w:p>
    <w:p w14:paraId="27B47AF6" w14:textId="77777777" w:rsidR="00EA5096" w:rsidRPr="00E34826" w:rsidRDefault="00EA5096"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Establecimientos de las Industrias Manufactureras</w:t>
      </w:r>
    </w:p>
    <w:p w14:paraId="51DDF07B" w14:textId="38D7BE7E"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con base en el personal ocupado o en las horas trabajadas.</w:t>
      </w:r>
    </w:p>
    <w:p w14:paraId="4A5F729A" w14:textId="62615258"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Los dos índices de productividad laboral</w:t>
      </w:r>
      <w:r w:rsidR="00F2394D">
        <w:rPr>
          <w:rFonts w:cs="Arial"/>
          <w:b w:val="0"/>
          <w:color w:val="auto"/>
          <w:spacing w:val="0"/>
          <w:szCs w:val="24"/>
        </w:rPr>
        <w:t xml:space="preserve"> y</w:t>
      </w:r>
      <w:r w:rsidRPr="00E34826">
        <w:rPr>
          <w:rFonts w:cs="Arial"/>
          <w:b w:val="0"/>
          <w:color w:val="auto"/>
          <w:spacing w:val="0"/>
          <w:szCs w:val="24"/>
        </w:rPr>
        <w:t xml:space="preserve">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4ABC6891"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39046EB9" w14:textId="39D7A9B8"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w:t>
      </w:r>
      <w:r w:rsidR="00794825">
        <w:rPr>
          <w:rFonts w:cs="Arial"/>
          <w:b w:val="0"/>
          <w:color w:val="auto"/>
          <w:spacing w:val="0"/>
          <w:szCs w:val="24"/>
          <w:lang w:val="es-ES_tradnl"/>
        </w:rPr>
        <w:t>e</w:t>
      </w:r>
      <w:r w:rsidRPr="00E34826">
        <w:rPr>
          <w:rFonts w:cs="Arial"/>
          <w:b w:val="0"/>
          <w:color w:val="auto"/>
          <w:spacing w:val="0"/>
          <w:szCs w:val="24"/>
          <w:lang w:val="es-ES_tradnl"/>
        </w:rPr>
        <w:t>ndo el índice de productividad laboral.</w:t>
      </w:r>
    </w:p>
    <w:p w14:paraId="7A188632"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Mayor</w:t>
      </w:r>
    </w:p>
    <w:p w14:paraId="19E127F3" w14:textId="2661A421"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374007">
        <w:rPr>
          <w:rFonts w:cs="Arial"/>
          <w:b w:val="0"/>
          <w:color w:val="auto"/>
          <w:spacing w:val="0"/>
          <w:szCs w:val="24"/>
          <w:lang w:val="es-ES_tradnl"/>
        </w:rPr>
        <w:t xml:space="preserve"> y</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6DC64B73" w14:textId="663A8635"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os Índices de Productividad Laboral y del Costo Unitario de la Mano de Obra</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de los índices por entidad federativa a nivel del sector, </w:t>
      </w:r>
      <w:r w:rsidR="0021170F">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6B49612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79200D9F" w14:textId="79AE3D94"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w:t>
      </w:r>
      <w:r w:rsidR="0021170F">
        <w:rPr>
          <w:rFonts w:cs="Arial"/>
          <w:b w:val="0"/>
          <w:color w:val="auto"/>
          <w:spacing w:val="0"/>
          <w:szCs w:val="24"/>
        </w:rPr>
        <w:t>e</w:t>
      </w:r>
      <w:r w:rsidRPr="00E34826">
        <w:rPr>
          <w:rFonts w:cs="Arial"/>
          <w:b w:val="0"/>
          <w:color w:val="auto"/>
          <w:spacing w:val="0"/>
          <w:szCs w:val="24"/>
        </w:rPr>
        <w:t>ndo el índice de productividad laboral.</w:t>
      </w:r>
    </w:p>
    <w:p w14:paraId="5DB7767C"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62495846" w14:textId="5B4D6322"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45140E">
        <w:rPr>
          <w:rFonts w:cs="Arial"/>
          <w:b w:val="0"/>
          <w:color w:val="auto"/>
          <w:spacing w:val="0"/>
          <w:szCs w:val="24"/>
          <w:lang w:val="es-ES_tradnl"/>
        </w:rPr>
        <w:t xml:space="preserve"> y</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32CC5E7B" w14:textId="680A1E3C"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0A4A0F">
        <w:rPr>
          <w:rFonts w:cs="Arial"/>
          <w:b w:val="0"/>
          <w:color w:val="auto"/>
          <w:spacing w:val="0"/>
          <w:szCs w:val="24"/>
        </w:rPr>
        <w:t>Índices d</w:t>
      </w:r>
      <w:r w:rsidR="00EA5096" w:rsidRPr="00E34826">
        <w:rPr>
          <w:rFonts w:cs="Arial"/>
          <w:b w:val="0"/>
          <w:color w:val="auto"/>
          <w:spacing w:val="0"/>
          <w:szCs w:val="24"/>
          <w:lang w:val="es-ES_tradnl"/>
        </w:rPr>
        <w:t>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 xml:space="preserve">los índices por entidad federativa a nivel del sector, </w:t>
      </w:r>
      <w:r w:rsidR="0045140E">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6551617C" w14:textId="77777777" w:rsidR="00EA5096" w:rsidRPr="00E34826" w:rsidRDefault="00EA5096" w:rsidP="00F65B6E">
      <w:pPr>
        <w:pStyle w:val="bullet"/>
        <w:keepNext/>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lastRenderedPageBreak/>
        <w:t>Índice de Productividad Laboral en Empresas de los Servicios Privados no Financieros</w:t>
      </w:r>
    </w:p>
    <w:p w14:paraId="7E15B2DA" w14:textId="3ECF0071" w:rsidR="00EA5096" w:rsidRPr="00E34826" w:rsidRDefault="00EA5096" w:rsidP="00F65B6E">
      <w:pPr>
        <w:pStyle w:val="bullet"/>
        <w:keepNext/>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w:t>
      </w:r>
      <w:r w:rsidR="00054DC7">
        <w:rPr>
          <w:rFonts w:cs="Arial"/>
          <w:b w:val="0"/>
          <w:color w:val="auto"/>
          <w:spacing w:val="0"/>
          <w:szCs w:val="24"/>
          <w:lang w:val="es-ES_tradnl"/>
        </w:rPr>
        <w:t>e</w:t>
      </w:r>
      <w:r w:rsidRPr="00E34826">
        <w:rPr>
          <w:rFonts w:cs="Arial"/>
          <w:b w:val="0"/>
          <w:color w:val="auto"/>
          <w:spacing w:val="0"/>
          <w:szCs w:val="24"/>
          <w:lang w:val="es-ES_tradnl"/>
        </w:rPr>
        <w:t>ndo el índice de productividad laboral.</w:t>
      </w:r>
    </w:p>
    <w:p w14:paraId="217B491D"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11B09104" w14:textId="19139743"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054DC7">
        <w:rPr>
          <w:rFonts w:cs="Arial"/>
          <w:b w:val="0"/>
          <w:color w:val="auto"/>
          <w:spacing w:val="0"/>
          <w:szCs w:val="24"/>
          <w:lang w:val="es-ES_tradnl"/>
        </w:rPr>
        <w:t xml:space="preserve"> y</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3DB7F1C3" w14:textId="5BC4A71E" w:rsidR="00EA5096" w:rsidRPr="00E34826" w:rsidRDefault="0022724F" w:rsidP="00F91456">
      <w:pPr>
        <w:pStyle w:val="bullet"/>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54C29F3A"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496368A9" w14:textId="77777777" w:rsidR="00EA5096" w:rsidRPr="00280E7F" w:rsidRDefault="00AF2840" w:rsidP="00280E7F">
      <w:pPr>
        <w:widowControl w:val="0"/>
        <w:spacing w:before="120"/>
        <w:rPr>
          <w:rStyle w:val="Hipervnculo"/>
          <w:lang w:eastAsia="es-MX"/>
        </w:rPr>
      </w:pPr>
      <w:hyperlink r:id="rId24" w:history="1">
        <w:r w:rsidR="00017646" w:rsidRPr="004B0E84">
          <w:rPr>
            <w:rStyle w:val="Hipervnculo"/>
            <w:lang w:eastAsia="es-MX"/>
          </w:rPr>
          <w:t>https://www.inegi.org.mx/app/biblioteca/ficha.html?upc=702825188894</w:t>
        </w:r>
      </w:hyperlink>
    </w:p>
    <w:p w14:paraId="4E8C058E" w14:textId="564B03E2" w:rsidR="000A2928" w:rsidRPr="00E34826" w:rsidRDefault="000A2928" w:rsidP="000A2928">
      <w:pPr>
        <w:pStyle w:val="p0"/>
        <w:keepLines w:val="0"/>
        <w:rPr>
          <w:rFonts w:ascii="Arial" w:hAnsi="Arial"/>
          <w:color w:val="auto"/>
          <w:lang w:val="es-ES"/>
        </w:rPr>
      </w:pPr>
      <w:r>
        <w:rPr>
          <w:rFonts w:ascii="Arial" w:hAnsi="Arial"/>
          <w:color w:val="auto"/>
          <w:lang w:val="es-ES"/>
        </w:rPr>
        <w:t>Es importante destacar que</w:t>
      </w:r>
      <w:r w:rsidRPr="00E34826">
        <w:rPr>
          <w:rFonts w:ascii="Arial" w:hAnsi="Arial"/>
          <w:color w:val="auto"/>
          <w:lang w:val="es-ES"/>
        </w:rPr>
        <w:t xml:space="preserve"> la mayoría de las series económicas se ven afectadas por factores estacionales. </w:t>
      </w:r>
      <w:r>
        <w:rPr>
          <w:rFonts w:ascii="Arial" w:hAnsi="Arial"/>
          <w:color w:val="auto"/>
          <w:lang w:val="es-ES"/>
        </w:rPr>
        <w:t xml:space="preserve">Es decir, </w:t>
      </w:r>
      <w:r w:rsidRPr="00E34826">
        <w:rPr>
          <w:rFonts w:ascii="Arial" w:hAnsi="Arial"/>
          <w:color w:val="auto"/>
          <w:lang w:val="es-ES"/>
        </w:rPr>
        <w:t>efectos periódicos que se repiten cada año y cuyas causas pueden considerarse ajenas a la naturaleza económica de las series</w:t>
      </w:r>
      <w:r w:rsidR="001851F9">
        <w:rPr>
          <w:rFonts w:ascii="Arial" w:hAnsi="Arial"/>
          <w:color w:val="auto"/>
          <w:lang w:val="es-ES"/>
        </w:rPr>
        <w:t xml:space="preserve">. </w:t>
      </w:r>
      <w:r w:rsidR="007D4957">
        <w:rPr>
          <w:rFonts w:ascii="Arial" w:hAnsi="Arial"/>
          <w:color w:val="auto"/>
          <w:lang w:val="es-ES"/>
        </w:rPr>
        <w:t>É</w:t>
      </w:r>
      <w:r w:rsidR="001851F9">
        <w:rPr>
          <w:rFonts w:ascii="Arial" w:hAnsi="Arial"/>
          <w:color w:val="auto"/>
          <w:lang w:val="es-ES"/>
        </w:rPr>
        <w:t>stas pueden ser:</w:t>
      </w:r>
      <w:r w:rsidRPr="00E34826">
        <w:rPr>
          <w:rFonts w:ascii="Arial" w:hAnsi="Arial"/>
          <w:color w:val="auto"/>
          <w:lang w:val="es-ES"/>
        </w:rPr>
        <w:t xml:space="preserve"> las festividades, el hecho de que algunos meses tienen más días que otros, los periodos de vacaciones escolares, el efecto del clima en las estaciones del año y o</w:t>
      </w:r>
      <w:r>
        <w:rPr>
          <w:rFonts w:ascii="Arial" w:hAnsi="Arial"/>
          <w:color w:val="auto"/>
          <w:lang w:val="es-ES"/>
        </w:rPr>
        <w:t>tras fluctuaciones estacionales</w:t>
      </w:r>
      <w:r w:rsidRPr="00E34826">
        <w:rPr>
          <w:rFonts w:ascii="Arial" w:hAnsi="Arial"/>
          <w:color w:val="auto"/>
          <w:lang w:val="es-ES"/>
        </w:rPr>
        <w:t xml:space="preserve"> </w:t>
      </w:r>
      <w:r w:rsidRPr="00CB3B5C">
        <w:rPr>
          <w:color w:val="auto"/>
        </w:rPr>
        <w:t xml:space="preserve">como la elevada </w:t>
      </w:r>
      <w:r w:rsidRPr="00E34826">
        <w:rPr>
          <w:rFonts w:ascii="Arial" w:hAnsi="Arial"/>
          <w:color w:val="auto"/>
          <w:lang w:val="es-ES"/>
        </w:rPr>
        <w:t>producción de juguetes en los meses previos a la Navidad</w:t>
      </w:r>
      <w:r>
        <w:rPr>
          <w:rFonts w:ascii="Arial" w:hAnsi="Arial"/>
          <w:color w:val="auto"/>
          <w:lang w:val="es-ES"/>
        </w:rPr>
        <w:t>,</w:t>
      </w:r>
      <w:r w:rsidRPr="00E34826">
        <w:rPr>
          <w:rFonts w:ascii="Arial" w:hAnsi="Arial"/>
          <w:color w:val="auto"/>
          <w:lang w:val="es-ES"/>
        </w:rPr>
        <w:t xml:space="preserve"> provocada por la expectativa de mayores ventas en diciembre.</w:t>
      </w:r>
    </w:p>
    <w:p w14:paraId="6CBE0B00" w14:textId="77777777" w:rsidR="000A2928" w:rsidRDefault="000A2928" w:rsidP="000A2928">
      <w:pPr>
        <w:pStyle w:val="p1"/>
        <w:spacing w:before="240"/>
        <w:rPr>
          <w:rFonts w:cs="Arial"/>
          <w:color w:val="auto"/>
        </w:rPr>
      </w:pPr>
      <w:r w:rsidRPr="00E34826">
        <w:rPr>
          <w:rFonts w:cs="Arial"/>
          <w:color w:val="auto"/>
        </w:rPr>
        <w:t xml:space="preserve">En este sentido, la desestacionalización o ajuste estacional de series económicas consiste en remover estas influencias </w:t>
      </w:r>
      <w:proofErr w:type="spellStart"/>
      <w:r w:rsidRPr="00E34826">
        <w:rPr>
          <w:rFonts w:cs="Arial"/>
          <w:color w:val="auto"/>
        </w:rPr>
        <w:t>intra-anuales</w:t>
      </w:r>
      <w:proofErr w:type="spellEnd"/>
      <w:r w:rsidRPr="00E34826">
        <w:rPr>
          <w:rFonts w:cs="Arial"/>
          <w:color w:val="auto"/>
        </w:rPr>
        <w:t xml:space="preserve"> periódicas, debido a que su presencia dificulta diagnosticar o describir el comportamiento de una serie económica al no poder comparar</w:t>
      </w:r>
      <w:r>
        <w:rPr>
          <w:rFonts w:cs="Arial"/>
          <w:color w:val="auto"/>
        </w:rPr>
        <w:t>,</w:t>
      </w:r>
      <w:r w:rsidRPr="00E34826">
        <w:rPr>
          <w:rFonts w:cs="Arial"/>
          <w:color w:val="auto"/>
        </w:rPr>
        <w:t xml:space="preserve"> adecuadamente</w:t>
      </w:r>
      <w:r>
        <w:rPr>
          <w:rFonts w:cs="Arial"/>
          <w:color w:val="auto"/>
        </w:rPr>
        <w:t>,</w:t>
      </w:r>
      <w:r w:rsidRPr="00E34826">
        <w:rPr>
          <w:rFonts w:cs="Arial"/>
          <w:color w:val="auto"/>
        </w:rPr>
        <w:t xml:space="preserve"> un determinado trimestre con el inmediato anterior.  </w:t>
      </w:r>
    </w:p>
    <w:p w14:paraId="51B8E6DA" w14:textId="77777777" w:rsidR="000A2928" w:rsidRPr="00E34826" w:rsidRDefault="000A2928" w:rsidP="000A2928">
      <w:pPr>
        <w:pStyle w:val="p1"/>
        <w:keepNext/>
        <w:spacing w:before="240"/>
        <w:rPr>
          <w:rFonts w:cs="Arial"/>
          <w:color w:val="auto"/>
        </w:rPr>
      </w:pPr>
      <w:r w:rsidRPr="00E34826">
        <w:rPr>
          <w:rFonts w:cs="Arial"/>
          <w:color w:val="auto"/>
        </w:rPr>
        <w:t xml:space="preserve">Analizar la serie desestacionalizada ayuda a realizar un mejor diagnóstico y pronóstico de </w:t>
      </w:r>
      <w:r>
        <w:rPr>
          <w:rFonts w:cs="Arial"/>
          <w:color w:val="auto"/>
        </w:rPr>
        <w:t xml:space="preserve">su </w:t>
      </w:r>
      <w:r w:rsidRPr="00E34826">
        <w:rPr>
          <w:rFonts w:cs="Arial"/>
          <w:color w:val="auto"/>
        </w:rPr>
        <w:t xml:space="preserve">evolución, ya que </w:t>
      </w:r>
      <w:r>
        <w:rPr>
          <w:rFonts w:cs="Arial"/>
          <w:color w:val="auto"/>
        </w:rPr>
        <w:t xml:space="preserve">permite </w:t>
      </w:r>
      <w:r w:rsidRPr="00E34826">
        <w:rPr>
          <w:rFonts w:cs="Arial"/>
          <w:color w:val="auto"/>
        </w:rPr>
        <w:t>identifica</w:t>
      </w:r>
      <w:r>
        <w:rPr>
          <w:rFonts w:cs="Arial"/>
          <w:color w:val="auto"/>
        </w:rPr>
        <w:t>r</w:t>
      </w:r>
      <w:r w:rsidRPr="00E34826">
        <w:rPr>
          <w:rFonts w:cs="Arial"/>
          <w:color w:val="auto"/>
        </w:rPr>
        <w:t xml:space="preserve"> la posible dirección de los movimientos que pudiera tener la variable en cuestión, en el corto plazo.</w:t>
      </w:r>
    </w:p>
    <w:p w14:paraId="3D7D09BE" w14:textId="77777777" w:rsidR="000A2928" w:rsidRDefault="000A2928" w:rsidP="000A2928">
      <w:pPr>
        <w:keepNext/>
        <w:spacing w:before="240"/>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 se sugiere consultar la siguiente liga:</w:t>
      </w:r>
    </w:p>
    <w:p w14:paraId="00EBA1FB" w14:textId="77777777" w:rsidR="000A2928" w:rsidRDefault="00AF2840" w:rsidP="000A2928">
      <w:pPr>
        <w:pStyle w:val="parrafo1"/>
        <w:widowControl w:val="0"/>
        <w:spacing w:before="120"/>
        <w:ind w:left="0" w:right="584"/>
        <w:rPr>
          <w:rStyle w:val="Hipervnculo"/>
          <w:lang w:eastAsia="en-US"/>
        </w:rPr>
      </w:pPr>
      <w:hyperlink r:id="rId25" w:history="1">
        <w:r w:rsidR="000A2928" w:rsidRPr="004B0E84">
          <w:rPr>
            <w:rStyle w:val="Hipervnculo"/>
            <w:lang w:eastAsia="en-US"/>
          </w:rPr>
          <w:t>https://www.inegi.org.mx/app/biblioteca/ficha.html?upc=702825099060</w:t>
        </w:r>
      </w:hyperlink>
    </w:p>
    <w:p w14:paraId="6AB1D97F" w14:textId="77777777" w:rsidR="000A2928" w:rsidRPr="00E34826" w:rsidRDefault="000A2928" w:rsidP="000A2928">
      <w:pPr>
        <w:spacing w:before="240"/>
        <w:outlineLvl w:val="3"/>
      </w:pPr>
      <w:r w:rsidRPr="00E34826">
        <w:rPr>
          <w:noProof/>
          <w:color w:val="000000"/>
          <w:sz w:val="18"/>
          <w:szCs w:val="18"/>
          <w:lang w:val="es-MX" w:eastAsia="es-MX"/>
        </w:rPr>
        <w:drawing>
          <wp:anchor distT="0" distB="0" distL="114300" distR="114300" simplePos="0" relativeHeight="251659264" behindDoc="1" locked="0" layoutInCell="1" allowOverlap="1" wp14:anchorId="43F1C9A2" wp14:editId="2DD131C1">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05B2E727" w14:textId="4E76DB71" w:rsidR="00EA5096" w:rsidRDefault="00EA5096" w:rsidP="0010028F">
      <w:pPr>
        <w:keepLines/>
        <w:widowControl w:val="0"/>
        <w:spacing w:before="240"/>
      </w:pPr>
      <w:r w:rsidRPr="00E34826">
        <w:lastRenderedPageBreak/>
        <w:t xml:space="preserve">Los datos trimestrales que se presentan </w:t>
      </w:r>
      <w:r w:rsidR="006B624C" w:rsidRPr="005F2039">
        <w:t xml:space="preserve">en este documento </w:t>
      </w:r>
      <w:r w:rsidRPr="00E34826">
        <w:t xml:space="preserve">amplían la información que actualmente difunde el INEGI, </w:t>
      </w:r>
      <w:r w:rsidR="006E48F9">
        <w:t>que</w:t>
      </w:r>
      <w:r w:rsidRPr="00E34826">
        <w:t xml:space="preserve"> continuará generándose como parte de los resultados mensuales de las encuestas en establecimientos</w:t>
      </w:r>
      <w:r w:rsidR="006B624C" w:rsidRPr="005F2039">
        <w:t xml:space="preserve">, y se da a conocer en la fecha establecida en el Calendario de </w:t>
      </w:r>
      <w:r w:rsidR="002C09D0">
        <w:t>D</w:t>
      </w:r>
      <w:r w:rsidR="006B624C" w:rsidRPr="005F2039">
        <w:t xml:space="preserve">ifusión de </w:t>
      </w:r>
      <w:r w:rsidR="002C09D0">
        <w:t>I</w:t>
      </w:r>
      <w:r w:rsidR="006B624C" w:rsidRPr="005F2039">
        <w:t xml:space="preserve">nformación </w:t>
      </w:r>
      <w:r w:rsidR="002C09D0">
        <w:t>E</w:t>
      </w:r>
      <w:r w:rsidR="006B624C" w:rsidRPr="005F2039">
        <w:t xml:space="preserve">stadística y </w:t>
      </w:r>
      <w:r w:rsidR="002C09D0">
        <w:t>G</w:t>
      </w:r>
      <w:r w:rsidR="006B624C" w:rsidRPr="005F2039">
        <w:t>eográfica y de Interés Nacional</w:t>
      </w:r>
      <w:r w:rsidRPr="00E34826">
        <w:t>.</w:t>
      </w:r>
    </w:p>
    <w:p w14:paraId="3B5A68C8" w14:textId="0D6994D2" w:rsidR="00017646" w:rsidRDefault="00017646" w:rsidP="006B624C">
      <w:pPr>
        <w:widowControl w:val="0"/>
        <w:spacing w:before="240"/>
      </w:pPr>
      <w:r>
        <w:t xml:space="preserve">Todos los resultados pueden ser consultados en la página de la </w:t>
      </w:r>
      <w:r w:rsidRPr="009D0B44">
        <w:t>STPS</w:t>
      </w:r>
      <w:r w:rsidRPr="00E34826">
        <w:t xml:space="preserve"> </w:t>
      </w:r>
      <w:r w:rsidRPr="00B3496F">
        <w:rPr>
          <w:rStyle w:val="Hipervnculo"/>
          <w:color w:val="auto"/>
          <w:u w:val="none"/>
          <w:lang w:eastAsia="es-MX"/>
        </w:rPr>
        <w:t>(</w:t>
      </w:r>
      <w:hyperlink r:id="rId27" w:history="1">
        <w:r w:rsidR="007B75D7" w:rsidRPr="007B75D7">
          <w:rPr>
            <w:rStyle w:val="Hipervnculo"/>
            <w:lang w:eastAsia="es-MX"/>
          </w:rPr>
          <w:t>https://www</w:t>
        </w:r>
        <w:r w:rsidRPr="009D0B44">
          <w:rPr>
            <w:rStyle w:val="Hipervnculo"/>
            <w:lang w:eastAsia="es-MX"/>
          </w:rPr>
          <w:t>.stps.gob.mx</w:t>
        </w:r>
      </w:hyperlink>
      <w:r w:rsidRPr="00B3496F">
        <w:rPr>
          <w:rStyle w:val="Hipervnculo"/>
          <w:color w:val="auto"/>
          <w:u w:val="none"/>
          <w:lang w:eastAsia="es-MX"/>
        </w:rPr>
        <w:t>)</w:t>
      </w:r>
      <w:r w:rsidRPr="007B75D7">
        <w:rPr>
          <w:rStyle w:val="Hipervnculo"/>
          <w:u w:val="none"/>
          <w:lang w:eastAsia="es-MX"/>
        </w:rPr>
        <w:t xml:space="preserve"> </w:t>
      </w:r>
      <w:r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694537">
        <w:t>de internet</w:t>
      </w:r>
      <w:r w:rsidR="00694537">
        <w:rPr>
          <w:rStyle w:val="Hipervnculo"/>
          <w:color w:val="auto"/>
          <w:u w:val="none"/>
          <w:lang w:eastAsia="es-MX"/>
        </w:rPr>
        <w:t xml:space="preserve"> </w:t>
      </w:r>
      <w:r w:rsidR="00EA5096" w:rsidRPr="00E34826">
        <w:t>del INEGI</w:t>
      </w:r>
      <w:r w:rsidR="00C35AB5">
        <w:t>,</w:t>
      </w:r>
      <w:r>
        <w:t xml:space="preserve"> en las siguientes secciones:</w:t>
      </w:r>
    </w:p>
    <w:p w14:paraId="1672A18B" w14:textId="77777777" w:rsidR="00017646" w:rsidRDefault="005B14E0" w:rsidP="006B624C">
      <w:pPr>
        <w:widowControl w:val="0"/>
        <w:spacing w:before="240"/>
        <w:rPr>
          <w:lang w:val="es-MX"/>
        </w:rPr>
      </w:pPr>
      <w:r>
        <w:rPr>
          <w:lang w:val="es-MX"/>
        </w:rPr>
        <w:t>Tema (Economía):</w:t>
      </w:r>
      <w:hyperlink r:id="rId28" w:history="1">
        <w:r w:rsidR="007B75D7" w:rsidRPr="007B75D7">
          <w:rPr>
            <w:rStyle w:val="Hipervnculo"/>
            <w:u w:val="none"/>
          </w:rPr>
          <w:t xml:space="preserve"> </w:t>
        </w:r>
        <w:r w:rsidR="007B75D7" w:rsidRPr="004A76B3">
          <w:rPr>
            <w:rStyle w:val="Hipervnculo"/>
          </w:rPr>
          <w:t>https://www.inegi.org.mx/temas/productividadeco/</w:t>
        </w:r>
      </w:hyperlink>
    </w:p>
    <w:p w14:paraId="46ABFFA7" w14:textId="77777777" w:rsidR="00017646" w:rsidRDefault="005B14E0" w:rsidP="005B14E0">
      <w:pPr>
        <w:widowControl w:val="0"/>
        <w:rPr>
          <w:lang w:val="es-MX"/>
        </w:rPr>
      </w:pPr>
      <w:r>
        <w:rPr>
          <w:lang w:val="es-MX"/>
        </w:rPr>
        <w:t>Tema (Sectores):</w:t>
      </w:r>
      <w:hyperlink r:id="rId29" w:history="1">
        <w:r w:rsidR="007B75D7" w:rsidRPr="007B75D7">
          <w:rPr>
            <w:rStyle w:val="Hipervnculo"/>
            <w:u w:val="none"/>
          </w:rPr>
          <w:t xml:space="preserve"> </w:t>
        </w:r>
        <w:r w:rsidR="007B75D7" w:rsidRPr="004A76B3">
          <w:rPr>
            <w:rStyle w:val="Hipervnculo"/>
          </w:rPr>
          <w:t>https://www.inegi.org.mx/temas/productividadsec/</w:t>
        </w:r>
      </w:hyperlink>
    </w:p>
    <w:p w14:paraId="4F7B7F4F" w14:textId="77777777" w:rsidR="005B14E0" w:rsidRDefault="005B14E0" w:rsidP="005B14E0">
      <w:pPr>
        <w:widowControl w:val="0"/>
      </w:pPr>
      <w:r w:rsidRPr="00FC70C5">
        <w:t>Programa</w:t>
      </w:r>
      <w:r>
        <w:t>:</w:t>
      </w:r>
      <w:hyperlink r:id="rId30"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FCFEB24" w14:textId="77777777" w:rsidR="00EA5096" w:rsidRPr="00E34826" w:rsidRDefault="005B14E0" w:rsidP="005B14E0">
      <w:pPr>
        <w:widowControl w:val="0"/>
      </w:pPr>
      <w:r w:rsidRPr="00E60BE0">
        <w:t>Banco de Información Económica</w:t>
      </w:r>
      <w:r w:rsidR="00017646" w:rsidRPr="00017646">
        <w:rPr>
          <w:lang w:val="es-MX"/>
        </w:rPr>
        <w:t>:</w:t>
      </w:r>
      <w:r w:rsidR="00017646" w:rsidRPr="00017646">
        <w:rPr>
          <w:rStyle w:val="Hipervnculo"/>
          <w:u w:val="none"/>
          <w:lang w:eastAsia="es-MX"/>
        </w:rPr>
        <w:t xml:space="preserve"> </w:t>
      </w:r>
      <w:hyperlink r:id="rId31" w:history="1">
        <w:r w:rsidR="00017646" w:rsidRPr="004B0E84">
          <w:rPr>
            <w:rStyle w:val="Hipervnculo"/>
            <w:lang w:eastAsia="es-MX"/>
          </w:rPr>
          <w:t>https://www.inegi.org.mx/sistemas/bie/</w:t>
        </w:r>
      </w:hyperlink>
    </w:p>
    <w:sectPr w:rsidR="00EA5096" w:rsidRPr="00E34826" w:rsidSect="00C72B0D">
      <w:headerReference w:type="default" r:id="rId32"/>
      <w:footerReference w:type="default" r:id="rId33"/>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274F9" w14:textId="77777777" w:rsidR="00AF2840" w:rsidRDefault="00AF2840">
      <w:r>
        <w:separator/>
      </w:r>
    </w:p>
  </w:endnote>
  <w:endnote w:type="continuationSeparator" w:id="0">
    <w:p w14:paraId="790AC95B" w14:textId="77777777" w:rsidR="00AF2840" w:rsidRDefault="00AF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7C88" w14:textId="77777777" w:rsidR="006C6CF0" w:rsidRPr="00975B1E" w:rsidRDefault="006C6CF0" w:rsidP="006C6CF0">
    <w:pPr>
      <w:pStyle w:val="Piedepgina"/>
      <w:jc w:val="center"/>
      <w:rPr>
        <w:b/>
        <w:bCs/>
        <w:color w:val="002060"/>
        <w:sz w:val="20"/>
        <w:szCs w:val="20"/>
      </w:rPr>
    </w:pPr>
    <w:r w:rsidRPr="00975B1E">
      <w:rPr>
        <w:b/>
        <w:bCs/>
        <w:color w:val="002060"/>
        <w:sz w:val="20"/>
        <w:szCs w:val="20"/>
      </w:rPr>
      <w:t>COMUNICACIÓN SOCIAL</w:t>
    </w:r>
  </w:p>
  <w:p w14:paraId="156241EE" w14:textId="77777777" w:rsidR="006C6CF0" w:rsidRPr="007B4B63" w:rsidRDefault="006C6CF0"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76AE" w14:textId="77777777" w:rsidR="006C6CF0" w:rsidRPr="00E675E0" w:rsidRDefault="006C6CF0" w:rsidP="003076C4">
    <w:pPr>
      <w:pStyle w:val="Piedepgina"/>
      <w:jc w:val="center"/>
      <w:rPr>
        <w:b/>
        <w:color w:val="002060"/>
        <w:sz w:val="20"/>
        <w:szCs w:val="20"/>
        <w:lang w:val="es-MX"/>
      </w:rPr>
    </w:pPr>
    <w:r w:rsidRPr="00E675E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101D" w14:textId="77777777" w:rsidR="00AF2840" w:rsidRDefault="00AF2840">
      <w:r>
        <w:separator/>
      </w:r>
    </w:p>
  </w:footnote>
  <w:footnote w:type="continuationSeparator" w:id="0">
    <w:p w14:paraId="3E2128B6" w14:textId="77777777" w:rsidR="00AF2840" w:rsidRDefault="00AF2840">
      <w:r>
        <w:continuationSeparator/>
      </w:r>
    </w:p>
  </w:footnote>
  <w:footnote w:id="1">
    <w:p w14:paraId="1AEC169E" w14:textId="77777777" w:rsidR="006C6CF0" w:rsidRDefault="006C6CF0" w:rsidP="007F5DE6">
      <w:pPr>
        <w:pStyle w:val="Textonotapie"/>
        <w:ind w:left="170" w:right="49" w:hanging="170"/>
        <w:rPr>
          <w:sz w:val="16"/>
          <w:szCs w:val="16"/>
          <w:lang w:val="es-MX"/>
        </w:rPr>
      </w:pPr>
      <w:r w:rsidRPr="003F00B8">
        <w:rPr>
          <w:smallCaps/>
          <w:sz w:val="18"/>
          <w:szCs w:val="18"/>
          <w:vertAlign w:val="superscript"/>
        </w:rPr>
        <w:footnoteRef/>
      </w:r>
      <w:r w:rsidRPr="003F00B8">
        <w:rPr>
          <w:sz w:val="16"/>
          <w:szCs w:val="16"/>
          <w:lang w:val="es-MX"/>
        </w:rPr>
        <w:tab/>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6E2C6444" w14:textId="77777777" w:rsidR="006C6CF0" w:rsidRDefault="006C6CF0" w:rsidP="007F5DE6">
      <w:pPr>
        <w:pStyle w:val="Textonotapie"/>
        <w:ind w:left="170" w:right="49" w:hanging="170"/>
        <w:rPr>
          <w:sz w:val="16"/>
          <w:szCs w:val="16"/>
          <w:lang w:val="es-MX"/>
        </w:rPr>
      </w:pPr>
    </w:p>
    <w:p w14:paraId="380F7FBC" w14:textId="77777777" w:rsidR="006C6CF0" w:rsidRPr="003F00B8" w:rsidRDefault="006C6CF0" w:rsidP="007F5DE6">
      <w:pPr>
        <w:pStyle w:val="Textonotapie"/>
        <w:ind w:left="170" w:right="49" w:hanging="170"/>
        <w:rPr>
          <w:sz w:val="16"/>
          <w:szCs w:val="16"/>
          <w:lang w:val="es-MX"/>
        </w:rPr>
      </w:pPr>
    </w:p>
  </w:footnote>
  <w:footnote w:id="2">
    <w:p w14:paraId="45A43307" w14:textId="786B1DD2" w:rsidR="006C6CF0" w:rsidRPr="00D52972" w:rsidRDefault="006C6CF0" w:rsidP="007F5DE6">
      <w:pPr>
        <w:pStyle w:val="Textonotapie"/>
        <w:tabs>
          <w:tab w:val="left" w:pos="9043"/>
        </w:tabs>
        <w:ind w:left="170" w:hanging="170"/>
        <w:rPr>
          <w:lang w:val="es-MX"/>
        </w:rPr>
      </w:pPr>
      <w:r w:rsidRPr="00D52972">
        <w:rPr>
          <w:rStyle w:val="Refdenotaalpie"/>
          <w:sz w:val="18"/>
        </w:rPr>
        <w:footnoteRef/>
      </w:r>
      <w:r w:rsidRPr="00E068C5">
        <w:rPr>
          <w:sz w:val="16"/>
          <w:szCs w:val="16"/>
        </w:rPr>
        <w:tab/>
      </w:r>
      <w:r>
        <w:rPr>
          <w:sz w:val="16"/>
          <w:szCs w:val="16"/>
          <w:lang w:val="es-MX"/>
        </w:rPr>
        <w:t>Para los sectores de comercio al mayoreo y al menudeo, y de los servicios, el Índice de Productividad Laboral se calcula con base en el personal ocupado total, dada la disponibilidad de información básica.</w:t>
      </w:r>
    </w:p>
  </w:footnote>
  <w:footnote w:id="3">
    <w:p w14:paraId="4205587C" w14:textId="6FE8415E" w:rsidR="006C6CF0" w:rsidRPr="005F6DA0" w:rsidRDefault="006C6CF0"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w:t>
      </w:r>
      <w:r w:rsidRPr="00621596">
        <w:rPr>
          <w:sz w:val="16"/>
          <w:szCs w:val="16"/>
          <w:lang w:val="es-MX"/>
        </w:rPr>
        <w:t>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r w:rsidRPr="00621596">
        <w:rPr>
          <w:sz w:val="16"/>
          <w:szCs w:val="16"/>
          <w:lang w:val="es-MX"/>
        </w:rPr>
        <w:t xml:space="preserve"> </w:t>
      </w:r>
    </w:p>
  </w:footnote>
  <w:footnote w:id="4">
    <w:p w14:paraId="7F921993" w14:textId="2DA92F6A" w:rsidR="006C6CF0" w:rsidRPr="005F6DA0" w:rsidRDefault="006C6CF0"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 Productividad Laboral (IPL) se define como el cociente entre el índice del valor de la producción a precios constantes en un periodo determinado y el índice de horas trabajadas o el índice de personal ocupado total en el mismo periodo</w:t>
      </w:r>
      <w:r>
        <w:rPr>
          <w:sz w:val="16"/>
          <w:szCs w:val="16"/>
          <w:lang w:val="es-MX"/>
        </w:rPr>
        <w:t>.</w:t>
      </w:r>
    </w:p>
  </w:footnote>
  <w:footnote w:id="5">
    <w:p w14:paraId="414643CD" w14:textId="4D97A122" w:rsidR="006C6CF0" w:rsidRPr="005F6DA0" w:rsidRDefault="006C6CF0"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índice de productividad laboral </w:t>
      </w:r>
      <w:r>
        <w:rPr>
          <w:sz w:val="16"/>
          <w:szCs w:val="16"/>
          <w:lang w:val="es-MX"/>
        </w:rPr>
        <w:t>que</w:t>
      </w:r>
      <w:r w:rsidRPr="00DC4DE5">
        <w:rPr>
          <w:sz w:val="16"/>
          <w:szCs w:val="16"/>
          <w:lang w:val="es-MX"/>
        </w:rPr>
        <w:t xml:space="preserve"> 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6451" w14:textId="0459F043" w:rsidR="006C6CF0" w:rsidRPr="00306ECD" w:rsidRDefault="006C6CF0"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C11A219" wp14:editId="4B849995">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04682">
      <w:rPr>
        <w:b/>
        <w:color w:val="002060"/>
      </w:rPr>
      <w:t>150</w:t>
    </w:r>
    <w:r w:rsidRPr="00306ECD">
      <w:rPr>
        <w:b/>
        <w:color w:val="002060"/>
      </w:rPr>
      <w:t>/2</w:t>
    </w:r>
    <w:r>
      <w:rPr>
        <w:b/>
        <w:color w:val="002060"/>
      </w:rPr>
      <w:t>2</w:t>
    </w:r>
  </w:p>
  <w:p w14:paraId="728349EB" w14:textId="77777777" w:rsidR="006C6CF0" w:rsidRPr="00306ECD" w:rsidRDefault="006C6CF0" w:rsidP="006C6CF0">
    <w:pPr>
      <w:pStyle w:val="Encabezado"/>
      <w:ind w:left="-567" w:right="49"/>
      <w:jc w:val="right"/>
      <w:rPr>
        <w:b/>
        <w:color w:val="002060"/>
        <w:lang w:val="pt-BR"/>
      </w:rPr>
    </w:pPr>
    <w:r>
      <w:rPr>
        <w:b/>
        <w:color w:val="002060"/>
        <w:lang w:val="pt-BR"/>
      </w:rPr>
      <w:t xml:space="preserve">8 </w:t>
    </w:r>
    <w:r w:rsidRPr="00306ECD">
      <w:rPr>
        <w:b/>
        <w:color w:val="002060"/>
        <w:lang w:val="pt-BR"/>
      </w:rPr>
      <w:t xml:space="preserve">DE </w:t>
    </w:r>
    <w:r>
      <w:rPr>
        <w:b/>
        <w:color w:val="002060"/>
        <w:lang w:val="pt-BR"/>
      </w:rPr>
      <w:t xml:space="preserve">MARZO </w:t>
    </w:r>
    <w:r w:rsidRPr="00306ECD">
      <w:rPr>
        <w:b/>
        <w:color w:val="002060"/>
        <w:lang w:val="pt-BR"/>
      </w:rPr>
      <w:t>DE 202</w:t>
    </w:r>
    <w:r>
      <w:rPr>
        <w:b/>
        <w:color w:val="002060"/>
        <w:lang w:val="pt-BR"/>
      </w:rPr>
      <w:t>2</w:t>
    </w:r>
  </w:p>
  <w:p w14:paraId="31B7BC0D" w14:textId="115290BE" w:rsidR="006C6CF0" w:rsidRPr="00306ECD" w:rsidRDefault="006C6CF0"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15</w:t>
    </w:r>
  </w:p>
  <w:p w14:paraId="70B605FA" w14:textId="77777777" w:rsidR="006C6CF0" w:rsidRDefault="006C6CF0" w:rsidP="006C6CF0">
    <w:pPr>
      <w:pStyle w:val="Encabezado"/>
      <w:ind w:right="49"/>
      <w:jc w:val="center"/>
    </w:pPr>
  </w:p>
  <w:p w14:paraId="12103E0F" w14:textId="77777777" w:rsidR="006C6CF0" w:rsidRDefault="006C6CF0"/>
  <w:p w14:paraId="14299134" w14:textId="77777777" w:rsidR="006C6CF0" w:rsidRDefault="006C6C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C376" w14:textId="4C38B422" w:rsidR="006C6CF0" w:rsidRDefault="006C6CF0" w:rsidP="007F5DE6">
    <w:pPr>
      <w:pStyle w:val="Encabezado"/>
      <w:spacing w:after="240"/>
      <w:jc w:val="center"/>
    </w:pPr>
    <w:r>
      <w:rPr>
        <w:noProof/>
        <w:lang w:val="es-MX" w:eastAsia="es-MX"/>
      </w:rPr>
      <w:drawing>
        <wp:inline distT="0" distB="0" distL="0" distR="0" wp14:anchorId="3ABB4038" wp14:editId="0C5ED1A3">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1432"/>
    <w:rsid w:val="00021492"/>
    <w:rsid w:val="000216A3"/>
    <w:rsid w:val="000228C4"/>
    <w:rsid w:val="00022CA3"/>
    <w:rsid w:val="0002464A"/>
    <w:rsid w:val="00024D5D"/>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4DC7"/>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1474"/>
    <w:rsid w:val="000915F7"/>
    <w:rsid w:val="0009183D"/>
    <w:rsid w:val="00091E29"/>
    <w:rsid w:val="00092764"/>
    <w:rsid w:val="0009292F"/>
    <w:rsid w:val="00092F4C"/>
    <w:rsid w:val="00094496"/>
    <w:rsid w:val="00094FB4"/>
    <w:rsid w:val="000950E7"/>
    <w:rsid w:val="00095360"/>
    <w:rsid w:val="000955AA"/>
    <w:rsid w:val="000957BC"/>
    <w:rsid w:val="00095B75"/>
    <w:rsid w:val="00096611"/>
    <w:rsid w:val="00096737"/>
    <w:rsid w:val="00097C0A"/>
    <w:rsid w:val="000A0344"/>
    <w:rsid w:val="000A0823"/>
    <w:rsid w:val="000A1FFD"/>
    <w:rsid w:val="000A21D6"/>
    <w:rsid w:val="000A2928"/>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67E"/>
    <w:rsid w:val="000F3DE6"/>
    <w:rsid w:val="000F44E7"/>
    <w:rsid w:val="000F4803"/>
    <w:rsid w:val="000F49F1"/>
    <w:rsid w:val="000F4C41"/>
    <w:rsid w:val="000F4FA7"/>
    <w:rsid w:val="000F536A"/>
    <w:rsid w:val="000F541D"/>
    <w:rsid w:val="000F5AD1"/>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5234"/>
    <w:rsid w:val="001053AC"/>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60"/>
    <w:rsid w:val="00116F84"/>
    <w:rsid w:val="001174A1"/>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4CD1"/>
    <w:rsid w:val="001655BD"/>
    <w:rsid w:val="00165810"/>
    <w:rsid w:val="00165E36"/>
    <w:rsid w:val="0016614B"/>
    <w:rsid w:val="001665FD"/>
    <w:rsid w:val="00167435"/>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F3"/>
    <w:rsid w:val="00186C17"/>
    <w:rsid w:val="0018756C"/>
    <w:rsid w:val="00190180"/>
    <w:rsid w:val="00190A43"/>
    <w:rsid w:val="00190D0B"/>
    <w:rsid w:val="001911D9"/>
    <w:rsid w:val="001911FC"/>
    <w:rsid w:val="001912FB"/>
    <w:rsid w:val="00191608"/>
    <w:rsid w:val="00191664"/>
    <w:rsid w:val="00192065"/>
    <w:rsid w:val="001941AA"/>
    <w:rsid w:val="00194F73"/>
    <w:rsid w:val="00195EC2"/>
    <w:rsid w:val="00195F99"/>
    <w:rsid w:val="001A016C"/>
    <w:rsid w:val="001A0422"/>
    <w:rsid w:val="001A102F"/>
    <w:rsid w:val="001A1A27"/>
    <w:rsid w:val="001A1C49"/>
    <w:rsid w:val="001A1ED0"/>
    <w:rsid w:val="001A234E"/>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44E"/>
    <w:rsid w:val="001D24F1"/>
    <w:rsid w:val="001D3AD1"/>
    <w:rsid w:val="001D478B"/>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70F"/>
    <w:rsid w:val="00211999"/>
    <w:rsid w:val="00212125"/>
    <w:rsid w:val="002123A4"/>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97"/>
    <w:rsid w:val="002405C8"/>
    <w:rsid w:val="00240D7B"/>
    <w:rsid w:val="00240ECB"/>
    <w:rsid w:val="002415DA"/>
    <w:rsid w:val="00241857"/>
    <w:rsid w:val="0024285E"/>
    <w:rsid w:val="00242F79"/>
    <w:rsid w:val="00242FA8"/>
    <w:rsid w:val="0024310E"/>
    <w:rsid w:val="00243204"/>
    <w:rsid w:val="00243AC5"/>
    <w:rsid w:val="0024405D"/>
    <w:rsid w:val="00244516"/>
    <w:rsid w:val="00244CF8"/>
    <w:rsid w:val="00245482"/>
    <w:rsid w:val="002454F0"/>
    <w:rsid w:val="00245B9E"/>
    <w:rsid w:val="002465AC"/>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349D"/>
    <w:rsid w:val="00273516"/>
    <w:rsid w:val="00273985"/>
    <w:rsid w:val="00273B82"/>
    <w:rsid w:val="00273E7A"/>
    <w:rsid w:val="00274240"/>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74A"/>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3C7B"/>
    <w:rsid w:val="002A422B"/>
    <w:rsid w:val="002A428E"/>
    <w:rsid w:val="002A46FA"/>
    <w:rsid w:val="002A5227"/>
    <w:rsid w:val="002A57BC"/>
    <w:rsid w:val="002A581C"/>
    <w:rsid w:val="002A6075"/>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669D"/>
    <w:rsid w:val="002E7235"/>
    <w:rsid w:val="002E7DEA"/>
    <w:rsid w:val="002F00F0"/>
    <w:rsid w:val="002F0276"/>
    <w:rsid w:val="002F0550"/>
    <w:rsid w:val="002F10E7"/>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3F8"/>
    <w:rsid w:val="0030341B"/>
    <w:rsid w:val="003034D2"/>
    <w:rsid w:val="0030373E"/>
    <w:rsid w:val="00303A1B"/>
    <w:rsid w:val="003045BE"/>
    <w:rsid w:val="00305CE9"/>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256"/>
    <w:rsid w:val="0035149A"/>
    <w:rsid w:val="00351668"/>
    <w:rsid w:val="003525DE"/>
    <w:rsid w:val="00352775"/>
    <w:rsid w:val="00352F14"/>
    <w:rsid w:val="003530B3"/>
    <w:rsid w:val="0035478E"/>
    <w:rsid w:val="00354AD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87A1C"/>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1E7"/>
    <w:rsid w:val="0041029D"/>
    <w:rsid w:val="00410347"/>
    <w:rsid w:val="004104BF"/>
    <w:rsid w:val="0041068A"/>
    <w:rsid w:val="0041091D"/>
    <w:rsid w:val="00410DEC"/>
    <w:rsid w:val="00410EF4"/>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175"/>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3BF4"/>
    <w:rsid w:val="0045431D"/>
    <w:rsid w:val="00454571"/>
    <w:rsid w:val="00454F1E"/>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3145"/>
    <w:rsid w:val="00483F95"/>
    <w:rsid w:val="00484688"/>
    <w:rsid w:val="00484BA9"/>
    <w:rsid w:val="00484C70"/>
    <w:rsid w:val="00484D20"/>
    <w:rsid w:val="004850B6"/>
    <w:rsid w:val="004850C1"/>
    <w:rsid w:val="00485354"/>
    <w:rsid w:val="0048579B"/>
    <w:rsid w:val="00486F54"/>
    <w:rsid w:val="004871B4"/>
    <w:rsid w:val="004876DD"/>
    <w:rsid w:val="0049089A"/>
    <w:rsid w:val="0049178A"/>
    <w:rsid w:val="00491C1D"/>
    <w:rsid w:val="00491DF1"/>
    <w:rsid w:val="00492535"/>
    <w:rsid w:val="00493435"/>
    <w:rsid w:val="00494B28"/>
    <w:rsid w:val="00495FFF"/>
    <w:rsid w:val="00496A9F"/>
    <w:rsid w:val="00497358"/>
    <w:rsid w:val="00497FA5"/>
    <w:rsid w:val="004A03B3"/>
    <w:rsid w:val="004A04D5"/>
    <w:rsid w:val="004A1B07"/>
    <w:rsid w:val="004A2E04"/>
    <w:rsid w:val="004A3226"/>
    <w:rsid w:val="004A399F"/>
    <w:rsid w:val="004A3FB3"/>
    <w:rsid w:val="004A4096"/>
    <w:rsid w:val="004A4692"/>
    <w:rsid w:val="004A5DD0"/>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682"/>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51"/>
    <w:rsid w:val="00512E95"/>
    <w:rsid w:val="00514674"/>
    <w:rsid w:val="0051477F"/>
    <w:rsid w:val="00514C46"/>
    <w:rsid w:val="00515917"/>
    <w:rsid w:val="00515BCF"/>
    <w:rsid w:val="00516083"/>
    <w:rsid w:val="0051635A"/>
    <w:rsid w:val="0051646E"/>
    <w:rsid w:val="0051653E"/>
    <w:rsid w:val="005166C3"/>
    <w:rsid w:val="00516EA5"/>
    <w:rsid w:val="005179DA"/>
    <w:rsid w:val="00517E2A"/>
    <w:rsid w:val="00517E4D"/>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1BE"/>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7B6"/>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4AA1"/>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08F9"/>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A0"/>
    <w:rsid w:val="005F6DB8"/>
    <w:rsid w:val="005F764A"/>
    <w:rsid w:val="0060008E"/>
    <w:rsid w:val="006005C1"/>
    <w:rsid w:val="00600AF4"/>
    <w:rsid w:val="006011A0"/>
    <w:rsid w:val="0060180D"/>
    <w:rsid w:val="00601B29"/>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8B1"/>
    <w:rsid w:val="00606906"/>
    <w:rsid w:val="00606EE7"/>
    <w:rsid w:val="00606FAA"/>
    <w:rsid w:val="00607C10"/>
    <w:rsid w:val="00611BA6"/>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61D"/>
    <w:rsid w:val="00616C7D"/>
    <w:rsid w:val="0061735F"/>
    <w:rsid w:val="006205E1"/>
    <w:rsid w:val="006208EE"/>
    <w:rsid w:val="0062091D"/>
    <w:rsid w:val="00620C44"/>
    <w:rsid w:val="0062100E"/>
    <w:rsid w:val="006211A5"/>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2C2"/>
    <w:rsid w:val="00632765"/>
    <w:rsid w:val="0063291F"/>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28FF"/>
    <w:rsid w:val="00673BA4"/>
    <w:rsid w:val="00673BCD"/>
    <w:rsid w:val="00674C5D"/>
    <w:rsid w:val="00674ED8"/>
    <w:rsid w:val="00675793"/>
    <w:rsid w:val="00675C5E"/>
    <w:rsid w:val="00676135"/>
    <w:rsid w:val="0067624E"/>
    <w:rsid w:val="006763F6"/>
    <w:rsid w:val="0067673C"/>
    <w:rsid w:val="0067685C"/>
    <w:rsid w:val="00676F0B"/>
    <w:rsid w:val="006773D1"/>
    <w:rsid w:val="0067769A"/>
    <w:rsid w:val="006801BB"/>
    <w:rsid w:val="006802E3"/>
    <w:rsid w:val="00680CC6"/>
    <w:rsid w:val="00681C83"/>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537"/>
    <w:rsid w:val="00694706"/>
    <w:rsid w:val="00694DF8"/>
    <w:rsid w:val="006956E0"/>
    <w:rsid w:val="00695D95"/>
    <w:rsid w:val="00695DDA"/>
    <w:rsid w:val="00696136"/>
    <w:rsid w:val="00696243"/>
    <w:rsid w:val="006962E6"/>
    <w:rsid w:val="0069657D"/>
    <w:rsid w:val="00696A8E"/>
    <w:rsid w:val="00696B43"/>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FD"/>
    <w:rsid w:val="006B40C8"/>
    <w:rsid w:val="006B45C8"/>
    <w:rsid w:val="006B472A"/>
    <w:rsid w:val="006B5446"/>
    <w:rsid w:val="006B549F"/>
    <w:rsid w:val="006B624C"/>
    <w:rsid w:val="006B65CB"/>
    <w:rsid w:val="006B75BF"/>
    <w:rsid w:val="006B765D"/>
    <w:rsid w:val="006B7C67"/>
    <w:rsid w:val="006C0867"/>
    <w:rsid w:val="006C12F3"/>
    <w:rsid w:val="006C1E69"/>
    <w:rsid w:val="006C215A"/>
    <w:rsid w:val="006C24C7"/>
    <w:rsid w:val="006C273C"/>
    <w:rsid w:val="006C374A"/>
    <w:rsid w:val="006C3A0F"/>
    <w:rsid w:val="006C479E"/>
    <w:rsid w:val="006C57FE"/>
    <w:rsid w:val="006C5AB5"/>
    <w:rsid w:val="006C6CF0"/>
    <w:rsid w:val="006C6E36"/>
    <w:rsid w:val="006C705E"/>
    <w:rsid w:val="006C7216"/>
    <w:rsid w:val="006C7266"/>
    <w:rsid w:val="006C78CB"/>
    <w:rsid w:val="006D045E"/>
    <w:rsid w:val="006D0B6D"/>
    <w:rsid w:val="006D1549"/>
    <w:rsid w:val="006D1A5F"/>
    <w:rsid w:val="006D286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8F9"/>
    <w:rsid w:val="006E49DF"/>
    <w:rsid w:val="006E4E81"/>
    <w:rsid w:val="006E58CF"/>
    <w:rsid w:val="006E6241"/>
    <w:rsid w:val="006E645F"/>
    <w:rsid w:val="006E6F3D"/>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26"/>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1A2E"/>
    <w:rsid w:val="00762365"/>
    <w:rsid w:val="007623B0"/>
    <w:rsid w:val="00762A6B"/>
    <w:rsid w:val="00762A7D"/>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726C"/>
    <w:rsid w:val="00777AAB"/>
    <w:rsid w:val="00780FF9"/>
    <w:rsid w:val="0078285C"/>
    <w:rsid w:val="00782B30"/>
    <w:rsid w:val="00783178"/>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A2E"/>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5DE6"/>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5515"/>
    <w:rsid w:val="00845520"/>
    <w:rsid w:val="008459D3"/>
    <w:rsid w:val="00845ACA"/>
    <w:rsid w:val="00845EDD"/>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90"/>
    <w:rsid w:val="0088280C"/>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5E9F"/>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99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83"/>
    <w:rsid w:val="00904B0A"/>
    <w:rsid w:val="00904BC5"/>
    <w:rsid w:val="00904E07"/>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17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46C"/>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F12"/>
    <w:rsid w:val="009710BF"/>
    <w:rsid w:val="00971874"/>
    <w:rsid w:val="00971F83"/>
    <w:rsid w:val="00972061"/>
    <w:rsid w:val="0097245C"/>
    <w:rsid w:val="009725FE"/>
    <w:rsid w:val="0097282B"/>
    <w:rsid w:val="00972DAC"/>
    <w:rsid w:val="00973A35"/>
    <w:rsid w:val="00974169"/>
    <w:rsid w:val="00974A1E"/>
    <w:rsid w:val="00974E0D"/>
    <w:rsid w:val="0097559A"/>
    <w:rsid w:val="00975D48"/>
    <w:rsid w:val="00976546"/>
    <w:rsid w:val="0097680D"/>
    <w:rsid w:val="0097681E"/>
    <w:rsid w:val="00976FCF"/>
    <w:rsid w:val="00980BAC"/>
    <w:rsid w:val="00980D00"/>
    <w:rsid w:val="00980DF0"/>
    <w:rsid w:val="00980F3F"/>
    <w:rsid w:val="00981D1C"/>
    <w:rsid w:val="00982214"/>
    <w:rsid w:val="009823D4"/>
    <w:rsid w:val="00982474"/>
    <w:rsid w:val="00982E19"/>
    <w:rsid w:val="00983285"/>
    <w:rsid w:val="00984040"/>
    <w:rsid w:val="00984672"/>
    <w:rsid w:val="00984F97"/>
    <w:rsid w:val="0098569D"/>
    <w:rsid w:val="00985A09"/>
    <w:rsid w:val="00985AC0"/>
    <w:rsid w:val="00986277"/>
    <w:rsid w:val="009866A3"/>
    <w:rsid w:val="0098693D"/>
    <w:rsid w:val="0098737C"/>
    <w:rsid w:val="00990343"/>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BC3"/>
    <w:rsid w:val="009C3E9C"/>
    <w:rsid w:val="009C4A32"/>
    <w:rsid w:val="009C4D0A"/>
    <w:rsid w:val="009C63AB"/>
    <w:rsid w:val="009C69D0"/>
    <w:rsid w:val="009C69F4"/>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42B2"/>
    <w:rsid w:val="00A35D65"/>
    <w:rsid w:val="00A36CF6"/>
    <w:rsid w:val="00A36EC5"/>
    <w:rsid w:val="00A37EDA"/>
    <w:rsid w:val="00A4035D"/>
    <w:rsid w:val="00A40B47"/>
    <w:rsid w:val="00A413A3"/>
    <w:rsid w:val="00A41AF5"/>
    <w:rsid w:val="00A43270"/>
    <w:rsid w:val="00A449B1"/>
    <w:rsid w:val="00A4539E"/>
    <w:rsid w:val="00A46080"/>
    <w:rsid w:val="00A461CB"/>
    <w:rsid w:val="00A46A94"/>
    <w:rsid w:val="00A46C6C"/>
    <w:rsid w:val="00A46EB1"/>
    <w:rsid w:val="00A47A54"/>
    <w:rsid w:val="00A47C59"/>
    <w:rsid w:val="00A50FEC"/>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134"/>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EEF"/>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840"/>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FCA"/>
    <w:rsid w:val="00B460A1"/>
    <w:rsid w:val="00B46275"/>
    <w:rsid w:val="00B464C7"/>
    <w:rsid w:val="00B4658A"/>
    <w:rsid w:val="00B4733F"/>
    <w:rsid w:val="00B4758E"/>
    <w:rsid w:val="00B479F5"/>
    <w:rsid w:val="00B47CBB"/>
    <w:rsid w:val="00B50110"/>
    <w:rsid w:val="00B5083E"/>
    <w:rsid w:val="00B50ADB"/>
    <w:rsid w:val="00B51604"/>
    <w:rsid w:val="00B51E81"/>
    <w:rsid w:val="00B51F64"/>
    <w:rsid w:val="00B522BE"/>
    <w:rsid w:val="00B523A0"/>
    <w:rsid w:val="00B5339B"/>
    <w:rsid w:val="00B539D0"/>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4CD"/>
    <w:rsid w:val="00B73637"/>
    <w:rsid w:val="00B73D25"/>
    <w:rsid w:val="00B73D34"/>
    <w:rsid w:val="00B7421C"/>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0E48"/>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D3C"/>
    <w:rsid w:val="00B97577"/>
    <w:rsid w:val="00B97740"/>
    <w:rsid w:val="00BA029C"/>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6CF5"/>
    <w:rsid w:val="00BA7E0B"/>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614F"/>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C36"/>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3041"/>
    <w:rsid w:val="00C03815"/>
    <w:rsid w:val="00C041F4"/>
    <w:rsid w:val="00C04C59"/>
    <w:rsid w:val="00C0524E"/>
    <w:rsid w:val="00C05428"/>
    <w:rsid w:val="00C058A3"/>
    <w:rsid w:val="00C05AEF"/>
    <w:rsid w:val="00C05BAC"/>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223"/>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5AB5"/>
    <w:rsid w:val="00C36FFE"/>
    <w:rsid w:val="00C37B7D"/>
    <w:rsid w:val="00C407CE"/>
    <w:rsid w:val="00C40A83"/>
    <w:rsid w:val="00C40D37"/>
    <w:rsid w:val="00C412D4"/>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2FDD"/>
    <w:rsid w:val="00C730CC"/>
    <w:rsid w:val="00C7532A"/>
    <w:rsid w:val="00C75721"/>
    <w:rsid w:val="00C760A6"/>
    <w:rsid w:val="00C762B7"/>
    <w:rsid w:val="00C76825"/>
    <w:rsid w:val="00C76CC1"/>
    <w:rsid w:val="00C77263"/>
    <w:rsid w:val="00C77ABA"/>
    <w:rsid w:val="00C77C4B"/>
    <w:rsid w:val="00C77CBC"/>
    <w:rsid w:val="00C77D50"/>
    <w:rsid w:val="00C80DC6"/>
    <w:rsid w:val="00C815E4"/>
    <w:rsid w:val="00C81B78"/>
    <w:rsid w:val="00C8290C"/>
    <w:rsid w:val="00C8302E"/>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188"/>
    <w:rsid w:val="00C935A9"/>
    <w:rsid w:val="00C94EF3"/>
    <w:rsid w:val="00C952A9"/>
    <w:rsid w:val="00C9534F"/>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5975"/>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653"/>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858"/>
    <w:rsid w:val="00D22D7E"/>
    <w:rsid w:val="00D22E00"/>
    <w:rsid w:val="00D22E38"/>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2E7"/>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1C2"/>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53F"/>
    <w:rsid w:val="00D81B9A"/>
    <w:rsid w:val="00D822C6"/>
    <w:rsid w:val="00D82890"/>
    <w:rsid w:val="00D82EAE"/>
    <w:rsid w:val="00D83E9F"/>
    <w:rsid w:val="00D843D6"/>
    <w:rsid w:val="00D84672"/>
    <w:rsid w:val="00D84A12"/>
    <w:rsid w:val="00D85237"/>
    <w:rsid w:val="00D85475"/>
    <w:rsid w:val="00D85A2F"/>
    <w:rsid w:val="00D86605"/>
    <w:rsid w:val="00D87266"/>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EB5"/>
    <w:rsid w:val="00DE30D1"/>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1E80"/>
    <w:rsid w:val="00DF2170"/>
    <w:rsid w:val="00DF2FC2"/>
    <w:rsid w:val="00DF3304"/>
    <w:rsid w:val="00DF3D62"/>
    <w:rsid w:val="00DF4611"/>
    <w:rsid w:val="00DF4C8A"/>
    <w:rsid w:val="00DF5690"/>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5907"/>
    <w:rsid w:val="00E06FD6"/>
    <w:rsid w:val="00E074C1"/>
    <w:rsid w:val="00E07B79"/>
    <w:rsid w:val="00E07CDC"/>
    <w:rsid w:val="00E07FEB"/>
    <w:rsid w:val="00E1006A"/>
    <w:rsid w:val="00E105B9"/>
    <w:rsid w:val="00E1079E"/>
    <w:rsid w:val="00E10F6A"/>
    <w:rsid w:val="00E112FA"/>
    <w:rsid w:val="00E11EDC"/>
    <w:rsid w:val="00E12111"/>
    <w:rsid w:val="00E12CED"/>
    <w:rsid w:val="00E12F62"/>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5E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E63"/>
    <w:rsid w:val="00E95FDF"/>
    <w:rsid w:val="00E960B8"/>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60D8"/>
    <w:rsid w:val="00EC774B"/>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36E"/>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C36"/>
    <w:rsid w:val="00F26145"/>
    <w:rsid w:val="00F26345"/>
    <w:rsid w:val="00F2634C"/>
    <w:rsid w:val="00F26D6D"/>
    <w:rsid w:val="00F30616"/>
    <w:rsid w:val="00F317C3"/>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70C6"/>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5B6E"/>
    <w:rsid w:val="00F666B5"/>
    <w:rsid w:val="00F67275"/>
    <w:rsid w:val="00F67EF9"/>
    <w:rsid w:val="00F71085"/>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FFB"/>
    <w:rsid w:val="00FA1441"/>
    <w:rsid w:val="00FA203F"/>
    <w:rsid w:val="00FA24AE"/>
    <w:rsid w:val="00FA38A1"/>
    <w:rsid w:val="00FA3BBA"/>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F0E"/>
    <w:rsid w:val="00FC06BF"/>
    <w:rsid w:val="00FC0AE4"/>
    <w:rsid w:val="00FC0DB2"/>
    <w:rsid w:val="00FC0E21"/>
    <w:rsid w:val="00FC13DB"/>
    <w:rsid w:val="00FC163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5C46"/>
    <w:rsid w:val="00FD616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5F"/>
    <w:rsid w:val="00FE27FE"/>
    <w:rsid w:val="00FE2852"/>
    <w:rsid w:val="00FE2D59"/>
    <w:rsid w:val="00FE2F5F"/>
    <w:rsid w:val="00FE393B"/>
    <w:rsid w:val="00FE4608"/>
    <w:rsid w:val="00FE4826"/>
    <w:rsid w:val="00FE4D92"/>
    <w:rsid w:val="00FE5A25"/>
    <w:rsid w:val="00FE5DD2"/>
    <w:rsid w:val="00FE66DF"/>
    <w:rsid w:val="00FE6845"/>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13A12"/>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paragraph" w:customStyle="1" w:styleId="Titcuadrograf">
    <w:name w:val="Tit cuadro graf"/>
    <w:basedOn w:val="Normal"/>
    <w:link w:val="TitcuadrografCar"/>
    <w:qFormat/>
    <w:rsid w:val="007F5DE6"/>
    <w:pPr>
      <w:ind w:left="-567"/>
      <w:jc w:val="center"/>
    </w:pPr>
    <w:rPr>
      <w:b/>
      <w:smallCaps/>
      <w:lang w:val="es-MX"/>
    </w:rPr>
  </w:style>
  <w:style w:type="character" w:customStyle="1" w:styleId="TitcuadrografCar">
    <w:name w:val="Tit cuadro graf Car"/>
    <w:basedOn w:val="Fuentedeprrafopredeter"/>
    <w:link w:val="Titcuadrograf"/>
    <w:rsid w:val="007F5DE6"/>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7F5DE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app/biblioteca/ficha.html?upc=70282509906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20https://www.inegi.org.mx/temas/productividads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18889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20https://www.inegi.org.mx/temas/productividadeco/"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www.stps.gob.mx" TargetMode="External"/><Relationship Id="rId30" Type="http://schemas.openxmlformats.org/officeDocument/2006/relationships/hyperlink" Target="http://www.inegi.org.mx/programas/iplcumo/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IPL%20e%20ICUMO%20-%20Productividad%20Laboral%20y%20Costo%20Unitario\1.-Not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IPL%20e%20ICUMO%20-%20Productividad%20Laboral%20y%20Costo%20Unitario\1.-Not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IPL%20e%20ICUMO%20-%20Productividad%20Laboral%20y%20Costo%20Unitario\1.-Not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Datos!$C$33:$C$72</c:f>
              <c:numCache>
                <c:formatCode>#,##0.0_);\(#,##0.0\)</c:formatCode>
                <c:ptCount val="40"/>
                <c:pt idx="0">
                  <c:v>100.089288553749</c:v>
                </c:pt>
                <c:pt idx="1">
                  <c:v>99.7284094542308</c:v>
                </c:pt>
                <c:pt idx="2">
                  <c:v>99.498948492333099</c:v>
                </c:pt>
                <c:pt idx="3">
                  <c:v>99.7345044963335</c:v>
                </c:pt>
                <c:pt idx="4">
                  <c:v>100.048142373179</c:v>
                </c:pt>
                <c:pt idx="5">
                  <c:v>100.126265329624</c:v>
                </c:pt>
                <c:pt idx="6">
                  <c:v>99.953302780346206</c:v>
                </c:pt>
                <c:pt idx="7">
                  <c:v>100.185689963009</c:v>
                </c:pt>
                <c:pt idx="8">
                  <c:v>101.33374820589199</c:v>
                </c:pt>
                <c:pt idx="9">
                  <c:v>102.387162745743</c:v>
                </c:pt>
                <c:pt idx="10">
                  <c:v>102.752986954937</c:v>
                </c:pt>
                <c:pt idx="11">
                  <c:v>102.718968501221</c:v>
                </c:pt>
                <c:pt idx="12">
                  <c:v>102.60012843228201</c:v>
                </c:pt>
                <c:pt idx="13">
                  <c:v>102.94356054847201</c:v>
                </c:pt>
                <c:pt idx="14">
                  <c:v>103.41088706708901</c:v>
                </c:pt>
                <c:pt idx="15">
                  <c:v>103.306648623737</c:v>
                </c:pt>
                <c:pt idx="16">
                  <c:v>102.81471365465499</c:v>
                </c:pt>
                <c:pt idx="17">
                  <c:v>102.487312487735</c:v>
                </c:pt>
                <c:pt idx="18">
                  <c:v>102.729146733877</c:v>
                </c:pt>
                <c:pt idx="19">
                  <c:v>103.181463834616</c:v>
                </c:pt>
                <c:pt idx="20">
                  <c:v>103.277292189181</c:v>
                </c:pt>
                <c:pt idx="21">
                  <c:v>103.21071612340199</c:v>
                </c:pt>
                <c:pt idx="22">
                  <c:v>103.442429109881</c:v>
                </c:pt>
                <c:pt idx="23">
                  <c:v>103.786870412667</c:v>
                </c:pt>
                <c:pt idx="24">
                  <c:v>104.262447297028</c:v>
                </c:pt>
                <c:pt idx="25">
                  <c:v>104.302895349655</c:v>
                </c:pt>
                <c:pt idx="26">
                  <c:v>103.898848381909</c:v>
                </c:pt>
                <c:pt idx="27">
                  <c:v>103.42001957344</c:v>
                </c:pt>
                <c:pt idx="28">
                  <c:v>102.840748074459</c:v>
                </c:pt>
                <c:pt idx="29">
                  <c:v>102.072100234719</c:v>
                </c:pt>
                <c:pt idx="30">
                  <c:v>101.363460289602</c:v>
                </c:pt>
                <c:pt idx="31">
                  <c:v>100.69777761644499</c:v>
                </c:pt>
                <c:pt idx="32">
                  <c:v>99.805762909388505</c:v>
                </c:pt>
                <c:pt idx="33">
                  <c:v>104.996104188621</c:v>
                </c:pt>
                <c:pt idx="34">
                  <c:v>103.737494027587</c:v>
                </c:pt>
                <c:pt idx="35">
                  <c:v>102.14496610555101</c:v>
                </c:pt>
                <c:pt idx="36">
                  <c:v>100.37653880510599</c:v>
                </c:pt>
                <c:pt idx="37">
                  <c:v>98.535996443087697</c:v>
                </c:pt>
                <c:pt idx="38">
                  <c:v>96.740905590819295</c:v>
                </c:pt>
                <c:pt idx="39">
                  <c:v>95.3635137156908</c:v>
                </c:pt>
              </c:numCache>
            </c:numRef>
          </c:val>
          <c:smooth val="0"/>
          <c:extLst>
            <c:ext xmlns:c16="http://schemas.microsoft.com/office/drawing/2014/chart" uri="{C3380CC4-5D6E-409C-BE32-E72D297353CC}">
              <c16:uniqueId val="{00000000-F42B-41F0-9986-83F954795314}"/>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Datos!$D$33:$D$72</c:f>
              <c:numCache>
                <c:formatCode>#,##0.0_);\(#,##0.0\)</c:formatCode>
                <c:ptCount val="40"/>
                <c:pt idx="0">
                  <c:v>97.820095669666102</c:v>
                </c:pt>
                <c:pt idx="1">
                  <c:v>98.562774174216401</c:v>
                </c:pt>
                <c:pt idx="2">
                  <c:v>98.667797946009898</c:v>
                </c:pt>
                <c:pt idx="3">
                  <c:v>97.7073499651746</c:v>
                </c:pt>
                <c:pt idx="4">
                  <c:v>97.809901468302499</c:v>
                </c:pt>
                <c:pt idx="5">
                  <c:v>99.259129065940996</c:v>
                </c:pt>
                <c:pt idx="6">
                  <c:v>100.947603481824</c:v>
                </c:pt>
                <c:pt idx="7">
                  <c:v>100.872720323146</c:v>
                </c:pt>
                <c:pt idx="8">
                  <c:v>101.171935671592</c:v>
                </c:pt>
                <c:pt idx="9">
                  <c:v>102.26330546406901</c:v>
                </c:pt>
                <c:pt idx="10">
                  <c:v>103.21327858800301</c:v>
                </c:pt>
                <c:pt idx="11">
                  <c:v>103.72780642313</c:v>
                </c:pt>
                <c:pt idx="12">
                  <c:v>104.223946497798</c:v>
                </c:pt>
                <c:pt idx="13">
                  <c:v>104.390899671376</c:v>
                </c:pt>
                <c:pt idx="14">
                  <c:v>104.36669965647199</c:v>
                </c:pt>
                <c:pt idx="15">
                  <c:v>105.460611677785</c:v>
                </c:pt>
                <c:pt idx="16">
                  <c:v>106.04713331838801</c:v>
                </c:pt>
                <c:pt idx="17">
                  <c:v>106.723443081273</c:v>
                </c:pt>
                <c:pt idx="18">
                  <c:v>107.718032373371</c:v>
                </c:pt>
                <c:pt idx="19">
                  <c:v>107.766482470209</c:v>
                </c:pt>
                <c:pt idx="20">
                  <c:v>107.091661125868</c:v>
                </c:pt>
                <c:pt idx="21">
                  <c:v>107.709561249885</c:v>
                </c:pt>
                <c:pt idx="22">
                  <c:v>109.09517347664401</c:v>
                </c:pt>
                <c:pt idx="23">
                  <c:v>110.56803354455801</c:v>
                </c:pt>
                <c:pt idx="24">
                  <c:v>112.527776230143</c:v>
                </c:pt>
                <c:pt idx="25">
                  <c:v>113.022516068287</c:v>
                </c:pt>
                <c:pt idx="26">
                  <c:v>113.43094745917401</c:v>
                </c:pt>
                <c:pt idx="27">
                  <c:v>114.69751897560199</c:v>
                </c:pt>
                <c:pt idx="28">
                  <c:v>114.707339868139</c:v>
                </c:pt>
                <c:pt idx="29">
                  <c:v>112.96406867706</c:v>
                </c:pt>
                <c:pt idx="30">
                  <c:v>111.750837581605</c:v>
                </c:pt>
                <c:pt idx="31">
                  <c:v>112.59158704856</c:v>
                </c:pt>
                <c:pt idx="32">
                  <c:v>114.505360385264</c:v>
                </c:pt>
                <c:pt idx="33">
                  <c:v>123.013084711733</c:v>
                </c:pt>
                <c:pt idx="34">
                  <c:v>121.491410545329</c:v>
                </c:pt>
                <c:pt idx="35">
                  <c:v>117.62508794676199</c:v>
                </c:pt>
                <c:pt idx="36">
                  <c:v>114.070772416908</c:v>
                </c:pt>
                <c:pt idx="37">
                  <c:v>113.997837017045</c:v>
                </c:pt>
                <c:pt idx="38">
                  <c:v>116.26595884858401</c:v>
                </c:pt>
                <c:pt idx="39">
                  <c:v>117.542974150346</c:v>
                </c:pt>
              </c:numCache>
            </c:numRef>
          </c:val>
          <c:smooth val="0"/>
          <c:extLst>
            <c:ext xmlns:c16="http://schemas.microsoft.com/office/drawing/2014/chart" uri="{C3380CC4-5D6E-409C-BE32-E72D297353CC}">
              <c16:uniqueId val="{00000001-F42B-41F0-9986-83F954795314}"/>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Datos!$E$33:$E$72</c:f>
              <c:numCache>
                <c:formatCode>#,##0.0_);\(#,##0.0\)</c:formatCode>
                <c:ptCount val="40"/>
                <c:pt idx="0">
                  <c:v>104.058156997477</c:v>
                </c:pt>
                <c:pt idx="1">
                  <c:v>103.18584123385899</c:v>
                </c:pt>
                <c:pt idx="2">
                  <c:v>102.324176292373</c:v>
                </c:pt>
                <c:pt idx="3">
                  <c:v>101.601434086986</c:v>
                </c:pt>
                <c:pt idx="4">
                  <c:v>101.319673594592</c:v>
                </c:pt>
                <c:pt idx="5">
                  <c:v>100.733178197274</c:v>
                </c:pt>
                <c:pt idx="6">
                  <c:v>99.529784797147201</c:v>
                </c:pt>
                <c:pt idx="7">
                  <c:v>99.160500309609304</c:v>
                </c:pt>
                <c:pt idx="8">
                  <c:v>100.23219447611</c:v>
                </c:pt>
                <c:pt idx="9">
                  <c:v>100.690693047851</c:v>
                </c:pt>
                <c:pt idx="10">
                  <c:v>100.225357450266</c:v>
                </c:pt>
                <c:pt idx="11">
                  <c:v>99.353891774944898</c:v>
                </c:pt>
                <c:pt idx="12">
                  <c:v>97.899381269983493</c:v>
                </c:pt>
                <c:pt idx="13">
                  <c:v>97.033856307445802</c:v>
                </c:pt>
                <c:pt idx="14">
                  <c:v>96.914989064374893</c:v>
                </c:pt>
                <c:pt idx="15">
                  <c:v>96.238304398287099</c:v>
                </c:pt>
                <c:pt idx="16">
                  <c:v>94.497613400582495</c:v>
                </c:pt>
                <c:pt idx="17">
                  <c:v>92.939312295370399</c:v>
                </c:pt>
                <c:pt idx="18">
                  <c:v>92.167721237750897</c:v>
                </c:pt>
                <c:pt idx="19">
                  <c:v>91.822425909908702</c:v>
                </c:pt>
                <c:pt idx="20">
                  <c:v>91.362951017186603</c:v>
                </c:pt>
                <c:pt idx="21">
                  <c:v>90.643722731588099</c:v>
                </c:pt>
                <c:pt idx="22">
                  <c:v>89.894263418264202</c:v>
                </c:pt>
                <c:pt idx="23">
                  <c:v>89.237238000831198</c:v>
                </c:pt>
                <c:pt idx="24">
                  <c:v>89.103497377788301</c:v>
                </c:pt>
                <c:pt idx="25">
                  <c:v>88.734720533666803</c:v>
                </c:pt>
                <c:pt idx="26">
                  <c:v>88.000492362126195</c:v>
                </c:pt>
                <c:pt idx="27">
                  <c:v>87.527926914512506</c:v>
                </c:pt>
                <c:pt idx="28">
                  <c:v>87.447060267780898</c:v>
                </c:pt>
                <c:pt idx="29">
                  <c:v>87.007003244037904</c:v>
                </c:pt>
                <c:pt idx="30">
                  <c:v>86.342069682513895</c:v>
                </c:pt>
                <c:pt idx="31">
                  <c:v>86.108618832813505</c:v>
                </c:pt>
                <c:pt idx="32">
                  <c:v>86.033117530944693</c:v>
                </c:pt>
                <c:pt idx="33">
                  <c:v>86.244644700259599</c:v>
                </c:pt>
                <c:pt idx="34">
                  <c:v>86.164668766572802</c:v>
                </c:pt>
                <c:pt idx="35">
                  <c:v>85.599942864199406</c:v>
                </c:pt>
                <c:pt idx="36">
                  <c:v>84.720669031241499</c:v>
                </c:pt>
                <c:pt idx="37">
                  <c:v>83.989057811314098</c:v>
                </c:pt>
                <c:pt idx="38">
                  <c:v>83.506033946085395</c:v>
                </c:pt>
                <c:pt idx="39">
                  <c:v>83.177694954311804</c:v>
                </c:pt>
              </c:numCache>
            </c:numRef>
          </c:val>
          <c:smooth val="0"/>
          <c:extLst>
            <c:ext xmlns:c16="http://schemas.microsoft.com/office/drawing/2014/chart" uri="{C3380CC4-5D6E-409C-BE32-E72D297353CC}">
              <c16:uniqueId val="{00000002-F42B-41F0-9986-83F954795314}"/>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Datos!$F$33:$F$72</c:f>
              <c:numCache>
                <c:formatCode>#,##0.0_);\(#,##0.0\)</c:formatCode>
                <c:ptCount val="40"/>
                <c:pt idx="0">
                  <c:v>98.445195304352595</c:v>
                </c:pt>
                <c:pt idx="1">
                  <c:v>98.100084832536297</c:v>
                </c:pt>
                <c:pt idx="2">
                  <c:v>98.1889414999536</c:v>
                </c:pt>
                <c:pt idx="3">
                  <c:v>99.199603206919903</c:v>
                </c:pt>
                <c:pt idx="4">
                  <c:v>99.838352044229396</c:v>
                </c:pt>
                <c:pt idx="5">
                  <c:v>99.956336231595003</c:v>
                </c:pt>
                <c:pt idx="6">
                  <c:v>100.050893962242</c:v>
                </c:pt>
                <c:pt idx="7">
                  <c:v>100.546525414499</c:v>
                </c:pt>
                <c:pt idx="8">
                  <c:v>101.822779310667</c:v>
                </c:pt>
                <c:pt idx="9">
                  <c:v>103.278655905091</c:v>
                </c:pt>
                <c:pt idx="10">
                  <c:v>104.07928931981699</c:v>
                </c:pt>
                <c:pt idx="11">
                  <c:v>104.29855162791399</c:v>
                </c:pt>
                <c:pt idx="12">
                  <c:v>104.754216577115</c:v>
                </c:pt>
                <c:pt idx="13">
                  <c:v>105.638220776571</c:v>
                </c:pt>
                <c:pt idx="14">
                  <c:v>106.00945044238</c:v>
                </c:pt>
                <c:pt idx="15">
                  <c:v>105.932529975935</c:v>
                </c:pt>
                <c:pt idx="16">
                  <c:v>106.047252472905</c:v>
                </c:pt>
                <c:pt idx="17">
                  <c:v>106.25584305717101</c:v>
                </c:pt>
                <c:pt idx="18">
                  <c:v>106.987444493928</c:v>
                </c:pt>
                <c:pt idx="19">
                  <c:v>107.964613123101</c:v>
                </c:pt>
                <c:pt idx="20">
                  <c:v>108.528246173513</c:v>
                </c:pt>
                <c:pt idx="21">
                  <c:v>108.955941250485</c:v>
                </c:pt>
                <c:pt idx="22">
                  <c:v>109.644057791417</c:v>
                </c:pt>
                <c:pt idx="23">
                  <c:v>110.325173366559</c:v>
                </c:pt>
                <c:pt idx="24">
                  <c:v>110.78894861985999</c:v>
                </c:pt>
                <c:pt idx="25">
                  <c:v>110.63069252287301</c:v>
                </c:pt>
                <c:pt idx="26">
                  <c:v>110.27147668165701</c:v>
                </c:pt>
                <c:pt idx="27">
                  <c:v>109.723197761631</c:v>
                </c:pt>
                <c:pt idx="28">
                  <c:v>108.563497011325</c:v>
                </c:pt>
                <c:pt idx="29">
                  <c:v>107.520828933926</c:v>
                </c:pt>
                <c:pt idx="30">
                  <c:v>106.99121478767201</c:v>
                </c:pt>
                <c:pt idx="31">
                  <c:v>106.214459557623</c:v>
                </c:pt>
                <c:pt idx="32">
                  <c:v>105.06833058170901</c:v>
                </c:pt>
                <c:pt idx="33">
                  <c:v>112.66157005421501</c:v>
                </c:pt>
                <c:pt idx="34">
                  <c:v>111.074722427533</c:v>
                </c:pt>
                <c:pt idx="35">
                  <c:v>109.009156997286</c:v>
                </c:pt>
                <c:pt idx="36">
                  <c:v>106.850604864152</c:v>
                </c:pt>
                <c:pt idx="37">
                  <c:v>104.228479385802</c:v>
                </c:pt>
                <c:pt idx="38">
                  <c:v>101.29773558420599</c:v>
                </c:pt>
                <c:pt idx="39">
                  <c:v>99.145633307384102</c:v>
                </c:pt>
              </c:numCache>
            </c:numRef>
          </c:val>
          <c:smooth val="0"/>
          <c:extLst>
            <c:ext xmlns:c16="http://schemas.microsoft.com/office/drawing/2014/chart" uri="{C3380CC4-5D6E-409C-BE32-E72D297353CC}">
              <c16:uniqueId val="{00000003-F42B-41F0-9986-83F954795314}"/>
            </c:ext>
          </c:extLst>
        </c:ser>
        <c:dLbls>
          <c:showLegendKey val="0"/>
          <c:showVal val="0"/>
          <c:showCatName val="0"/>
          <c:showSerName val="0"/>
          <c:showPercent val="0"/>
          <c:showBubbleSize val="0"/>
        </c:dLbls>
        <c:smooth val="0"/>
        <c:axId val="475789776"/>
        <c:axId val="475794872"/>
      </c:lineChart>
      <c:catAx>
        <c:axId val="475789776"/>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75794872"/>
        <c:crossesAt val="100"/>
        <c:auto val="1"/>
        <c:lblAlgn val="ctr"/>
        <c:lblOffset val="0"/>
        <c:tickLblSkip val="1"/>
        <c:tickMarkSkip val="4"/>
        <c:noMultiLvlLbl val="1"/>
      </c:catAx>
      <c:valAx>
        <c:axId val="475794872"/>
        <c:scaling>
          <c:orientation val="minMax"/>
          <c:max val="130"/>
          <c:min val="80"/>
        </c:scaling>
        <c:delete val="0"/>
        <c:axPos val="l"/>
        <c:numFmt formatCode="#,##0" sourceLinked="0"/>
        <c:majorTickMark val="out"/>
        <c:minorTickMark val="none"/>
        <c:tickLblPos val="nextTo"/>
        <c:spPr>
          <a:ln w="9525">
            <a:solidFill>
              <a:schemeClr val="tx1"/>
            </a:solidFill>
          </a:ln>
        </c:spPr>
        <c:crossAx val="475789776"/>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Datos!$G$33:$G$72</c:f>
              <c:numCache>
                <c:formatCode>#,##0.0_);\(#,##0.0\)</c:formatCode>
                <c:ptCount val="40"/>
                <c:pt idx="0">
                  <c:v>102.06083585294</c:v>
                </c:pt>
                <c:pt idx="1">
                  <c:v>104.368338895378</c:v>
                </c:pt>
                <c:pt idx="2">
                  <c:v>105.575829205311</c:v>
                </c:pt>
                <c:pt idx="3">
                  <c:v>103.8287082296</c:v>
                </c:pt>
                <c:pt idx="4">
                  <c:v>101.509857049922</c:v>
                </c:pt>
                <c:pt idx="5">
                  <c:v>100.155752719958</c:v>
                </c:pt>
                <c:pt idx="6">
                  <c:v>99.807260058601699</c:v>
                </c:pt>
                <c:pt idx="7">
                  <c:v>100.796635238352</c:v>
                </c:pt>
                <c:pt idx="8">
                  <c:v>102.793445004633</c:v>
                </c:pt>
                <c:pt idx="9">
                  <c:v>104.630121557427</c:v>
                </c:pt>
                <c:pt idx="10">
                  <c:v>106.342462736378</c:v>
                </c:pt>
                <c:pt idx="11">
                  <c:v>107.91060354073799</c:v>
                </c:pt>
                <c:pt idx="12">
                  <c:v>108.529206196742</c:v>
                </c:pt>
                <c:pt idx="13">
                  <c:v>109.06300076759599</c:v>
                </c:pt>
                <c:pt idx="14">
                  <c:v>109.143295275035</c:v>
                </c:pt>
                <c:pt idx="15">
                  <c:v>108.97002863963699</c:v>
                </c:pt>
                <c:pt idx="16">
                  <c:v>108.72257852165301</c:v>
                </c:pt>
                <c:pt idx="17">
                  <c:v>108.55853008166</c:v>
                </c:pt>
                <c:pt idx="18">
                  <c:v>108.96484429423001</c:v>
                </c:pt>
                <c:pt idx="19">
                  <c:v>109.17044081886399</c:v>
                </c:pt>
                <c:pt idx="20">
                  <c:v>107.77892972479</c:v>
                </c:pt>
                <c:pt idx="21">
                  <c:v>106.37889699436001</c:v>
                </c:pt>
                <c:pt idx="22">
                  <c:v>107.28242732195299</c:v>
                </c:pt>
                <c:pt idx="23">
                  <c:v>108.45050245335101</c:v>
                </c:pt>
                <c:pt idx="24">
                  <c:v>108.35623230054</c:v>
                </c:pt>
                <c:pt idx="25">
                  <c:v>108.115831076299</c:v>
                </c:pt>
                <c:pt idx="26">
                  <c:v>108.445042459986</c:v>
                </c:pt>
                <c:pt idx="27">
                  <c:v>107.86781035720399</c:v>
                </c:pt>
                <c:pt idx="28">
                  <c:v>106.81313606817299</c:v>
                </c:pt>
                <c:pt idx="29">
                  <c:v>105.099900312551</c:v>
                </c:pt>
                <c:pt idx="30">
                  <c:v>102.311359394183</c:v>
                </c:pt>
                <c:pt idx="31">
                  <c:v>100.516411830322</c:v>
                </c:pt>
                <c:pt idx="32">
                  <c:v>100.356897491558</c:v>
                </c:pt>
                <c:pt idx="33">
                  <c:v>98.784655043685802</c:v>
                </c:pt>
                <c:pt idx="34">
                  <c:v>95.369378571016398</c:v>
                </c:pt>
                <c:pt idx="35">
                  <c:v>92.988286230474898</c:v>
                </c:pt>
                <c:pt idx="36">
                  <c:v>92.3173366402401</c:v>
                </c:pt>
                <c:pt idx="37">
                  <c:v>92.714264000121105</c:v>
                </c:pt>
                <c:pt idx="38">
                  <c:v>93.601610323445001</c:v>
                </c:pt>
                <c:pt idx="39">
                  <c:v>93.943124347150302</c:v>
                </c:pt>
              </c:numCache>
            </c:numRef>
          </c:val>
          <c:smooth val="0"/>
          <c:extLst>
            <c:ext xmlns:c16="http://schemas.microsoft.com/office/drawing/2014/chart" uri="{C3380CC4-5D6E-409C-BE32-E72D297353CC}">
              <c16:uniqueId val="{00000000-6198-4C32-BD0B-217500B524C4}"/>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Datos!$H$33:$H$72</c:f>
              <c:numCache>
                <c:formatCode>#,##0.0_);\(#,##0.0\)</c:formatCode>
                <c:ptCount val="40"/>
                <c:pt idx="0">
                  <c:v>100.17990625508899</c:v>
                </c:pt>
                <c:pt idx="1">
                  <c:v>100.462505370122</c:v>
                </c:pt>
                <c:pt idx="2">
                  <c:v>100.50646626021199</c:v>
                </c:pt>
                <c:pt idx="3">
                  <c:v>100.472716844416</c:v>
                </c:pt>
                <c:pt idx="4">
                  <c:v>100.336349341794</c:v>
                </c:pt>
                <c:pt idx="5">
                  <c:v>100.17351688599101</c:v>
                </c:pt>
                <c:pt idx="6">
                  <c:v>99.779989548588603</c:v>
                </c:pt>
                <c:pt idx="7">
                  <c:v>99.630505522139103</c:v>
                </c:pt>
                <c:pt idx="8">
                  <c:v>100.26837443141601</c:v>
                </c:pt>
                <c:pt idx="9">
                  <c:v>101.03406317465701</c:v>
                </c:pt>
                <c:pt idx="10">
                  <c:v>101.027815795425</c:v>
                </c:pt>
                <c:pt idx="11">
                  <c:v>100.443002642623</c:v>
                </c:pt>
                <c:pt idx="12">
                  <c:v>99.931510756364105</c:v>
                </c:pt>
                <c:pt idx="13">
                  <c:v>99.601358673652896</c:v>
                </c:pt>
                <c:pt idx="14">
                  <c:v>99.7464350743426</c:v>
                </c:pt>
                <c:pt idx="15">
                  <c:v>99.622478127972698</c:v>
                </c:pt>
                <c:pt idx="16">
                  <c:v>98.3536926269134</c:v>
                </c:pt>
                <c:pt idx="17">
                  <c:v>96.873028582189306</c:v>
                </c:pt>
                <c:pt idx="18">
                  <c:v>96.249506919835198</c:v>
                </c:pt>
                <c:pt idx="19">
                  <c:v>96.4089898673476</c:v>
                </c:pt>
                <c:pt idx="20">
                  <c:v>96.602459669033905</c:v>
                </c:pt>
                <c:pt idx="21">
                  <c:v>95.827127435441</c:v>
                </c:pt>
                <c:pt idx="22">
                  <c:v>94.483248370991703</c:v>
                </c:pt>
                <c:pt idx="23">
                  <c:v>93.735686649364794</c:v>
                </c:pt>
                <c:pt idx="24">
                  <c:v>93.704927221053495</c:v>
                </c:pt>
                <c:pt idx="25">
                  <c:v>93.948469866399094</c:v>
                </c:pt>
                <c:pt idx="26">
                  <c:v>93.629622300894198</c:v>
                </c:pt>
                <c:pt idx="27">
                  <c:v>92.504480063678599</c:v>
                </c:pt>
                <c:pt idx="28">
                  <c:v>92.268463781732805</c:v>
                </c:pt>
                <c:pt idx="29">
                  <c:v>93.336848139597294</c:v>
                </c:pt>
                <c:pt idx="30">
                  <c:v>93.508030973809397</c:v>
                </c:pt>
                <c:pt idx="31">
                  <c:v>92.579643414637005</c:v>
                </c:pt>
                <c:pt idx="32">
                  <c:v>92.023939819391799</c:v>
                </c:pt>
                <c:pt idx="33">
                  <c:v>92.522491267822105</c:v>
                </c:pt>
                <c:pt idx="34">
                  <c:v>93.801783662375698</c:v>
                </c:pt>
                <c:pt idx="35">
                  <c:v>95.210058352276107</c:v>
                </c:pt>
                <c:pt idx="36">
                  <c:v>95.266073529900495</c:v>
                </c:pt>
                <c:pt idx="37">
                  <c:v>94.093781285835604</c:v>
                </c:pt>
                <c:pt idx="38">
                  <c:v>93.746474945522493</c:v>
                </c:pt>
                <c:pt idx="39">
                  <c:v>94.667474190498993</c:v>
                </c:pt>
              </c:numCache>
            </c:numRef>
          </c:val>
          <c:smooth val="0"/>
          <c:extLst>
            <c:ext xmlns:c16="http://schemas.microsoft.com/office/drawing/2014/chart" uri="{C3380CC4-5D6E-409C-BE32-E72D297353CC}">
              <c16:uniqueId val="{00000001-6198-4C32-BD0B-217500B524C4}"/>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Datos!$I$33:$I$72</c:f>
              <c:numCache>
                <c:formatCode>#,##0.0_);\(#,##0.0\)</c:formatCode>
                <c:ptCount val="40"/>
                <c:pt idx="0">
                  <c:v>106.490171869731</c:v>
                </c:pt>
                <c:pt idx="1">
                  <c:v>106.388327908246</c:v>
                </c:pt>
                <c:pt idx="2">
                  <c:v>105.049177372706</c:v>
                </c:pt>
                <c:pt idx="3">
                  <c:v>103.374554050247</c:v>
                </c:pt>
                <c:pt idx="4">
                  <c:v>101.177338216782</c:v>
                </c:pt>
                <c:pt idx="5">
                  <c:v>99.149239497911495</c:v>
                </c:pt>
                <c:pt idx="6">
                  <c:v>98.754985031767902</c:v>
                </c:pt>
                <c:pt idx="7">
                  <c:v>99.824257176555193</c:v>
                </c:pt>
                <c:pt idx="8">
                  <c:v>100.722484530093</c:v>
                </c:pt>
                <c:pt idx="9">
                  <c:v>100.93351783200799</c:v>
                </c:pt>
                <c:pt idx="10">
                  <c:v>101.500148375607</c:v>
                </c:pt>
                <c:pt idx="11">
                  <c:v>101.764493978473</c:v>
                </c:pt>
                <c:pt idx="12">
                  <c:v>101.39278038556699</c:v>
                </c:pt>
                <c:pt idx="13">
                  <c:v>101.414123356704</c:v>
                </c:pt>
                <c:pt idx="14">
                  <c:v>101.584289544695</c:v>
                </c:pt>
                <c:pt idx="15">
                  <c:v>100.76549987561</c:v>
                </c:pt>
                <c:pt idx="16">
                  <c:v>99.769455479959902</c:v>
                </c:pt>
                <c:pt idx="17">
                  <c:v>99.581627950023204</c:v>
                </c:pt>
                <c:pt idx="18">
                  <c:v>99.131442303153804</c:v>
                </c:pt>
                <c:pt idx="19">
                  <c:v>98.657623229960805</c:v>
                </c:pt>
                <c:pt idx="20">
                  <c:v>98.752552055078795</c:v>
                </c:pt>
                <c:pt idx="21">
                  <c:v>98.378672833376896</c:v>
                </c:pt>
                <c:pt idx="22">
                  <c:v>97.035940488032296</c:v>
                </c:pt>
                <c:pt idx="23">
                  <c:v>96.597972026888797</c:v>
                </c:pt>
                <c:pt idx="24">
                  <c:v>97.110373875372503</c:v>
                </c:pt>
                <c:pt idx="25">
                  <c:v>96.869722743245106</c:v>
                </c:pt>
                <c:pt idx="26">
                  <c:v>96.073183550757093</c:v>
                </c:pt>
                <c:pt idx="27">
                  <c:v>94.643098618350095</c:v>
                </c:pt>
                <c:pt idx="28">
                  <c:v>92.976280678943496</c:v>
                </c:pt>
                <c:pt idx="29">
                  <c:v>92.234532811543602</c:v>
                </c:pt>
                <c:pt idx="30">
                  <c:v>91.892863601563405</c:v>
                </c:pt>
                <c:pt idx="31">
                  <c:v>90.779985384410907</c:v>
                </c:pt>
                <c:pt idx="32">
                  <c:v>89.184697785529096</c:v>
                </c:pt>
                <c:pt idx="33">
                  <c:v>87.6015406854807</c:v>
                </c:pt>
                <c:pt idx="34">
                  <c:v>87.300629674003005</c:v>
                </c:pt>
                <c:pt idx="35">
                  <c:v>89.205210934734495</c:v>
                </c:pt>
                <c:pt idx="36">
                  <c:v>91.891081881723593</c:v>
                </c:pt>
                <c:pt idx="37">
                  <c:v>94.185832523141698</c:v>
                </c:pt>
                <c:pt idx="38">
                  <c:v>95.552053851712301</c:v>
                </c:pt>
                <c:pt idx="39">
                  <c:v>96.136431046647701</c:v>
                </c:pt>
              </c:numCache>
            </c:numRef>
          </c:val>
          <c:smooth val="0"/>
          <c:extLst>
            <c:ext xmlns:c16="http://schemas.microsoft.com/office/drawing/2014/chart" uri="{C3380CC4-5D6E-409C-BE32-E72D297353CC}">
              <c16:uniqueId val="{00000002-6198-4C32-BD0B-217500B524C4}"/>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Datos!$J$33:$J$72</c:f>
              <c:numCache>
                <c:formatCode>#,##0.0_);\(#,##0.0\)</c:formatCode>
                <c:ptCount val="40"/>
                <c:pt idx="0">
                  <c:v>98.713000444564301</c:v>
                </c:pt>
                <c:pt idx="1">
                  <c:v>99.404417815917</c:v>
                </c:pt>
                <c:pt idx="2">
                  <c:v>99.562608937250999</c:v>
                </c:pt>
                <c:pt idx="3">
                  <c:v>99.520429630760006</c:v>
                </c:pt>
                <c:pt idx="4">
                  <c:v>99.741972504855397</c:v>
                </c:pt>
                <c:pt idx="5">
                  <c:v>100.088030223018</c:v>
                </c:pt>
                <c:pt idx="6">
                  <c:v>100.197330614983</c:v>
                </c:pt>
                <c:pt idx="7">
                  <c:v>99.998411134562005</c:v>
                </c:pt>
                <c:pt idx="8">
                  <c:v>100.304819068276</c:v>
                </c:pt>
                <c:pt idx="9">
                  <c:v>101.25148418337</c:v>
                </c:pt>
                <c:pt idx="10">
                  <c:v>102.241293321085</c:v>
                </c:pt>
                <c:pt idx="11">
                  <c:v>103.062602854744</c:v>
                </c:pt>
                <c:pt idx="12">
                  <c:v>103.931647297856</c:v>
                </c:pt>
                <c:pt idx="13">
                  <c:v>104.917187265669</c:v>
                </c:pt>
                <c:pt idx="14">
                  <c:v>105.721957629936</c:v>
                </c:pt>
                <c:pt idx="15">
                  <c:v>106.246279479574</c:v>
                </c:pt>
                <c:pt idx="16">
                  <c:v>106.839455058306</c:v>
                </c:pt>
                <c:pt idx="17">
                  <c:v>108.11683575467001</c:v>
                </c:pt>
                <c:pt idx="18">
                  <c:v>109.62212317931299</c:v>
                </c:pt>
                <c:pt idx="19">
                  <c:v>109.98081456622199</c:v>
                </c:pt>
                <c:pt idx="20">
                  <c:v>109.04847070766</c:v>
                </c:pt>
                <c:pt idx="21">
                  <c:v>107.797496474892</c:v>
                </c:pt>
                <c:pt idx="22">
                  <c:v>107.15100907970999</c:v>
                </c:pt>
                <c:pt idx="23">
                  <c:v>107.079831916201</c:v>
                </c:pt>
                <c:pt idx="24">
                  <c:v>107.313132153456</c:v>
                </c:pt>
                <c:pt idx="25">
                  <c:v>107.749593800387</c:v>
                </c:pt>
                <c:pt idx="26">
                  <c:v>108.18606838615899</c:v>
                </c:pt>
                <c:pt idx="27">
                  <c:v>108.90477361435801</c:v>
                </c:pt>
                <c:pt idx="28">
                  <c:v>109.696305812172</c:v>
                </c:pt>
                <c:pt idx="29">
                  <c:v>110.54294816062099</c:v>
                </c:pt>
                <c:pt idx="30">
                  <c:v>110.806124096242</c:v>
                </c:pt>
                <c:pt idx="31">
                  <c:v>110.400465920805</c:v>
                </c:pt>
                <c:pt idx="32">
                  <c:v>109.26869718847701</c:v>
                </c:pt>
                <c:pt idx="33">
                  <c:v>107.950535843045</c:v>
                </c:pt>
                <c:pt idx="34">
                  <c:v>107.632025486556</c:v>
                </c:pt>
                <c:pt idx="35">
                  <c:v>108.795461272618</c:v>
                </c:pt>
                <c:pt idx="36">
                  <c:v>110.929144835177</c:v>
                </c:pt>
                <c:pt idx="37">
                  <c:v>112.705832423223</c:v>
                </c:pt>
                <c:pt idx="38">
                  <c:v>114.070570664746</c:v>
                </c:pt>
                <c:pt idx="39">
                  <c:v>115.018399198312</c:v>
                </c:pt>
              </c:numCache>
            </c:numRef>
          </c:val>
          <c:smooth val="0"/>
          <c:extLst>
            <c:ext xmlns:c16="http://schemas.microsoft.com/office/drawing/2014/chart" uri="{C3380CC4-5D6E-409C-BE32-E72D297353CC}">
              <c16:uniqueId val="{00000003-6198-4C32-BD0B-217500B524C4}"/>
            </c:ext>
          </c:extLst>
        </c:ser>
        <c:ser>
          <c:idx val="1"/>
          <c:order val="4"/>
          <c:tx>
            <c:strRef>
              <c:f>Datos!$K$4</c:f>
              <c:strCache>
                <c:ptCount val="1"/>
                <c:pt idx="0">
                  <c:v>Empresas de servicios privados no financieros</c:v>
                </c:pt>
              </c:strCache>
            </c:strRef>
          </c:tx>
          <c:spPr>
            <a:ln w="19050">
              <a:solidFill>
                <a:srgbClr val="FF0000"/>
              </a:solidFill>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Datos!$K$33:$K$72</c:f>
              <c:numCache>
                <c:formatCode>#,##0.0_);\(#,##0.0\)</c:formatCode>
                <c:ptCount val="40"/>
                <c:pt idx="0">
                  <c:v>98.800006299704407</c:v>
                </c:pt>
                <c:pt idx="1">
                  <c:v>98.974862435581699</c:v>
                </c:pt>
                <c:pt idx="2">
                  <c:v>99.6931913225377</c:v>
                </c:pt>
                <c:pt idx="3">
                  <c:v>100.208745484673</c:v>
                </c:pt>
                <c:pt idx="4">
                  <c:v>99.980841426177605</c:v>
                </c:pt>
                <c:pt idx="5">
                  <c:v>99.764160957693093</c:v>
                </c:pt>
                <c:pt idx="6">
                  <c:v>100.115986668966</c:v>
                </c:pt>
                <c:pt idx="7">
                  <c:v>100.428277519267</c:v>
                </c:pt>
                <c:pt idx="8">
                  <c:v>100.725417435518</c:v>
                </c:pt>
                <c:pt idx="9">
                  <c:v>101.015273783277</c:v>
                </c:pt>
                <c:pt idx="10">
                  <c:v>101.12734501395001</c:v>
                </c:pt>
                <c:pt idx="11">
                  <c:v>101.81619753044799</c:v>
                </c:pt>
                <c:pt idx="12">
                  <c:v>103.416396469552</c:v>
                </c:pt>
                <c:pt idx="13">
                  <c:v>104.455726824661</c:v>
                </c:pt>
                <c:pt idx="14">
                  <c:v>104.516573959455</c:v>
                </c:pt>
                <c:pt idx="15">
                  <c:v>104.740334011797</c:v>
                </c:pt>
                <c:pt idx="16">
                  <c:v>105.140838567838</c:v>
                </c:pt>
                <c:pt idx="17">
                  <c:v>105.336411300883</c:v>
                </c:pt>
                <c:pt idx="18">
                  <c:v>105.924104529467</c:v>
                </c:pt>
                <c:pt idx="19">
                  <c:v>106.977938666369</c:v>
                </c:pt>
                <c:pt idx="20">
                  <c:v>107.920529971646</c:v>
                </c:pt>
                <c:pt idx="21">
                  <c:v>108.20425625119501</c:v>
                </c:pt>
                <c:pt idx="22">
                  <c:v>107.89569886487</c:v>
                </c:pt>
                <c:pt idx="23">
                  <c:v>107.692102603004</c:v>
                </c:pt>
                <c:pt idx="24">
                  <c:v>108.93284009944099</c:v>
                </c:pt>
                <c:pt idx="25">
                  <c:v>110.388608409347</c:v>
                </c:pt>
                <c:pt idx="26">
                  <c:v>110.619436250585</c:v>
                </c:pt>
                <c:pt idx="27">
                  <c:v>110.563858322241</c:v>
                </c:pt>
                <c:pt idx="28">
                  <c:v>110.552339650966</c:v>
                </c:pt>
                <c:pt idx="29">
                  <c:v>110.23860549037001</c:v>
                </c:pt>
                <c:pt idx="30">
                  <c:v>109.920375205203</c:v>
                </c:pt>
                <c:pt idx="31">
                  <c:v>109.468249380844</c:v>
                </c:pt>
                <c:pt idx="32">
                  <c:v>108.42654263496399</c:v>
                </c:pt>
                <c:pt idx="33">
                  <c:v>107.73092713668601</c:v>
                </c:pt>
                <c:pt idx="34">
                  <c:v>107.035476733487</c:v>
                </c:pt>
                <c:pt idx="35">
                  <c:v>106.53293713915799</c:v>
                </c:pt>
                <c:pt idx="36">
                  <c:v>108.285362554976</c:v>
                </c:pt>
                <c:pt idx="37">
                  <c:v>113.273151768205</c:v>
                </c:pt>
                <c:pt idx="38">
                  <c:v>119.700303817898</c:v>
                </c:pt>
                <c:pt idx="39">
                  <c:v>125.390204899361</c:v>
                </c:pt>
              </c:numCache>
            </c:numRef>
          </c:val>
          <c:smooth val="0"/>
          <c:extLst>
            <c:ext xmlns:c16="http://schemas.microsoft.com/office/drawing/2014/chart" uri="{C3380CC4-5D6E-409C-BE32-E72D297353CC}">
              <c16:uniqueId val="{00000004-6198-4C32-BD0B-217500B524C4}"/>
            </c:ext>
          </c:extLst>
        </c:ser>
        <c:dLbls>
          <c:showLegendKey val="0"/>
          <c:showVal val="0"/>
          <c:showCatName val="0"/>
          <c:showSerName val="0"/>
          <c:showPercent val="0"/>
          <c:showBubbleSize val="0"/>
        </c:dLbls>
        <c:marker val="1"/>
        <c:smooth val="0"/>
        <c:axId val="475790168"/>
        <c:axId val="475795264"/>
      </c:lineChart>
      <c:catAx>
        <c:axId val="47579016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75795264"/>
        <c:crossesAt val="100"/>
        <c:auto val="1"/>
        <c:lblAlgn val="ctr"/>
        <c:lblOffset val="0"/>
        <c:tickLblSkip val="1"/>
        <c:tickMarkSkip val="4"/>
        <c:noMultiLvlLbl val="1"/>
      </c:catAx>
      <c:valAx>
        <c:axId val="475795264"/>
        <c:scaling>
          <c:orientation val="minMax"/>
          <c:max val="130"/>
          <c:min val="80"/>
        </c:scaling>
        <c:delete val="0"/>
        <c:axPos val="l"/>
        <c:numFmt formatCode="#,##0" sourceLinked="0"/>
        <c:majorTickMark val="out"/>
        <c:minorTickMark val="none"/>
        <c:tickLblPos val="nextTo"/>
        <c:spPr>
          <a:ln w="9525">
            <a:solidFill>
              <a:schemeClr val="tx1"/>
            </a:solidFill>
          </a:ln>
        </c:spPr>
        <c:crossAx val="475790168"/>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Datos!$L$33:$L$72</c:f>
              <c:numCache>
                <c:formatCode>#,##0.0_);\(#,##0.0\)</c:formatCode>
                <c:ptCount val="40"/>
                <c:pt idx="0">
                  <c:v>109.011475546656</c:v>
                </c:pt>
                <c:pt idx="1">
                  <c:v>106.494575163707</c:v>
                </c:pt>
                <c:pt idx="2">
                  <c:v>106.301860492904</c:v>
                </c:pt>
                <c:pt idx="3">
                  <c:v>104.98272285475301</c:v>
                </c:pt>
                <c:pt idx="4">
                  <c:v>101.327384002268</c:v>
                </c:pt>
                <c:pt idx="5">
                  <c:v>98.128810846055501</c:v>
                </c:pt>
                <c:pt idx="6">
                  <c:v>98.918412816395303</c:v>
                </c:pt>
                <c:pt idx="7">
                  <c:v>102.14324965826999</c:v>
                </c:pt>
                <c:pt idx="8">
                  <c:v>103.973836419937</c:v>
                </c:pt>
                <c:pt idx="9">
                  <c:v>104.311314078674</c:v>
                </c:pt>
                <c:pt idx="10">
                  <c:v>104.15379642068601</c:v>
                </c:pt>
                <c:pt idx="11">
                  <c:v>103.472012490281</c:v>
                </c:pt>
                <c:pt idx="12">
                  <c:v>102.79462629081</c:v>
                </c:pt>
                <c:pt idx="13">
                  <c:v>102.968793564091</c:v>
                </c:pt>
                <c:pt idx="14">
                  <c:v>102.993834954804</c:v>
                </c:pt>
                <c:pt idx="15">
                  <c:v>103.49460232439</c:v>
                </c:pt>
                <c:pt idx="16">
                  <c:v>105.782329361953</c:v>
                </c:pt>
                <c:pt idx="17">
                  <c:v>107.640922967997</c:v>
                </c:pt>
                <c:pt idx="18">
                  <c:v>106.405679168962</c:v>
                </c:pt>
                <c:pt idx="19">
                  <c:v>103.865404704349</c:v>
                </c:pt>
                <c:pt idx="20">
                  <c:v>102.56167624215</c:v>
                </c:pt>
                <c:pt idx="21">
                  <c:v>101.64785090749299</c:v>
                </c:pt>
                <c:pt idx="22">
                  <c:v>102.043228283397</c:v>
                </c:pt>
                <c:pt idx="23">
                  <c:v>103.323626727836</c:v>
                </c:pt>
                <c:pt idx="24">
                  <c:v>104.033884837049</c:v>
                </c:pt>
                <c:pt idx="25">
                  <c:v>105.20589141035499</c:v>
                </c:pt>
                <c:pt idx="26">
                  <c:v>106.663253097278</c:v>
                </c:pt>
                <c:pt idx="27">
                  <c:v>106.082997799626</c:v>
                </c:pt>
                <c:pt idx="28">
                  <c:v>104.961435318116</c:v>
                </c:pt>
                <c:pt idx="29">
                  <c:v>106.51739875303601</c:v>
                </c:pt>
                <c:pt idx="30">
                  <c:v>109.993398910214</c:v>
                </c:pt>
                <c:pt idx="31">
                  <c:v>113.15146596158699</c:v>
                </c:pt>
                <c:pt idx="32">
                  <c:v>114.71024559201</c:v>
                </c:pt>
                <c:pt idx="33">
                  <c:v>124.275109916364</c:v>
                </c:pt>
                <c:pt idx="34">
                  <c:v>127.399490532219</c:v>
                </c:pt>
                <c:pt idx="35">
                  <c:v>131.28943375585499</c:v>
                </c:pt>
                <c:pt idx="36">
                  <c:v>131.85751113232601</c:v>
                </c:pt>
                <c:pt idx="37">
                  <c:v>127.16451231104099</c:v>
                </c:pt>
                <c:pt idx="38">
                  <c:v>120.67912700434201</c:v>
                </c:pt>
                <c:pt idx="39">
                  <c:v>117.246919719643</c:v>
                </c:pt>
              </c:numCache>
            </c:numRef>
          </c:val>
          <c:smooth val="0"/>
          <c:extLst>
            <c:ext xmlns:c16="http://schemas.microsoft.com/office/drawing/2014/chart" uri="{C3380CC4-5D6E-409C-BE32-E72D297353CC}">
              <c16:uniqueId val="{00000000-E6D4-49D4-9996-033A547ABD61}"/>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Datos!$M$33:$M$72</c:f>
              <c:numCache>
                <c:formatCode>#,##0.0_);\(#,##0.0\)</c:formatCode>
                <c:ptCount val="40"/>
                <c:pt idx="0">
                  <c:v>99.808153466238494</c:v>
                </c:pt>
                <c:pt idx="1">
                  <c:v>99.273797651031103</c:v>
                </c:pt>
                <c:pt idx="2">
                  <c:v>98.8364570859422</c:v>
                </c:pt>
                <c:pt idx="3">
                  <c:v>98.900504709713402</c:v>
                </c:pt>
                <c:pt idx="4">
                  <c:v>99.323490045026205</c:v>
                </c:pt>
                <c:pt idx="5">
                  <c:v>99.473277922528297</c:v>
                </c:pt>
                <c:pt idx="6">
                  <c:v>100.128325424593</c:v>
                </c:pt>
                <c:pt idx="7">
                  <c:v>100.923002851691</c:v>
                </c:pt>
                <c:pt idx="8">
                  <c:v>100.153424842915</c:v>
                </c:pt>
                <c:pt idx="9">
                  <c:v>99.284233206753598</c:v>
                </c:pt>
                <c:pt idx="10">
                  <c:v>99.5896337643496</c:v>
                </c:pt>
                <c:pt idx="11">
                  <c:v>100.41776288310299</c:v>
                </c:pt>
                <c:pt idx="12">
                  <c:v>101.362217881302</c:v>
                </c:pt>
                <c:pt idx="13">
                  <c:v>102.11482942013799</c:v>
                </c:pt>
                <c:pt idx="14">
                  <c:v>102.180129981533</c:v>
                </c:pt>
                <c:pt idx="15">
                  <c:v>102.56529852049501</c:v>
                </c:pt>
                <c:pt idx="16">
                  <c:v>104.567868553586</c:v>
                </c:pt>
                <c:pt idx="17">
                  <c:v>107.16929091997</c:v>
                </c:pt>
                <c:pt idx="18">
                  <c:v>108.61755306219899</c:v>
                </c:pt>
                <c:pt idx="19">
                  <c:v>108.181897032048</c:v>
                </c:pt>
                <c:pt idx="20">
                  <c:v>107.591817954779</c:v>
                </c:pt>
                <c:pt idx="21">
                  <c:v>108.584147561866</c:v>
                </c:pt>
                <c:pt idx="22">
                  <c:v>110.382033292877</c:v>
                </c:pt>
                <c:pt idx="23">
                  <c:v>111.359619988316</c:v>
                </c:pt>
                <c:pt idx="24">
                  <c:v>111.82136356037999</c:v>
                </c:pt>
                <c:pt idx="25">
                  <c:v>111.978040685172</c:v>
                </c:pt>
                <c:pt idx="26">
                  <c:v>112.38320049038801</c:v>
                </c:pt>
                <c:pt idx="27">
                  <c:v>114.0422394454</c:v>
                </c:pt>
                <c:pt idx="28">
                  <c:v>115.51632066851499</c:v>
                </c:pt>
                <c:pt idx="29">
                  <c:v>115.540163784019</c:v>
                </c:pt>
                <c:pt idx="30">
                  <c:v>116.232390242064</c:v>
                </c:pt>
                <c:pt idx="31">
                  <c:v>118.07022776498999</c:v>
                </c:pt>
                <c:pt idx="32">
                  <c:v>119.217053156491</c:v>
                </c:pt>
                <c:pt idx="33">
                  <c:v>119.438477465989</c:v>
                </c:pt>
                <c:pt idx="34">
                  <c:v>119.262179861416</c:v>
                </c:pt>
                <c:pt idx="35">
                  <c:v>118.40328297575</c:v>
                </c:pt>
                <c:pt idx="36">
                  <c:v>117.597554169061</c:v>
                </c:pt>
                <c:pt idx="37">
                  <c:v>117.249884374608</c:v>
                </c:pt>
                <c:pt idx="38">
                  <c:v>116.289454309316</c:v>
                </c:pt>
                <c:pt idx="39">
                  <c:v>115.01126367119799</c:v>
                </c:pt>
              </c:numCache>
            </c:numRef>
          </c:val>
          <c:smooth val="0"/>
          <c:extLst>
            <c:ext xmlns:c16="http://schemas.microsoft.com/office/drawing/2014/chart" uri="{C3380CC4-5D6E-409C-BE32-E72D297353CC}">
              <c16:uniqueId val="{00000001-E6D4-49D4-9996-033A547ABD61}"/>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Datos!$N$33:$N$72</c:f>
              <c:numCache>
                <c:formatCode>#,##0.0_);\(#,##0.0\)</c:formatCode>
                <c:ptCount val="40"/>
                <c:pt idx="0">
                  <c:v>92.645088369042</c:v>
                </c:pt>
                <c:pt idx="1">
                  <c:v>93.562664081387894</c:v>
                </c:pt>
                <c:pt idx="2">
                  <c:v>95.073949128810099</c:v>
                </c:pt>
                <c:pt idx="3">
                  <c:v>96.900580038993098</c:v>
                </c:pt>
                <c:pt idx="4">
                  <c:v>98.614778195438504</c:v>
                </c:pt>
                <c:pt idx="5">
                  <c:v>100.184168974686</c:v>
                </c:pt>
                <c:pt idx="6">
                  <c:v>101.021433295124</c:v>
                </c:pt>
                <c:pt idx="7">
                  <c:v>100.24954573314599</c:v>
                </c:pt>
                <c:pt idx="8">
                  <c:v>98.611529594024205</c:v>
                </c:pt>
                <c:pt idx="9">
                  <c:v>97.754583339387096</c:v>
                </c:pt>
                <c:pt idx="10">
                  <c:v>97.252439955248903</c:v>
                </c:pt>
                <c:pt idx="11">
                  <c:v>97.347856607261406</c:v>
                </c:pt>
                <c:pt idx="12">
                  <c:v>98.222584762123304</c:v>
                </c:pt>
                <c:pt idx="13">
                  <c:v>98.758702489528204</c:v>
                </c:pt>
                <c:pt idx="14">
                  <c:v>98.893570541176203</c:v>
                </c:pt>
                <c:pt idx="15">
                  <c:v>100.923794564738</c:v>
                </c:pt>
                <c:pt idx="16">
                  <c:v>104.12693766545701</c:v>
                </c:pt>
                <c:pt idx="17">
                  <c:v>106.262339470353</c:v>
                </c:pt>
                <c:pt idx="18">
                  <c:v>106.613546722675</c:v>
                </c:pt>
                <c:pt idx="19">
                  <c:v>106.656460269673</c:v>
                </c:pt>
                <c:pt idx="20">
                  <c:v>106.958176609674</c:v>
                </c:pt>
                <c:pt idx="21">
                  <c:v>107.748797348614</c:v>
                </c:pt>
                <c:pt idx="22">
                  <c:v>108.61529636090501</c:v>
                </c:pt>
                <c:pt idx="23">
                  <c:v>108.841327666369</c:v>
                </c:pt>
                <c:pt idx="24">
                  <c:v>108.81522542817</c:v>
                </c:pt>
                <c:pt idx="25">
                  <c:v>109.825085883707</c:v>
                </c:pt>
                <c:pt idx="26">
                  <c:v>111.825280581828</c:v>
                </c:pt>
                <c:pt idx="27">
                  <c:v>113.704930966652</c:v>
                </c:pt>
                <c:pt idx="28">
                  <c:v>114.04513335900501</c:v>
                </c:pt>
                <c:pt idx="29">
                  <c:v>113.011047712962</c:v>
                </c:pt>
                <c:pt idx="30">
                  <c:v>113.508048021269</c:v>
                </c:pt>
                <c:pt idx="31">
                  <c:v>115.130480840017</c:v>
                </c:pt>
                <c:pt idx="32">
                  <c:v>116.272356280409</c:v>
                </c:pt>
                <c:pt idx="33">
                  <c:v>118.08016582410001</c:v>
                </c:pt>
                <c:pt idx="34">
                  <c:v>119.55602054287699</c:v>
                </c:pt>
                <c:pt idx="35">
                  <c:v>118.020045937304</c:v>
                </c:pt>
                <c:pt idx="36">
                  <c:v>115.51651522944699</c:v>
                </c:pt>
                <c:pt idx="37">
                  <c:v>113.228870433857</c:v>
                </c:pt>
                <c:pt idx="38">
                  <c:v>110.468749338951</c:v>
                </c:pt>
                <c:pt idx="39">
                  <c:v>107.934677019948</c:v>
                </c:pt>
              </c:numCache>
            </c:numRef>
          </c:val>
          <c:smooth val="0"/>
          <c:extLst>
            <c:ext xmlns:c16="http://schemas.microsoft.com/office/drawing/2014/chart" uri="{C3380CC4-5D6E-409C-BE32-E72D297353CC}">
              <c16:uniqueId val="{00000002-E6D4-49D4-9996-033A547ABD61}"/>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Datos!$O$33:$O$72</c:f>
              <c:numCache>
                <c:formatCode>#,##0.0_);\(#,##0.0\)</c:formatCode>
                <c:ptCount val="40"/>
                <c:pt idx="0">
                  <c:v>100.49493159323001</c:v>
                </c:pt>
                <c:pt idx="1">
                  <c:v>100.760959666106</c:v>
                </c:pt>
                <c:pt idx="2">
                  <c:v>101.196233649321</c:v>
                </c:pt>
                <c:pt idx="3">
                  <c:v>101.21824662846601</c:v>
                </c:pt>
                <c:pt idx="4">
                  <c:v>100.567667750288</c:v>
                </c:pt>
                <c:pt idx="5">
                  <c:v>99.750424502755095</c:v>
                </c:pt>
                <c:pt idx="6">
                  <c:v>99.809739800963001</c:v>
                </c:pt>
                <c:pt idx="7">
                  <c:v>100.57212994065</c:v>
                </c:pt>
                <c:pt idx="8">
                  <c:v>100.474147996629</c:v>
                </c:pt>
                <c:pt idx="9">
                  <c:v>99.651581701005497</c:v>
                </c:pt>
                <c:pt idx="10">
                  <c:v>99.139588990231601</c:v>
                </c:pt>
                <c:pt idx="11">
                  <c:v>99.198880076906605</c:v>
                </c:pt>
                <c:pt idx="12">
                  <c:v>99.3867265530249</c:v>
                </c:pt>
                <c:pt idx="13">
                  <c:v>99.431030649281894</c:v>
                </c:pt>
                <c:pt idx="14">
                  <c:v>99.247481178035898</c:v>
                </c:pt>
                <c:pt idx="15">
                  <c:v>98.882351162229597</c:v>
                </c:pt>
                <c:pt idx="16">
                  <c:v>98.917211927356902</c:v>
                </c:pt>
                <c:pt idx="17">
                  <c:v>99.383688798422298</c:v>
                </c:pt>
                <c:pt idx="18">
                  <c:v>99.758371102964901</c:v>
                </c:pt>
                <c:pt idx="19">
                  <c:v>99.796622466149898</c:v>
                </c:pt>
                <c:pt idx="20">
                  <c:v>99.916828357128395</c:v>
                </c:pt>
                <c:pt idx="21">
                  <c:v>100.444824303017</c:v>
                </c:pt>
                <c:pt idx="22">
                  <c:v>101.134350382259</c:v>
                </c:pt>
                <c:pt idx="23">
                  <c:v>101.732286504017</c:v>
                </c:pt>
                <c:pt idx="24">
                  <c:v>101.99112136595301</c:v>
                </c:pt>
                <c:pt idx="25">
                  <c:v>101.850476067393</c:v>
                </c:pt>
                <c:pt idx="26">
                  <c:v>101.521076859093</c:v>
                </c:pt>
                <c:pt idx="27">
                  <c:v>101.891576920839</c:v>
                </c:pt>
                <c:pt idx="28">
                  <c:v>102.676106389821</c:v>
                </c:pt>
                <c:pt idx="29">
                  <c:v>102.952192214063</c:v>
                </c:pt>
                <c:pt idx="30">
                  <c:v>103.225961033437</c:v>
                </c:pt>
                <c:pt idx="31">
                  <c:v>104.24319817703901</c:v>
                </c:pt>
                <c:pt idx="32">
                  <c:v>105.44858737063799</c:v>
                </c:pt>
                <c:pt idx="33">
                  <c:v>106.128510200119</c:v>
                </c:pt>
                <c:pt idx="34">
                  <c:v>105.97543171837501</c:v>
                </c:pt>
                <c:pt idx="35">
                  <c:v>105.000418625021</c:v>
                </c:pt>
                <c:pt idx="36">
                  <c:v>103.712918180085</c:v>
                </c:pt>
                <c:pt idx="37">
                  <c:v>102.803470234101</c:v>
                </c:pt>
                <c:pt idx="38">
                  <c:v>102.188901071529</c:v>
                </c:pt>
                <c:pt idx="39">
                  <c:v>101.109119848231</c:v>
                </c:pt>
              </c:numCache>
            </c:numRef>
          </c:val>
          <c:smooth val="0"/>
          <c:extLst>
            <c:ext xmlns:c16="http://schemas.microsoft.com/office/drawing/2014/chart" uri="{C3380CC4-5D6E-409C-BE32-E72D297353CC}">
              <c16:uniqueId val="{00000003-E6D4-49D4-9996-033A547ABD61}"/>
            </c:ext>
          </c:extLst>
        </c:ser>
        <c:ser>
          <c:idx val="1"/>
          <c:order val="4"/>
          <c:tx>
            <c:strRef>
              <c:f>Datos!$P$4</c:f>
              <c:strCache>
                <c:ptCount val="1"/>
                <c:pt idx="0">
                  <c:v>Empresas de servicios privados no financieros</c:v>
                </c:pt>
              </c:strCache>
            </c:strRef>
          </c:tx>
          <c:spPr>
            <a:ln w="19050">
              <a:solidFill>
                <a:srgbClr val="FF0000"/>
              </a:solidFill>
            </a:ln>
          </c:spPr>
          <c:marker>
            <c:symbol val="none"/>
          </c:marker>
          <c:cat>
            <c:multiLvlStrRef>
              <c:f>Datos!$A$33:$B$72</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Datos!$P$33:$P$72</c:f>
              <c:numCache>
                <c:formatCode>#,##0.0_);\(#,##0.0\)</c:formatCode>
                <c:ptCount val="40"/>
                <c:pt idx="0">
                  <c:v>100.621215894191</c:v>
                </c:pt>
                <c:pt idx="1">
                  <c:v>99.914787597838</c:v>
                </c:pt>
                <c:pt idx="2">
                  <c:v>99.211044123390394</c:v>
                </c:pt>
                <c:pt idx="3">
                  <c:v>98.489298826721793</c:v>
                </c:pt>
                <c:pt idx="4">
                  <c:v>99.184911237421801</c:v>
                </c:pt>
                <c:pt idx="5">
                  <c:v>100.41541064621001</c:v>
                </c:pt>
                <c:pt idx="6">
                  <c:v>100.263015887587</c:v>
                </c:pt>
                <c:pt idx="7">
                  <c:v>99.932528553229702</c:v>
                </c:pt>
                <c:pt idx="8">
                  <c:v>99.494444033049803</c:v>
                </c:pt>
                <c:pt idx="9">
                  <c:v>98.825926209303404</c:v>
                </c:pt>
                <c:pt idx="10">
                  <c:v>98.316726508615602</c:v>
                </c:pt>
                <c:pt idx="11">
                  <c:v>97.399672759862398</c:v>
                </c:pt>
                <c:pt idx="12">
                  <c:v>95.816425131383198</c:v>
                </c:pt>
                <c:pt idx="13">
                  <c:v>94.746168124252804</c:v>
                </c:pt>
                <c:pt idx="14">
                  <c:v>94.560012668273103</c:v>
                </c:pt>
                <c:pt idx="15">
                  <c:v>94.726497928250495</c:v>
                </c:pt>
                <c:pt idx="16">
                  <c:v>94.731631500642706</c:v>
                </c:pt>
                <c:pt idx="17">
                  <c:v>94.292182972843904</c:v>
                </c:pt>
                <c:pt idx="18">
                  <c:v>93.694680393727893</c:v>
                </c:pt>
                <c:pt idx="19">
                  <c:v>92.437360116685795</c:v>
                </c:pt>
                <c:pt idx="20">
                  <c:v>90.570071799046204</c:v>
                </c:pt>
                <c:pt idx="21">
                  <c:v>89.385796697984802</c:v>
                </c:pt>
                <c:pt idx="22">
                  <c:v>89.152711849469796</c:v>
                </c:pt>
                <c:pt idx="23">
                  <c:v>88.599209475219197</c:v>
                </c:pt>
                <c:pt idx="24">
                  <c:v>87.606123268622198</c:v>
                </c:pt>
                <c:pt idx="25">
                  <c:v>87.341148825576099</c:v>
                </c:pt>
                <c:pt idx="26">
                  <c:v>87.833813755093104</c:v>
                </c:pt>
                <c:pt idx="27">
                  <c:v>88.373332010957697</c:v>
                </c:pt>
                <c:pt idx="28">
                  <c:v>88.935763288159507</c:v>
                </c:pt>
                <c:pt idx="29">
                  <c:v>89.669273682395897</c:v>
                </c:pt>
                <c:pt idx="30">
                  <c:v>90.318340299625106</c:v>
                </c:pt>
                <c:pt idx="31">
                  <c:v>91.540272987036602</c:v>
                </c:pt>
                <c:pt idx="32">
                  <c:v>93.149479868128694</c:v>
                </c:pt>
                <c:pt idx="33">
                  <c:v>94.496655880751703</c:v>
                </c:pt>
                <c:pt idx="34">
                  <c:v>95.982058818621297</c:v>
                </c:pt>
                <c:pt idx="35">
                  <c:v>97.391999351248401</c:v>
                </c:pt>
                <c:pt idx="36">
                  <c:v>96.299545497655402</c:v>
                </c:pt>
                <c:pt idx="37">
                  <c:v>90.797163627829605</c:v>
                </c:pt>
                <c:pt idx="38">
                  <c:v>82.462600286878796</c:v>
                </c:pt>
                <c:pt idx="39">
                  <c:v>73.973782564561702</c:v>
                </c:pt>
              </c:numCache>
            </c:numRef>
          </c:val>
          <c:smooth val="0"/>
          <c:extLst>
            <c:ext xmlns:c16="http://schemas.microsoft.com/office/drawing/2014/chart" uri="{C3380CC4-5D6E-409C-BE32-E72D297353CC}">
              <c16:uniqueId val="{00000004-E6D4-49D4-9996-033A547ABD61}"/>
            </c:ext>
          </c:extLst>
        </c:ser>
        <c:dLbls>
          <c:showLegendKey val="0"/>
          <c:showVal val="0"/>
          <c:showCatName val="0"/>
          <c:showSerName val="0"/>
          <c:showPercent val="0"/>
          <c:showBubbleSize val="0"/>
        </c:dLbls>
        <c:marker val="1"/>
        <c:smooth val="0"/>
        <c:axId val="475787816"/>
        <c:axId val="475788600"/>
      </c:lineChart>
      <c:catAx>
        <c:axId val="475787816"/>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75788600"/>
        <c:crossesAt val="100"/>
        <c:auto val="1"/>
        <c:lblAlgn val="ctr"/>
        <c:lblOffset val="0"/>
        <c:tickLblSkip val="1"/>
        <c:tickMarkSkip val="4"/>
        <c:noMultiLvlLbl val="1"/>
      </c:catAx>
      <c:valAx>
        <c:axId val="475788600"/>
        <c:scaling>
          <c:orientation val="minMax"/>
          <c:max val="140"/>
          <c:min val="70"/>
        </c:scaling>
        <c:delete val="0"/>
        <c:axPos val="l"/>
        <c:numFmt formatCode="#,##0" sourceLinked="0"/>
        <c:majorTickMark val="out"/>
        <c:minorTickMark val="none"/>
        <c:tickLblPos val="nextTo"/>
        <c:spPr>
          <a:ln w="9525">
            <a:solidFill>
              <a:schemeClr val="tx1"/>
            </a:solidFill>
          </a:ln>
        </c:spPr>
        <c:crossAx val="475787816"/>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B354D-3E59-4B01-A9E4-11A2BBBB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23</TotalTime>
  <Pages>15</Pages>
  <Words>4336</Words>
  <Characters>23849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Cuarto Trimestre de 2021</vt:lpstr>
    </vt:vector>
  </TitlesOfParts>
  <Company>INEGI</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Cuarto Trimestre de 2021</dc:title>
  <dc:creator>INEGI</dc:creator>
  <cp:keywords>productividad costo unitario mano de obra</cp:keywords>
  <cp:lastModifiedBy>GUILLEN MEDINA MOISES</cp:lastModifiedBy>
  <cp:revision>21</cp:revision>
  <cp:lastPrinted>2021-03-09T22:33:00Z</cp:lastPrinted>
  <dcterms:created xsi:type="dcterms:W3CDTF">2022-03-07T23:26:00Z</dcterms:created>
  <dcterms:modified xsi:type="dcterms:W3CDTF">2022-03-08T01:56:00Z</dcterms:modified>
  <cp:category/>
  <cp:version>1</cp:version>
</cp:coreProperties>
</file>