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0749D" w14:textId="77777777" w:rsidR="000D16FD" w:rsidRPr="00FC3C74" w:rsidRDefault="000D16FD" w:rsidP="000D16F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672F937F" wp14:editId="273A51D2">
                <wp:simplePos x="0" y="0"/>
                <wp:positionH relativeFrom="column">
                  <wp:posOffset>3084479</wp:posOffset>
                </wp:positionH>
                <wp:positionV relativeFrom="paragraph">
                  <wp:posOffset>433</wp:posOffset>
                </wp:positionV>
                <wp:extent cx="3336290" cy="266700"/>
                <wp:effectExtent l="0" t="0" r="0" b="63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FC6F49A" w14:textId="77777777" w:rsidR="000D16FD" w:rsidRPr="003D4E37" w:rsidRDefault="000D16FD" w:rsidP="000D16F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0EA2C317" w14:textId="77777777" w:rsidR="000D16FD" w:rsidRPr="003D4E37" w:rsidRDefault="000D16FD" w:rsidP="000D16F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F937F"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FC6F49A" w14:textId="77777777" w:rsidR="000D16FD" w:rsidRPr="003D4E37" w:rsidRDefault="000D16FD" w:rsidP="000D16F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w:t>
                      </w:r>
                    </w:p>
                    <w:p w14:paraId="0EA2C317" w14:textId="77777777" w:rsidR="000D16FD" w:rsidRPr="003D4E37" w:rsidRDefault="000D16FD" w:rsidP="000D16FD">
                      <w:pPr>
                        <w:jc w:val="right"/>
                      </w:pPr>
                    </w:p>
                  </w:txbxContent>
                </v:textbox>
                <w10:wrap type="square"/>
              </v:shape>
            </w:pict>
          </mc:Fallback>
        </mc:AlternateContent>
      </w:r>
      <w:bookmarkStart w:id="0" w:name="_Hlk61875621"/>
    </w:p>
    <w:p w14:paraId="1E56ABD7" w14:textId="77777777" w:rsidR="000D16FD" w:rsidRDefault="000D16FD" w:rsidP="000D16FD">
      <w:pPr>
        <w:jc w:val="center"/>
        <w:rPr>
          <w:b/>
          <w:bCs/>
          <w:caps/>
          <w:sz w:val="28"/>
          <w:szCs w:val="28"/>
          <w:lang w:val="es-MX"/>
        </w:rPr>
      </w:pPr>
    </w:p>
    <w:p w14:paraId="7E0B13DE" w14:textId="77777777" w:rsidR="000D16FD" w:rsidRDefault="000D16FD" w:rsidP="000D16FD">
      <w:pPr>
        <w:pStyle w:val="Subttulo"/>
        <w:rPr>
          <w:spacing w:val="20"/>
        </w:rPr>
      </w:pPr>
    </w:p>
    <w:p w14:paraId="0A0637C5" w14:textId="51FFEA6D" w:rsidR="000D16FD" w:rsidRPr="00DF03BB" w:rsidRDefault="000D16FD" w:rsidP="000D16FD">
      <w:pPr>
        <w:pStyle w:val="Subttulo"/>
        <w:rPr>
          <w:spacing w:val="20"/>
        </w:rPr>
      </w:pPr>
      <w:bookmarkStart w:id="1" w:name="_GoBack"/>
      <w:bookmarkEnd w:id="1"/>
      <w:r w:rsidRPr="00DF03BB">
        <w:rPr>
          <w:spacing w:val="20"/>
        </w:rPr>
        <w:t>INDICADOR DE PEDIDOS MANUFACTUREROS</w:t>
      </w:r>
    </w:p>
    <w:p w14:paraId="2B962775" w14:textId="77777777" w:rsidR="000D16FD" w:rsidRPr="00DF03BB" w:rsidRDefault="000D16FD" w:rsidP="000D16FD">
      <w:pPr>
        <w:spacing w:before="40"/>
        <w:contextualSpacing/>
        <w:jc w:val="center"/>
        <w:rPr>
          <w:b/>
          <w:bCs/>
          <w:kern w:val="28"/>
        </w:rPr>
      </w:pPr>
      <w:r w:rsidRPr="00DF03BB">
        <w:rPr>
          <w:b/>
          <w:bCs/>
          <w:kern w:val="28"/>
        </w:rPr>
        <w:t>ABRIL DE 2022</w:t>
      </w:r>
    </w:p>
    <w:p w14:paraId="3A747165" w14:textId="77777777" w:rsidR="000D16FD" w:rsidRPr="00DF03BB" w:rsidRDefault="000D16FD" w:rsidP="000D16FD">
      <w:pPr>
        <w:spacing w:before="120"/>
        <w:ind w:right="49"/>
        <w:rPr>
          <w:snapToGrid w:val="0"/>
          <w:color w:val="000000" w:themeColor="text1"/>
          <w:spacing w:val="4"/>
          <w:bdr w:val="none" w:sz="0" w:space="0" w:color="auto" w:frame="1"/>
        </w:rPr>
      </w:pPr>
      <w:r w:rsidRPr="00DF03BB">
        <w:rPr>
          <w:snapToGrid w:val="0"/>
          <w:color w:val="000000" w:themeColor="text1"/>
          <w:spacing w:val="4"/>
          <w:bdr w:val="none" w:sz="0" w:space="0" w:color="auto" w:frame="1"/>
          <w:lang w:val="es-MX"/>
        </w:rPr>
        <w:t xml:space="preserve">El Instituto Nacional de Estadística y Geografía (INEGI) y el Banco de México dan a conocer el Indicador de Pedidos Manufactureros (IPM) de abril de 2022. El IPM incorpora variables similares a las del </w:t>
      </w:r>
      <w:proofErr w:type="spellStart"/>
      <w:r w:rsidRPr="00DF03BB">
        <w:t>Purchasing</w:t>
      </w:r>
      <w:proofErr w:type="spellEnd"/>
      <w:r w:rsidRPr="00DF03BB">
        <w:t xml:space="preserve"> Managers </w:t>
      </w:r>
      <w:proofErr w:type="spellStart"/>
      <w:r w:rsidRPr="00DF03BB">
        <w:t>Index</w:t>
      </w:r>
      <w:proofErr w:type="spellEnd"/>
      <w:r w:rsidRPr="00DF03BB">
        <w:rPr>
          <w:snapToGrid w:val="0"/>
          <w:color w:val="000000" w:themeColor="text1"/>
          <w:spacing w:val="4"/>
          <w:bdr w:val="none" w:sz="0" w:space="0" w:color="auto" w:frame="1"/>
        </w:rPr>
        <w:t xml:space="preserve"> (</w:t>
      </w:r>
      <w:r w:rsidRPr="00DF03BB">
        <w:rPr>
          <w:snapToGrid w:val="0"/>
          <w:color w:val="000000" w:themeColor="text1"/>
          <w:spacing w:val="4"/>
          <w:bdr w:val="none" w:sz="0" w:space="0" w:color="auto" w:frame="1"/>
          <w:lang w:val="es-MX"/>
        </w:rPr>
        <w:t xml:space="preserve">PMI) que elabora el </w:t>
      </w:r>
      <w:proofErr w:type="spellStart"/>
      <w:r w:rsidRPr="00DF03BB">
        <w:rPr>
          <w:snapToGrid w:val="0"/>
          <w:color w:val="000000" w:themeColor="text1"/>
          <w:spacing w:val="4"/>
          <w:bdr w:val="none" w:sz="0" w:space="0" w:color="auto" w:frame="1"/>
          <w:lang w:val="es-MX"/>
        </w:rPr>
        <w:t>Institute</w:t>
      </w:r>
      <w:proofErr w:type="spellEnd"/>
      <w:r w:rsidRPr="00DF03BB">
        <w:rPr>
          <w:snapToGrid w:val="0"/>
          <w:color w:val="000000" w:themeColor="text1"/>
          <w:spacing w:val="4"/>
          <w:bdr w:val="none" w:sz="0" w:space="0" w:color="auto" w:frame="1"/>
          <w:lang w:val="es-MX"/>
        </w:rPr>
        <w:t xml:space="preserve"> </w:t>
      </w:r>
      <w:proofErr w:type="spellStart"/>
      <w:r w:rsidRPr="00DF03BB">
        <w:rPr>
          <w:snapToGrid w:val="0"/>
          <w:color w:val="000000" w:themeColor="text1"/>
          <w:spacing w:val="4"/>
          <w:bdr w:val="none" w:sz="0" w:space="0" w:color="auto" w:frame="1"/>
          <w:lang w:val="es-MX"/>
        </w:rPr>
        <w:t>for</w:t>
      </w:r>
      <w:proofErr w:type="spellEnd"/>
      <w:r w:rsidRPr="00DF03BB">
        <w:rPr>
          <w:snapToGrid w:val="0"/>
          <w:color w:val="000000" w:themeColor="text1"/>
          <w:spacing w:val="4"/>
          <w:bdr w:val="none" w:sz="0" w:space="0" w:color="auto" w:frame="1"/>
          <w:lang w:val="es-MX"/>
        </w:rPr>
        <w:t xml:space="preserve"> </w:t>
      </w:r>
      <w:proofErr w:type="spellStart"/>
      <w:r w:rsidRPr="00DF03BB">
        <w:rPr>
          <w:snapToGrid w:val="0"/>
          <w:color w:val="000000" w:themeColor="text1"/>
          <w:spacing w:val="4"/>
          <w:bdr w:val="none" w:sz="0" w:space="0" w:color="auto" w:frame="1"/>
          <w:lang w:val="es-MX"/>
        </w:rPr>
        <w:t>Supply</w:t>
      </w:r>
      <w:proofErr w:type="spellEnd"/>
      <w:r w:rsidRPr="00DF03BB">
        <w:rPr>
          <w:snapToGrid w:val="0"/>
          <w:color w:val="000000" w:themeColor="text1"/>
          <w:spacing w:val="4"/>
          <w:bdr w:val="none" w:sz="0" w:space="0" w:color="auto" w:frame="1"/>
          <w:lang w:val="es-MX"/>
        </w:rPr>
        <w:t xml:space="preserve"> Management (ISM) en Estados Unidos</w:t>
      </w:r>
      <w:r w:rsidRPr="00DF03BB">
        <w:rPr>
          <w:snapToGrid w:val="0"/>
          <w:color w:val="000000" w:themeColor="text1"/>
          <w:spacing w:val="4"/>
          <w:bdr w:val="none" w:sz="0" w:space="0" w:color="auto" w:frame="1"/>
        </w:rPr>
        <w:t>.</w:t>
      </w:r>
    </w:p>
    <w:p w14:paraId="202F0AE2" w14:textId="77777777" w:rsidR="000D16FD" w:rsidRPr="00DF03BB" w:rsidRDefault="000D16FD" w:rsidP="000D16FD">
      <w:pPr>
        <w:spacing w:before="240"/>
        <w:ind w:right="49"/>
        <w:rPr>
          <w:snapToGrid w:val="0"/>
          <w:color w:val="000000" w:themeColor="text1"/>
          <w:spacing w:val="4"/>
          <w:bdr w:val="none" w:sz="0" w:space="0" w:color="auto" w:frame="1"/>
        </w:rPr>
      </w:pPr>
      <w:r w:rsidRPr="00DF03BB">
        <w:rPr>
          <w:snapToGrid w:val="0"/>
          <w:color w:val="000000" w:themeColor="text1"/>
          <w:spacing w:val="4"/>
          <w:bdr w:val="none" w:sz="0" w:space="0" w:color="auto" w:frame="1"/>
          <w:lang w:val="es-MX"/>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r w:rsidRPr="00DF03BB">
        <w:rPr>
          <w:snapToGrid w:val="0"/>
          <w:color w:val="000000" w:themeColor="text1"/>
          <w:spacing w:val="4"/>
          <w:bdr w:val="none" w:sz="0" w:space="0" w:color="auto" w:frame="1"/>
        </w:rPr>
        <w:t>.</w:t>
      </w:r>
    </w:p>
    <w:p w14:paraId="47C135C0" w14:textId="77777777" w:rsidR="000D16FD" w:rsidRPr="00DF03BB" w:rsidRDefault="000D16FD" w:rsidP="000D16FD">
      <w:pPr>
        <w:spacing w:before="240"/>
        <w:ind w:right="49"/>
        <w:rPr>
          <w:snapToGrid w:val="0"/>
          <w:color w:val="000000" w:themeColor="text1"/>
          <w:spacing w:val="4"/>
          <w:bdr w:val="none" w:sz="0" w:space="0" w:color="auto" w:frame="1"/>
        </w:rPr>
      </w:pPr>
      <w:r w:rsidRPr="00DF03BB">
        <w:rPr>
          <w:snapToGrid w:val="0"/>
          <w:color w:val="000000" w:themeColor="text1"/>
          <w:spacing w:val="4"/>
          <w:bdr w:val="none" w:sz="0" w:space="0" w:color="auto" w:frame="1"/>
          <w:lang w:val="es-MX"/>
        </w:rPr>
        <w:t>En abril de 2022 y con datos ajustados por estacionalidad, el IPM registró un retroceso mensual de 0.51 puntos, al situarse en 53.4 puntos, permaneciendo por 19 meses consecutivos por arriba del umbral de los 50 puntos. A su interior, se reportaron reducciones mensuales en los componentes referentes a los pedidos esperados, a la producción esperada, a la oportunidad en la entrega de insumos por parte de los proveedores y a los inventarios de insumos. Por su parte, el componente de personal ocupado aumentó</w:t>
      </w:r>
      <w:r w:rsidRPr="00DF03BB">
        <w:rPr>
          <w:snapToGrid w:val="0"/>
          <w:color w:val="000000" w:themeColor="text1"/>
          <w:spacing w:val="4"/>
          <w:bdr w:val="none" w:sz="0" w:space="0" w:color="auto" w:frame="1"/>
        </w:rPr>
        <w:t>.</w:t>
      </w:r>
    </w:p>
    <w:p w14:paraId="5A37E2B0" w14:textId="77777777" w:rsidR="000D16FD" w:rsidRDefault="000D16FD" w:rsidP="000D16FD">
      <w:pPr>
        <w:widowControl w:val="0"/>
        <w:jc w:val="center"/>
        <w:outlineLvl w:val="0"/>
        <w:rPr>
          <w:b/>
          <w:bCs/>
          <w:smallCaps/>
          <w:kern w:val="32"/>
          <w:sz w:val="22"/>
        </w:rPr>
      </w:pPr>
    </w:p>
    <w:p w14:paraId="2D004EE8" w14:textId="77777777" w:rsidR="000D16FD" w:rsidRPr="00C46F19" w:rsidRDefault="000D16FD" w:rsidP="000D16FD">
      <w:pPr>
        <w:widowControl w:val="0"/>
        <w:spacing w:before="240"/>
        <w:jc w:val="center"/>
        <w:outlineLvl w:val="0"/>
        <w:rPr>
          <w:b/>
          <w:bCs/>
          <w:smallCaps/>
          <w:kern w:val="32"/>
          <w:sz w:val="22"/>
        </w:rPr>
      </w:pPr>
      <w:r w:rsidRPr="00C46F19">
        <w:rPr>
          <w:b/>
          <w:bCs/>
          <w:smallCaps/>
          <w:kern w:val="32"/>
          <w:sz w:val="22"/>
        </w:rPr>
        <w:t xml:space="preserve">Indicador de Pedidos Manufactureros </w:t>
      </w:r>
    </w:p>
    <w:p w14:paraId="7FDFF35E" w14:textId="77777777" w:rsidR="000D16FD" w:rsidRPr="005B0949" w:rsidRDefault="000D16FD" w:rsidP="000D16FD">
      <w:pPr>
        <w:widowControl w:val="0"/>
        <w:spacing w:after="10"/>
        <w:jc w:val="center"/>
        <w:outlineLvl w:val="0"/>
        <w:rPr>
          <w:b/>
          <w:bCs/>
          <w:smallCaps/>
          <w:kern w:val="32"/>
        </w:rPr>
      </w:pPr>
      <w:r>
        <w:rPr>
          <w:noProof/>
        </w:rPr>
        <w:drawing>
          <wp:inline distT="0" distB="0" distL="0" distR="0" wp14:anchorId="0361A13C" wp14:editId="53733A43">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885C3A" w14:textId="77777777" w:rsidR="000D16FD" w:rsidRPr="005B0949" w:rsidRDefault="000D16FD" w:rsidP="000D16FD">
      <w:pPr>
        <w:widowControl w:val="0"/>
        <w:spacing w:before="20"/>
        <w:ind w:left="1701"/>
        <w:jc w:val="left"/>
        <w:outlineLvl w:val="0"/>
        <w:rPr>
          <w:b/>
          <w:bCs/>
          <w:smallCaps/>
          <w:kern w:val="32"/>
          <w:sz w:val="14"/>
          <w:szCs w:val="16"/>
        </w:rPr>
      </w:pPr>
      <w:r w:rsidRPr="005B0949">
        <w:rPr>
          <w:sz w:val="14"/>
          <w:szCs w:val="16"/>
        </w:rPr>
        <w:t>Fuente: INEGI y Banco de México.</w:t>
      </w:r>
    </w:p>
    <w:p w14:paraId="0346F950" w14:textId="77777777" w:rsidR="000D16FD" w:rsidRDefault="000D16FD" w:rsidP="000D16FD">
      <w:pPr>
        <w:widowControl w:val="0"/>
        <w:spacing w:before="120"/>
        <w:jc w:val="center"/>
        <w:outlineLvl w:val="0"/>
        <w:rPr>
          <w:b/>
          <w:bCs/>
          <w:smallCaps/>
          <w:kern w:val="32"/>
          <w:sz w:val="22"/>
        </w:rPr>
      </w:pPr>
    </w:p>
    <w:p w14:paraId="54D7162D" w14:textId="77777777" w:rsidR="000D16FD" w:rsidRDefault="000D16FD" w:rsidP="000D16FD">
      <w:pPr>
        <w:widowControl w:val="0"/>
        <w:spacing w:before="120"/>
        <w:jc w:val="center"/>
        <w:outlineLvl w:val="0"/>
        <w:rPr>
          <w:b/>
          <w:bCs/>
          <w:smallCaps/>
          <w:kern w:val="32"/>
          <w:sz w:val="22"/>
        </w:rPr>
      </w:pPr>
    </w:p>
    <w:p w14:paraId="5A7AAB51" w14:textId="77777777" w:rsidR="000D16FD" w:rsidRDefault="000D16FD" w:rsidP="000D16FD">
      <w:pPr>
        <w:widowControl w:val="0"/>
        <w:spacing w:before="120"/>
        <w:jc w:val="center"/>
        <w:outlineLvl w:val="0"/>
        <w:rPr>
          <w:b/>
          <w:bCs/>
          <w:smallCaps/>
          <w:kern w:val="32"/>
          <w:sz w:val="22"/>
        </w:rPr>
      </w:pPr>
    </w:p>
    <w:p w14:paraId="2F0B33A5" w14:textId="77777777" w:rsidR="000D16FD" w:rsidRPr="00DF03BB" w:rsidRDefault="000D16FD" w:rsidP="000D16FD">
      <w:pPr>
        <w:spacing w:before="240"/>
        <w:ind w:right="49"/>
        <w:rPr>
          <w:snapToGrid w:val="0"/>
          <w:color w:val="000000" w:themeColor="text1"/>
          <w:spacing w:val="4"/>
          <w:bdr w:val="none" w:sz="0" w:space="0" w:color="auto" w:frame="1"/>
        </w:rPr>
      </w:pPr>
      <w:r w:rsidRPr="00DF03BB">
        <w:rPr>
          <w:snapToGrid w:val="0"/>
          <w:color w:val="000000" w:themeColor="text1"/>
          <w:spacing w:val="4"/>
          <w:bdr w:val="none" w:sz="0" w:space="0" w:color="auto" w:frame="1"/>
          <w:lang w:val="es-MX"/>
        </w:rPr>
        <w:lastRenderedPageBreak/>
        <w:t>Con datos originales, en abril pasado el IPM presentó un crecimiento anual de 1.2 puntos y se ubicó en 51.2 puntos. Respecto a sus componentes, los cinco agregados que conforman el IPM mostraron incrementos anuales</w:t>
      </w:r>
      <w:r w:rsidRPr="00DF03BB">
        <w:rPr>
          <w:snapToGrid w:val="0"/>
          <w:color w:val="000000" w:themeColor="text1"/>
          <w:spacing w:val="4"/>
          <w:bdr w:val="none" w:sz="0" w:space="0" w:color="auto" w:frame="1"/>
        </w:rPr>
        <w:t>.</w:t>
      </w:r>
    </w:p>
    <w:bookmarkEnd w:id="0"/>
    <w:p w14:paraId="5BC90606" w14:textId="77777777" w:rsidR="000D16FD" w:rsidRDefault="000D16FD" w:rsidP="000D16FD">
      <w:pPr>
        <w:keepNext/>
        <w:keepLines/>
        <w:jc w:val="center"/>
        <w:outlineLvl w:val="0"/>
        <w:rPr>
          <w:b/>
          <w:smallCaps/>
          <w:sz w:val="22"/>
        </w:rPr>
      </w:pPr>
    </w:p>
    <w:p w14:paraId="49F90027" w14:textId="77777777" w:rsidR="000D16FD" w:rsidRPr="00C46F19" w:rsidRDefault="000D16FD" w:rsidP="000D16FD">
      <w:pPr>
        <w:keepNext/>
        <w:keepLines/>
        <w:spacing w:before="120"/>
        <w:jc w:val="center"/>
        <w:outlineLvl w:val="0"/>
        <w:rPr>
          <w:b/>
          <w:smallCaps/>
          <w:sz w:val="22"/>
        </w:rPr>
      </w:pPr>
      <w:r w:rsidRPr="00C46F19">
        <w:rPr>
          <w:b/>
          <w:smallCaps/>
          <w:sz w:val="22"/>
        </w:rPr>
        <w:t>Indicador de Pedidos Manufactureros por grupos de subsectores de actividad</w:t>
      </w:r>
    </w:p>
    <w:p w14:paraId="7087A830" w14:textId="77777777" w:rsidR="000D16FD" w:rsidRPr="00C46F19" w:rsidRDefault="000D16FD" w:rsidP="000D16FD">
      <w:pPr>
        <w:keepNext/>
        <w:keepLines/>
        <w:jc w:val="center"/>
        <w:outlineLvl w:val="0"/>
        <w:rPr>
          <w:sz w:val="22"/>
        </w:rPr>
      </w:pPr>
      <w:r>
        <w:rPr>
          <w:b/>
          <w:smallCaps/>
          <w:sz w:val="22"/>
        </w:rPr>
        <w:t>c</w:t>
      </w:r>
      <w:r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7"/>
        <w:gridCol w:w="1022"/>
        <w:gridCol w:w="1022"/>
        <w:gridCol w:w="1264"/>
      </w:tblGrid>
      <w:tr w:rsidR="000D16FD" w:rsidRPr="005B0949" w14:paraId="12F3A4E3" w14:textId="77777777" w:rsidTr="0067781C">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1F4C3958" w14:textId="77777777" w:rsidR="000D16FD" w:rsidRPr="005B0949" w:rsidRDefault="000D16FD" w:rsidP="0067781C">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4A409AD8" w14:textId="77777777" w:rsidR="000D16FD" w:rsidRPr="005B0949" w:rsidRDefault="000D16FD" w:rsidP="0067781C">
            <w:pPr>
              <w:keepNext/>
              <w:keepLines/>
              <w:spacing w:before="40" w:after="40" w:line="240" w:lineRule="exact"/>
              <w:jc w:val="center"/>
              <w:rPr>
                <w:sz w:val="18"/>
                <w:szCs w:val="18"/>
              </w:rPr>
            </w:pPr>
            <w:r>
              <w:rPr>
                <w:sz w:val="18"/>
                <w:szCs w:val="18"/>
              </w:rPr>
              <w:t>Abril</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2B811AF3" w14:textId="77777777" w:rsidR="000D16FD" w:rsidRPr="005B0949" w:rsidRDefault="000D16FD" w:rsidP="0067781C">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0D16FD" w:rsidRPr="005B0949" w14:paraId="3D3D7A4C" w14:textId="77777777" w:rsidTr="0067781C">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28094C51" w14:textId="77777777" w:rsidR="000D16FD" w:rsidRPr="005B0949" w:rsidRDefault="000D16FD" w:rsidP="0067781C">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7C18D94" w14:textId="77777777" w:rsidR="000D16FD" w:rsidRPr="005B0949" w:rsidRDefault="000D16FD" w:rsidP="0067781C">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7612B8D" w14:textId="77777777" w:rsidR="000D16FD" w:rsidRPr="005B0949" w:rsidRDefault="000D16FD" w:rsidP="0067781C">
            <w:pPr>
              <w:keepNext/>
              <w:keepLines/>
              <w:spacing w:line="240" w:lineRule="exact"/>
              <w:jc w:val="center"/>
              <w:rPr>
                <w:sz w:val="18"/>
                <w:szCs w:val="18"/>
              </w:rPr>
            </w:pPr>
            <w:r>
              <w:rPr>
                <w:sz w:val="18"/>
                <w:szCs w:val="18"/>
              </w:rPr>
              <w:t>2022</w:t>
            </w:r>
            <w:r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55D09052" w14:textId="77777777" w:rsidR="000D16FD" w:rsidRPr="005B0949" w:rsidRDefault="000D16FD" w:rsidP="0067781C">
            <w:pPr>
              <w:keepNext/>
              <w:keepLines/>
              <w:spacing w:line="240" w:lineRule="atLeast"/>
              <w:ind w:left="-64" w:right="-45"/>
              <w:jc w:val="center"/>
              <w:rPr>
                <w:sz w:val="18"/>
                <w:szCs w:val="18"/>
              </w:rPr>
            </w:pPr>
          </w:p>
        </w:tc>
      </w:tr>
      <w:tr w:rsidR="000D16FD" w:rsidRPr="005B0949" w14:paraId="30B25383" w14:textId="77777777" w:rsidTr="0067781C">
        <w:trPr>
          <w:cantSplit/>
          <w:trHeight w:val="20"/>
          <w:jc w:val="center"/>
        </w:trPr>
        <w:tc>
          <w:tcPr>
            <w:tcW w:w="3364" w:type="pct"/>
            <w:tcBorders>
              <w:top w:val="single" w:sz="6" w:space="0" w:color="404040"/>
              <w:left w:val="single" w:sz="6" w:space="0" w:color="404040"/>
              <w:right w:val="single" w:sz="6" w:space="0" w:color="404040"/>
            </w:tcBorders>
            <w:vAlign w:val="center"/>
          </w:tcPr>
          <w:p w14:paraId="7A898DA6" w14:textId="77777777" w:rsidR="000D16FD" w:rsidRPr="005B0949" w:rsidRDefault="000D16FD" w:rsidP="0067781C">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0A0C038E" w14:textId="77777777" w:rsidR="000D16FD" w:rsidRPr="000E7D75" w:rsidRDefault="000D16FD" w:rsidP="0067781C">
            <w:pPr>
              <w:tabs>
                <w:tab w:val="decimal" w:pos="414"/>
              </w:tabs>
              <w:jc w:val="left"/>
              <w:rPr>
                <w:b/>
                <w:bCs/>
                <w:color w:val="000000"/>
                <w:sz w:val="18"/>
                <w:szCs w:val="18"/>
              </w:rPr>
            </w:pPr>
            <w:r>
              <w:rPr>
                <w:b/>
                <w:bCs/>
                <w:sz w:val="18"/>
                <w:szCs w:val="18"/>
              </w:rPr>
              <w:t>49.9</w:t>
            </w:r>
          </w:p>
        </w:tc>
        <w:tc>
          <w:tcPr>
            <w:tcW w:w="505" w:type="pct"/>
            <w:tcBorders>
              <w:top w:val="single" w:sz="6" w:space="0" w:color="404040"/>
              <w:right w:val="single" w:sz="6" w:space="0" w:color="404040"/>
            </w:tcBorders>
            <w:vAlign w:val="center"/>
          </w:tcPr>
          <w:p w14:paraId="09F127F2" w14:textId="77777777" w:rsidR="000D16FD" w:rsidRPr="000E7D75" w:rsidRDefault="000D16FD" w:rsidP="0067781C">
            <w:pPr>
              <w:tabs>
                <w:tab w:val="decimal" w:pos="368"/>
              </w:tabs>
              <w:jc w:val="left"/>
              <w:rPr>
                <w:b/>
                <w:bCs/>
                <w:color w:val="000000"/>
                <w:sz w:val="18"/>
                <w:szCs w:val="18"/>
              </w:rPr>
            </w:pPr>
            <w:r>
              <w:rPr>
                <w:b/>
                <w:bCs/>
                <w:sz w:val="18"/>
                <w:szCs w:val="18"/>
              </w:rPr>
              <w:t>51.2</w:t>
            </w:r>
          </w:p>
        </w:tc>
        <w:tc>
          <w:tcPr>
            <w:tcW w:w="625" w:type="pct"/>
            <w:tcBorders>
              <w:top w:val="single" w:sz="6" w:space="0" w:color="404040"/>
              <w:right w:val="single" w:sz="6" w:space="0" w:color="404040"/>
            </w:tcBorders>
            <w:vAlign w:val="center"/>
          </w:tcPr>
          <w:p w14:paraId="03961BBA" w14:textId="77777777" w:rsidR="000D16FD" w:rsidRPr="000E7D75" w:rsidRDefault="000D16FD" w:rsidP="0067781C">
            <w:pPr>
              <w:tabs>
                <w:tab w:val="decimal" w:pos="483"/>
              </w:tabs>
              <w:jc w:val="left"/>
              <w:rPr>
                <w:b/>
                <w:bCs/>
                <w:sz w:val="18"/>
                <w:szCs w:val="18"/>
              </w:rPr>
            </w:pPr>
            <w:r>
              <w:rPr>
                <w:b/>
                <w:bCs/>
                <w:color w:val="000000"/>
                <w:sz w:val="18"/>
                <w:szCs w:val="18"/>
              </w:rPr>
              <w:t>1.2</w:t>
            </w:r>
          </w:p>
        </w:tc>
      </w:tr>
      <w:tr w:rsidR="000D16FD" w:rsidRPr="005B0949" w14:paraId="452AD644" w14:textId="77777777" w:rsidTr="0067781C">
        <w:trPr>
          <w:cantSplit/>
          <w:trHeight w:val="20"/>
          <w:jc w:val="center"/>
        </w:trPr>
        <w:tc>
          <w:tcPr>
            <w:tcW w:w="3364" w:type="pct"/>
            <w:tcBorders>
              <w:left w:val="single" w:sz="6" w:space="0" w:color="404040"/>
              <w:right w:val="single" w:sz="6" w:space="0" w:color="404040"/>
            </w:tcBorders>
            <w:vAlign w:val="bottom"/>
          </w:tcPr>
          <w:p w14:paraId="443A911F" w14:textId="77777777" w:rsidR="000D16FD" w:rsidRPr="005B0949" w:rsidRDefault="000D16FD" w:rsidP="0067781C">
            <w:pPr>
              <w:widowControl w:val="0"/>
              <w:spacing w:before="20" w:after="20"/>
              <w:ind w:left="130"/>
              <w:rPr>
                <w:sz w:val="18"/>
                <w:szCs w:val="18"/>
              </w:rPr>
            </w:pPr>
            <w:r w:rsidRPr="005B0949">
              <w:rPr>
                <w:sz w:val="18"/>
                <w:szCs w:val="18"/>
              </w:rPr>
              <w:t>Alimentos, bebidas y tabaco</w:t>
            </w:r>
          </w:p>
        </w:tc>
        <w:tc>
          <w:tcPr>
            <w:tcW w:w="505" w:type="pct"/>
            <w:vAlign w:val="center"/>
          </w:tcPr>
          <w:p w14:paraId="15DE2583" w14:textId="77777777" w:rsidR="000D16FD" w:rsidRPr="000E7D75" w:rsidRDefault="000D16FD" w:rsidP="0067781C">
            <w:pPr>
              <w:tabs>
                <w:tab w:val="decimal" w:pos="414"/>
              </w:tabs>
              <w:jc w:val="left"/>
              <w:rPr>
                <w:color w:val="000000"/>
                <w:sz w:val="18"/>
                <w:szCs w:val="18"/>
              </w:rPr>
            </w:pPr>
            <w:r>
              <w:rPr>
                <w:sz w:val="18"/>
                <w:szCs w:val="18"/>
              </w:rPr>
              <w:t>52.0</w:t>
            </w:r>
          </w:p>
        </w:tc>
        <w:tc>
          <w:tcPr>
            <w:tcW w:w="505" w:type="pct"/>
            <w:tcBorders>
              <w:right w:val="single" w:sz="6" w:space="0" w:color="404040"/>
            </w:tcBorders>
            <w:vAlign w:val="center"/>
          </w:tcPr>
          <w:p w14:paraId="0651BE80" w14:textId="77777777" w:rsidR="000D16FD" w:rsidRPr="000E7D75" w:rsidRDefault="000D16FD" w:rsidP="0067781C">
            <w:pPr>
              <w:tabs>
                <w:tab w:val="decimal" w:pos="368"/>
              </w:tabs>
              <w:jc w:val="left"/>
              <w:rPr>
                <w:color w:val="000000"/>
                <w:sz w:val="18"/>
                <w:szCs w:val="18"/>
              </w:rPr>
            </w:pPr>
            <w:r>
              <w:rPr>
                <w:sz w:val="18"/>
                <w:szCs w:val="18"/>
              </w:rPr>
              <w:t>49.7</w:t>
            </w:r>
          </w:p>
        </w:tc>
        <w:tc>
          <w:tcPr>
            <w:tcW w:w="625" w:type="pct"/>
            <w:tcBorders>
              <w:right w:val="single" w:sz="6" w:space="0" w:color="404040"/>
            </w:tcBorders>
            <w:vAlign w:val="center"/>
          </w:tcPr>
          <w:p w14:paraId="0905F8EA" w14:textId="77777777" w:rsidR="000D16FD" w:rsidRPr="000E7D75" w:rsidRDefault="000D16FD" w:rsidP="0067781C">
            <w:pPr>
              <w:tabs>
                <w:tab w:val="decimal" w:pos="483"/>
              </w:tabs>
              <w:jc w:val="left"/>
              <w:rPr>
                <w:sz w:val="18"/>
                <w:szCs w:val="18"/>
              </w:rPr>
            </w:pPr>
            <w:r>
              <w:rPr>
                <w:color w:val="000000"/>
                <w:sz w:val="18"/>
                <w:szCs w:val="18"/>
              </w:rPr>
              <w:t>-2.3</w:t>
            </w:r>
          </w:p>
        </w:tc>
      </w:tr>
      <w:tr w:rsidR="000D16FD" w:rsidRPr="005B0949" w14:paraId="3F185270" w14:textId="77777777" w:rsidTr="0067781C">
        <w:trPr>
          <w:cantSplit/>
          <w:trHeight w:val="20"/>
          <w:jc w:val="center"/>
        </w:trPr>
        <w:tc>
          <w:tcPr>
            <w:tcW w:w="3364" w:type="pct"/>
            <w:tcBorders>
              <w:left w:val="single" w:sz="6" w:space="0" w:color="404040"/>
              <w:right w:val="single" w:sz="6" w:space="0" w:color="404040"/>
            </w:tcBorders>
            <w:vAlign w:val="bottom"/>
          </w:tcPr>
          <w:p w14:paraId="176ABD75" w14:textId="77777777" w:rsidR="000D16FD" w:rsidRPr="005B0949" w:rsidRDefault="000D16FD" w:rsidP="0067781C">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74F2E14E" w14:textId="77777777" w:rsidR="000D16FD" w:rsidRPr="000E7D75" w:rsidRDefault="000D16FD" w:rsidP="0067781C">
            <w:pPr>
              <w:tabs>
                <w:tab w:val="decimal" w:pos="414"/>
              </w:tabs>
              <w:jc w:val="left"/>
              <w:rPr>
                <w:color w:val="000000"/>
                <w:sz w:val="18"/>
                <w:szCs w:val="18"/>
              </w:rPr>
            </w:pPr>
            <w:r>
              <w:rPr>
                <w:sz w:val="18"/>
                <w:szCs w:val="18"/>
              </w:rPr>
              <w:t>49.3</w:t>
            </w:r>
          </w:p>
        </w:tc>
        <w:tc>
          <w:tcPr>
            <w:tcW w:w="505" w:type="pct"/>
            <w:tcBorders>
              <w:right w:val="single" w:sz="6" w:space="0" w:color="404040"/>
            </w:tcBorders>
            <w:vAlign w:val="center"/>
          </w:tcPr>
          <w:p w14:paraId="24BA6932" w14:textId="77777777" w:rsidR="000D16FD" w:rsidRPr="000E7D75" w:rsidRDefault="000D16FD" w:rsidP="0067781C">
            <w:pPr>
              <w:tabs>
                <w:tab w:val="decimal" w:pos="368"/>
              </w:tabs>
              <w:jc w:val="left"/>
              <w:rPr>
                <w:color w:val="000000"/>
                <w:sz w:val="18"/>
                <w:szCs w:val="18"/>
              </w:rPr>
            </w:pPr>
            <w:r>
              <w:rPr>
                <w:sz w:val="18"/>
                <w:szCs w:val="18"/>
              </w:rPr>
              <w:t>57.3</w:t>
            </w:r>
          </w:p>
        </w:tc>
        <w:tc>
          <w:tcPr>
            <w:tcW w:w="625" w:type="pct"/>
            <w:tcBorders>
              <w:right w:val="single" w:sz="6" w:space="0" w:color="404040"/>
            </w:tcBorders>
            <w:vAlign w:val="center"/>
          </w:tcPr>
          <w:p w14:paraId="1E626062" w14:textId="77777777" w:rsidR="000D16FD" w:rsidRPr="000E7D75" w:rsidRDefault="000D16FD" w:rsidP="0067781C">
            <w:pPr>
              <w:tabs>
                <w:tab w:val="decimal" w:pos="483"/>
              </w:tabs>
              <w:jc w:val="left"/>
              <w:rPr>
                <w:sz w:val="18"/>
                <w:szCs w:val="18"/>
              </w:rPr>
            </w:pPr>
            <w:r>
              <w:rPr>
                <w:color w:val="000000"/>
                <w:sz w:val="18"/>
                <w:szCs w:val="18"/>
              </w:rPr>
              <w:t>8.0</w:t>
            </w:r>
          </w:p>
        </w:tc>
      </w:tr>
      <w:tr w:rsidR="000D16FD" w:rsidRPr="005B0949" w14:paraId="3D905257" w14:textId="77777777" w:rsidTr="0067781C">
        <w:trPr>
          <w:cantSplit/>
          <w:trHeight w:val="20"/>
          <w:jc w:val="center"/>
        </w:trPr>
        <w:tc>
          <w:tcPr>
            <w:tcW w:w="3364" w:type="pct"/>
            <w:tcBorders>
              <w:left w:val="single" w:sz="6" w:space="0" w:color="404040"/>
              <w:right w:val="single" w:sz="6" w:space="0" w:color="404040"/>
            </w:tcBorders>
            <w:vAlign w:val="bottom"/>
          </w:tcPr>
          <w:p w14:paraId="231F6D6E" w14:textId="77777777" w:rsidR="000D16FD" w:rsidRPr="005B0949" w:rsidRDefault="000D16FD" w:rsidP="0067781C">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07B5C72B" w14:textId="77777777" w:rsidR="000D16FD" w:rsidRPr="000E7D75" w:rsidRDefault="000D16FD" w:rsidP="0067781C">
            <w:pPr>
              <w:tabs>
                <w:tab w:val="decimal" w:pos="414"/>
              </w:tabs>
              <w:jc w:val="left"/>
              <w:rPr>
                <w:color w:val="000000"/>
                <w:sz w:val="18"/>
                <w:szCs w:val="18"/>
              </w:rPr>
            </w:pPr>
            <w:r>
              <w:rPr>
                <w:sz w:val="18"/>
                <w:szCs w:val="18"/>
              </w:rPr>
              <w:t>50.8</w:t>
            </w:r>
          </w:p>
        </w:tc>
        <w:tc>
          <w:tcPr>
            <w:tcW w:w="505" w:type="pct"/>
            <w:tcBorders>
              <w:right w:val="single" w:sz="6" w:space="0" w:color="404040"/>
            </w:tcBorders>
            <w:vAlign w:val="center"/>
          </w:tcPr>
          <w:p w14:paraId="63A6648E" w14:textId="77777777" w:rsidR="000D16FD" w:rsidRPr="000E7D75" w:rsidRDefault="000D16FD" w:rsidP="0067781C">
            <w:pPr>
              <w:tabs>
                <w:tab w:val="decimal" w:pos="368"/>
              </w:tabs>
              <w:jc w:val="left"/>
              <w:rPr>
                <w:color w:val="000000"/>
                <w:sz w:val="18"/>
                <w:szCs w:val="18"/>
              </w:rPr>
            </w:pPr>
            <w:r>
              <w:rPr>
                <w:sz w:val="18"/>
                <w:szCs w:val="18"/>
              </w:rPr>
              <w:t>50.0</w:t>
            </w:r>
          </w:p>
        </w:tc>
        <w:tc>
          <w:tcPr>
            <w:tcW w:w="625" w:type="pct"/>
            <w:tcBorders>
              <w:right w:val="single" w:sz="6" w:space="0" w:color="404040"/>
            </w:tcBorders>
            <w:vAlign w:val="center"/>
          </w:tcPr>
          <w:p w14:paraId="016C94AD" w14:textId="77777777" w:rsidR="000D16FD" w:rsidRPr="000E7D75" w:rsidRDefault="000D16FD" w:rsidP="0067781C">
            <w:pPr>
              <w:tabs>
                <w:tab w:val="decimal" w:pos="483"/>
              </w:tabs>
              <w:jc w:val="left"/>
              <w:rPr>
                <w:sz w:val="18"/>
                <w:szCs w:val="18"/>
              </w:rPr>
            </w:pPr>
            <w:r>
              <w:rPr>
                <w:color w:val="000000"/>
                <w:sz w:val="18"/>
                <w:szCs w:val="18"/>
              </w:rPr>
              <w:t>-0.8</w:t>
            </w:r>
          </w:p>
        </w:tc>
      </w:tr>
      <w:tr w:rsidR="000D16FD" w:rsidRPr="005B0949" w14:paraId="41DCFF52" w14:textId="77777777" w:rsidTr="0067781C">
        <w:trPr>
          <w:cantSplit/>
          <w:trHeight w:val="20"/>
          <w:jc w:val="center"/>
        </w:trPr>
        <w:tc>
          <w:tcPr>
            <w:tcW w:w="3364" w:type="pct"/>
            <w:tcBorders>
              <w:left w:val="single" w:sz="6" w:space="0" w:color="404040"/>
              <w:right w:val="single" w:sz="6" w:space="0" w:color="404040"/>
            </w:tcBorders>
            <w:vAlign w:val="bottom"/>
          </w:tcPr>
          <w:p w14:paraId="64B3B4DD" w14:textId="77777777" w:rsidR="000D16FD" w:rsidRPr="005B0949" w:rsidRDefault="000D16FD" w:rsidP="0067781C">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5D2E5EBF" w14:textId="77777777" w:rsidR="000D16FD" w:rsidRPr="000E7D75" w:rsidRDefault="000D16FD" w:rsidP="0067781C">
            <w:pPr>
              <w:tabs>
                <w:tab w:val="decimal" w:pos="414"/>
              </w:tabs>
              <w:jc w:val="left"/>
              <w:rPr>
                <w:color w:val="000000"/>
                <w:sz w:val="18"/>
                <w:szCs w:val="18"/>
              </w:rPr>
            </w:pPr>
            <w:r>
              <w:rPr>
                <w:sz w:val="18"/>
                <w:szCs w:val="18"/>
              </w:rPr>
              <w:t>49.5</w:t>
            </w:r>
          </w:p>
        </w:tc>
        <w:tc>
          <w:tcPr>
            <w:tcW w:w="505" w:type="pct"/>
            <w:tcBorders>
              <w:right w:val="single" w:sz="6" w:space="0" w:color="404040"/>
            </w:tcBorders>
            <w:vAlign w:val="center"/>
          </w:tcPr>
          <w:p w14:paraId="56F5A4C5" w14:textId="77777777" w:rsidR="000D16FD" w:rsidRPr="000E7D75" w:rsidRDefault="000D16FD" w:rsidP="0067781C">
            <w:pPr>
              <w:tabs>
                <w:tab w:val="decimal" w:pos="368"/>
              </w:tabs>
              <w:jc w:val="left"/>
              <w:rPr>
                <w:color w:val="000000"/>
                <w:sz w:val="18"/>
                <w:szCs w:val="18"/>
              </w:rPr>
            </w:pPr>
            <w:r>
              <w:rPr>
                <w:sz w:val="18"/>
                <w:szCs w:val="18"/>
              </w:rPr>
              <w:t>49.1</w:t>
            </w:r>
          </w:p>
        </w:tc>
        <w:tc>
          <w:tcPr>
            <w:tcW w:w="625" w:type="pct"/>
            <w:tcBorders>
              <w:right w:val="single" w:sz="6" w:space="0" w:color="404040"/>
            </w:tcBorders>
            <w:vAlign w:val="center"/>
          </w:tcPr>
          <w:p w14:paraId="28BEFC2C" w14:textId="77777777" w:rsidR="000D16FD" w:rsidRPr="000E7D75" w:rsidRDefault="000D16FD" w:rsidP="0067781C">
            <w:pPr>
              <w:tabs>
                <w:tab w:val="decimal" w:pos="483"/>
              </w:tabs>
              <w:jc w:val="left"/>
              <w:rPr>
                <w:sz w:val="18"/>
                <w:szCs w:val="18"/>
              </w:rPr>
            </w:pPr>
            <w:r>
              <w:rPr>
                <w:color w:val="000000"/>
                <w:sz w:val="18"/>
                <w:szCs w:val="18"/>
              </w:rPr>
              <w:t>-0.4</w:t>
            </w:r>
          </w:p>
        </w:tc>
      </w:tr>
      <w:tr w:rsidR="000D16FD" w:rsidRPr="005B0949" w14:paraId="61C11F79" w14:textId="77777777" w:rsidTr="0067781C">
        <w:trPr>
          <w:cantSplit/>
          <w:trHeight w:val="20"/>
          <w:jc w:val="center"/>
        </w:trPr>
        <w:tc>
          <w:tcPr>
            <w:tcW w:w="3364" w:type="pct"/>
            <w:tcBorders>
              <w:left w:val="single" w:sz="6" w:space="0" w:color="404040"/>
              <w:right w:val="single" w:sz="6" w:space="0" w:color="404040"/>
            </w:tcBorders>
            <w:vAlign w:val="bottom"/>
          </w:tcPr>
          <w:p w14:paraId="563BD6BD" w14:textId="77777777" w:rsidR="000D16FD" w:rsidRPr="005B0949" w:rsidRDefault="000D16FD" w:rsidP="0067781C">
            <w:pPr>
              <w:widowControl w:val="0"/>
              <w:spacing w:before="20" w:after="20"/>
              <w:ind w:left="133"/>
              <w:rPr>
                <w:sz w:val="18"/>
                <w:szCs w:val="18"/>
              </w:rPr>
            </w:pPr>
            <w:r w:rsidRPr="005B0949">
              <w:rPr>
                <w:sz w:val="18"/>
                <w:szCs w:val="18"/>
              </w:rPr>
              <w:t>Equipo de transporte</w:t>
            </w:r>
          </w:p>
        </w:tc>
        <w:tc>
          <w:tcPr>
            <w:tcW w:w="505" w:type="pct"/>
            <w:vAlign w:val="center"/>
          </w:tcPr>
          <w:p w14:paraId="50A9E45B" w14:textId="77777777" w:rsidR="000D16FD" w:rsidRPr="000E7D75" w:rsidRDefault="000D16FD" w:rsidP="0067781C">
            <w:pPr>
              <w:tabs>
                <w:tab w:val="decimal" w:pos="414"/>
              </w:tabs>
              <w:jc w:val="left"/>
              <w:rPr>
                <w:color w:val="000000"/>
                <w:sz w:val="18"/>
                <w:szCs w:val="18"/>
              </w:rPr>
            </w:pPr>
            <w:r>
              <w:rPr>
                <w:sz w:val="18"/>
                <w:szCs w:val="18"/>
              </w:rPr>
              <w:t>48.5</w:t>
            </w:r>
          </w:p>
        </w:tc>
        <w:tc>
          <w:tcPr>
            <w:tcW w:w="505" w:type="pct"/>
            <w:tcBorders>
              <w:right w:val="single" w:sz="6" w:space="0" w:color="404040"/>
            </w:tcBorders>
            <w:vAlign w:val="center"/>
          </w:tcPr>
          <w:p w14:paraId="20AA4CC7" w14:textId="77777777" w:rsidR="000D16FD" w:rsidRPr="000E7D75" w:rsidRDefault="000D16FD" w:rsidP="0067781C">
            <w:pPr>
              <w:tabs>
                <w:tab w:val="decimal" w:pos="368"/>
              </w:tabs>
              <w:jc w:val="left"/>
              <w:rPr>
                <w:color w:val="000000"/>
                <w:sz w:val="18"/>
                <w:szCs w:val="18"/>
              </w:rPr>
            </w:pPr>
            <w:r>
              <w:rPr>
                <w:sz w:val="18"/>
                <w:szCs w:val="18"/>
              </w:rPr>
              <w:t>44.8</w:t>
            </w:r>
          </w:p>
        </w:tc>
        <w:tc>
          <w:tcPr>
            <w:tcW w:w="625" w:type="pct"/>
            <w:tcBorders>
              <w:right w:val="single" w:sz="6" w:space="0" w:color="404040"/>
            </w:tcBorders>
            <w:vAlign w:val="center"/>
          </w:tcPr>
          <w:p w14:paraId="40504057" w14:textId="77777777" w:rsidR="000D16FD" w:rsidRPr="000E7D75" w:rsidRDefault="000D16FD" w:rsidP="0067781C">
            <w:pPr>
              <w:tabs>
                <w:tab w:val="decimal" w:pos="483"/>
              </w:tabs>
              <w:jc w:val="left"/>
              <w:rPr>
                <w:sz w:val="18"/>
                <w:szCs w:val="18"/>
              </w:rPr>
            </w:pPr>
            <w:r>
              <w:rPr>
                <w:color w:val="000000"/>
                <w:sz w:val="18"/>
                <w:szCs w:val="18"/>
              </w:rPr>
              <w:t>-3.7</w:t>
            </w:r>
          </w:p>
        </w:tc>
      </w:tr>
      <w:tr w:rsidR="000D16FD" w:rsidRPr="005B0949" w14:paraId="3F81A381" w14:textId="77777777" w:rsidTr="0067781C">
        <w:trPr>
          <w:cantSplit/>
          <w:trHeight w:val="20"/>
          <w:jc w:val="center"/>
        </w:trPr>
        <w:tc>
          <w:tcPr>
            <w:tcW w:w="3364" w:type="pct"/>
            <w:tcBorders>
              <w:left w:val="single" w:sz="6" w:space="0" w:color="404040"/>
              <w:right w:val="single" w:sz="6" w:space="0" w:color="404040"/>
            </w:tcBorders>
            <w:vAlign w:val="bottom"/>
          </w:tcPr>
          <w:p w14:paraId="48E144F1" w14:textId="77777777" w:rsidR="000D16FD" w:rsidRPr="005B0949" w:rsidRDefault="000D16FD" w:rsidP="0067781C">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051E9F2E" w14:textId="77777777" w:rsidR="000D16FD" w:rsidRPr="000E7D75" w:rsidRDefault="000D16FD" w:rsidP="0067781C">
            <w:pPr>
              <w:tabs>
                <w:tab w:val="decimal" w:pos="414"/>
              </w:tabs>
              <w:jc w:val="left"/>
              <w:rPr>
                <w:color w:val="000000"/>
                <w:sz w:val="18"/>
                <w:szCs w:val="18"/>
              </w:rPr>
            </w:pPr>
            <w:r>
              <w:rPr>
                <w:sz w:val="18"/>
                <w:szCs w:val="18"/>
              </w:rPr>
              <w:t>52.1</w:t>
            </w:r>
          </w:p>
        </w:tc>
        <w:tc>
          <w:tcPr>
            <w:tcW w:w="505" w:type="pct"/>
            <w:tcBorders>
              <w:right w:val="single" w:sz="6" w:space="0" w:color="404040"/>
            </w:tcBorders>
            <w:vAlign w:val="center"/>
          </w:tcPr>
          <w:p w14:paraId="02CD6216" w14:textId="77777777" w:rsidR="000D16FD" w:rsidRPr="000E7D75" w:rsidRDefault="000D16FD" w:rsidP="0067781C">
            <w:pPr>
              <w:tabs>
                <w:tab w:val="decimal" w:pos="368"/>
              </w:tabs>
              <w:jc w:val="left"/>
              <w:rPr>
                <w:color w:val="000000"/>
                <w:sz w:val="18"/>
                <w:szCs w:val="18"/>
              </w:rPr>
            </w:pPr>
            <w:r>
              <w:rPr>
                <w:sz w:val="18"/>
                <w:szCs w:val="18"/>
              </w:rPr>
              <w:t>52.2</w:t>
            </w:r>
          </w:p>
        </w:tc>
        <w:tc>
          <w:tcPr>
            <w:tcW w:w="625" w:type="pct"/>
            <w:tcBorders>
              <w:right w:val="single" w:sz="6" w:space="0" w:color="404040"/>
            </w:tcBorders>
            <w:vAlign w:val="center"/>
          </w:tcPr>
          <w:p w14:paraId="1C388637" w14:textId="77777777" w:rsidR="000D16FD" w:rsidRPr="000E7D75" w:rsidRDefault="000D16FD" w:rsidP="0067781C">
            <w:pPr>
              <w:tabs>
                <w:tab w:val="decimal" w:pos="483"/>
              </w:tabs>
              <w:jc w:val="left"/>
              <w:rPr>
                <w:sz w:val="18"/>
                <w:szCs w:val="18"/>
              </w:rPr>
            </w:pPr>
            <w:r>
              <w:rPr>
                <w:color w:val="000000"/>
                <w:sz w:val="18"/>
                <w:szCs w:val="18"/>
              </w:rPr>
              <w:t>0.1</w:t>
            </w:r>
          </w:p>
        </w:tc>
      </w:tr>
      <w:tr w:rsidR="000D16FD" w:rsidRPr="005B0949" w14:paraId="05009735" w14:textId="77777777" w:rsidTr="0067781C">
        <w:trPr>
          <w:cantSplit/>
          <w:trHeight w:val="20"/>
          <w:jc w:val="center"/>
        </w:trPr>
        <w:tc>
          <w:tcPr>
            <w:tcW w:w="3364" w:type="pct"/>
            <w:tcBorders>
              <w:left w:val="single" w:sz="6" w:space="0" w:color="404040"/>
              <w:bottom w:val="single" w:sz="6" w:space="0" w:color="404040"/>
              <w:right w:val="single" w:sz="6" w:space="0" w:color="404040"/>
            </w:tcBorders>
            <w:vAlign w:val="bottom"/>
          </w:tcPr>
          <w:p w14:paraId="6B6A6D31" w14:textId="77777777" w:rsidR="000D16FD" w:rsidRPr="005B0949" w:rsidRDefault="000D16FD" w:rsidP="0067781C">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6CEBEF21" w14:textId="77777777" w:rsidR="000D16FD" w:rsidRPr="000E7D75" w:rsidRDefault="000D16FD" w:rsidP="0067781C">
            <w:pPr>
              <w:tabs>
                <w:tab w:val="decimal" w:pos="414"/>
              </w:tabs>
              <w:jc w:val="left"/>
              <w:rPr>
                <w:color w:val="000000"/>
                <w:sz w:val="18"/>
                <w:szCs w:val="18"/>
              </w:rPr>
            </w:pPr>
            <w:r>
              <w:rPr>
                <w:sz w:val="18"/>
                <w:szCs w:val="18"/>
              </w:rPr>
              <w:t>49.6</w:t>
            </w:r>
          </w:p>
        </w:tc>
        <w:tc>
          <w:tcPr>
            <w:tcW w:w="505" w:type="pct"/>
            <w:tcBorders>
              <w:bottom w:val="single" w:sz="6" w:space="0" w:color="404040"/>
              <w:right w:val="single" w:sz="6" w:space="0" w:color="404040"/>
            </w:tcBorders>
            <w:vAlign w:val="center"/>
          </w:tcPr>
          <w:p w14:paraId="3241A86B" w14:textId="77777777" w:rsidR="000D16FD" w:rsidRPr="000E7D75" w:rsidRDefault="000D16FD" w:rsidP="0067781C">
            <w:pPr>
              <w:tabs>
                <w:tab w:val="decimal" w:pos="368"/>
              </w:tabs>
              <w:jc w:val="left"/>
              <w:rPr>
                <w:color w:val="000000"/>
                <w:sz w:val="18"/>
                <w:szCs w:val="18"/>
              </w:rPr>
            </w:pPr>
            <w:r>
              <w:rPr>
                <w:sz w:val="18"/>
                <w:szCs w:val="18"/>
              </w:rPr>
              <w:t>50.1</w:t>
            </w:r>
          </w:p>
        </w:tc>
        <w:tc>
          <w:tcPr>
            <w:tcW w:w="625" w:type="pct"/>
            <w:tcBorders>
              <w:bottom w:val="single" w:sz="6" w:space="0" w:color="404040"/>
              <w:right w:val="single" w:sz="6" w:space="0" w:color="404040"/>
            </w:tcBorders>
            <w:vAlign w:val="center"/>
          </w:tcPr>
          <w:p w14:paraId="1BE6EC36" w14:textId="77777777" w:rsidR="000D16FD" w:rsidRPr="000E7D75" w:rsidRDefault="000D16FD" w:rsidP="0067781C">
            <w:pPr>
              <w:tabs>
                <w:tab w:val="decimal" w:pos="483"/>
              </w:tabs>
              <w:jc w:val="left"/>
              <w:rPr>
                <w:sz w:val="18"/>
                <w:szCs w:val="18"/>
              </w:rPr>
            </w:pPr>
            <w:r>
              <w:rPr>
                <w:color w:val="000000"/>
                <w:sz w:val="18"/>
                <w:szCs w:val="18"/>
              </w:rPr>
              <w:t>0.5</w:t>
            </w:r>
          </w:p>
        </w:tc>
      </w:tr>
    </w:tbl>
    <w:p w14:paraId="02B57997" w14:textId="77777777" w:rsidR="000D16FD" w:rsidRPr="005B0949" w:rsidRDefault="000D16FD" w:rsidP="000D16FD">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7064537" w14:textId="77777777" w:rsidR="000D16FD" w:rsidRPr="005B0949" w:rsidRDefault="000D16FD" w:rsidP="000D16FD">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1699FAAB" w14:textId="77777777" w:rsidR="000D16FD" w:rsidRPr="005B0949" w:rsidRDefault="000D16FD" w:rsidP="000D16FD">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2C32389F" w14:textId="77777777" w:rsidR="000D16FD" w:rsidRPr="005B0949" w:rsidRDefault="000D16FD" w:rsidP="000D16FD">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1DB2F36F" w14:textId="77777777" w:rsidR="000D16FD" w:rsidRDefault="000D16FD" w:rsidP="000D16FD">
      <w:pPr>
        <w:ind w:left="-284" w:right="-547"/>
        <w:jc w:val="center"/>
        <w:rPr>
          <w:b/>
          <w:color w:val="000000"/>
        </w:rPr>
      </w:pPr>
    </w:p>
    <w:p w14:paraId="7531A5FA" w14:textId="77777777" w:rsidR="000D16FD" w:rsidRPr="00DF03BB" w:rsidRDefault="000D16FD" w:rsidP="000D16FD">
      <w:pPr>
        <w:spacing w:before="240"/>
        <w:ind w:right="49"/>
        <w:rPr>
          <w:snapToGrid w:val="0"/>
          <w:color w:val="000000" w:themeColor="text1"/>
          <w:spacing w:val="4"/>
          <w:bdr w:val="none" w:sz="0" w:space="0" w:color="auto" w:frame="1"/>
        </w:rPr>
      </w:pPr>
      <w:r w:rsidRPr="00DF03BB">
        <w:rPr>
          <w:snapToGrid w:val="0"/>
          <w:color w:val="000000" w:themeColor="text1"/>
          <w:spacing w:val="4"/>
          <w:bdr w:val="none" w:sz="0" w:space="0" w:color="auto" w:frame="1"/>
          <w:lang w:val="es-MX"/>
        </w:rPr>
        <w:t>Por grupos de subsectores de actividad económica, en el cuarto mes de 2022 y con cifras sin desestacionalizar, tres de los siete rubros que integran el IPM reportaron avances anuales y los restantes cuatro cayeron</w:t>
      </w:r>
      <w:r w:rsidRPr="00DF03BB">
        <w:rPr>
          <w:snapToGrid w:val="0"/>
          <w:color w:val="000000" w:themeColor="text1"/>
          <w:spacing w:val="4"/>
          <w:bdr w:val="none" w:sz="0" w:space="0" w:color="auto" w:frame="1"/>
        </w:rPr>
        <w:t>.</w:t>
      </w:r>
    </w:p>
    <w:p w14:paraId="0CB9564E" w14:textId="77777777" w:rsidR="000D16FD" w:rsidRPr="00DF03BB" w:rsidRDefault="000D16FD" w:rsidP="000D16FD">
      <w:pPr>
        <w:spacing w:before="360"/>
      </w:pPr>
    </w:p>
    <w:p w14:paraId="3D30AE8D" w14:textId="77777777" w:rsidR="000D16FD" w:rsidRPr="00DF03BB" w:rsidRDefault="000D16FD" w:rsidP="000D16FD">
      <w:pPr>
        <w:widowControl w:val="0"/>
        <w:tabs>
          <w:tab w:val="left" w:pos="9432"/>
        </w:tabs>
        <w:spacing w:before="240"/>
        <w:rPr>
          <w:b/>
          <w:i/>
          <w:smallCaps/>
        </w:rPr>
      </w:pPr>
      <w:r w:rsidRPr="00DF03BB">
        <w:rPr>
          <w:b/>
          <w:i/>
          <w:smallCaps/>
        </w:rPr>
        <w:t>Nota al usuario</w:t>
      </w:r>
    </w:p>
    <w:p w14:paraId="0FA52441" w14:textId="77777777" w:rsidR="000D16FD" w:rsidRPr="00E5424C" w:rsidRDefault="000D16FD" w:rsidP="000D16FD">
      <w:pPr>
        <w:spacing w:before="240"/>
      </w:pPr>
      <w:r w:rsidRPr="001D03EF">
        <w:rPr>
          <w:spacing w:val="-2"/>
        </w:rPr>
        <w:t>La tasa de no respuesta de la Encuesta Mensual de Opinión Empresarial, correspondiente</w:t>
      </w:r>
      <w:r w:rsidRPr="002246E2">
        <w:t xml:space="preserve"> a</w:t>
      </w:r>
      <w:r>
        <w:t>l mes de abril</w:t>
      </w:r>
      <w:r w:rsidRPr="002246E2">
        <w:t xml:space="preserve"> de </w:t>
      </w:r>
      <w:r>
        <w:t>2022,</w:t>
      </w:r>
      <w:r w:rsidRPr="002246E2">
        <w:t xml:space="preserve"> registró porcentajes apropiados conforme al diseño estadístico de la encuesta, lo que permitió la generación de estadísticas con niveles adecuados de precisión</w:t>
      </w:r>
      <w:r>
        <w:t xml:space="preserve"> </w:t>
      </w:r>
      <w:r w:rsidRPr="0014427E">
        <w:t xml:space="preserve">en todos los grupos de subsectores de actividad </w:t>
      </w:r>
      <w:r w:rsidRPr="00996EC1">
        <w:t>de la industria manufacturera</w:t>
      </w:r>
      <w:r>
        <w:t>.</w:t>
      </w:r>
    </w:p>
    <w:p w14:paraId="4D6C7A99" w14:textId="77777777" w:rsidR="000D16FD" w:rsidRDefault="000D16FD" w:rsidP="000D16FD">
      <w:pPr>
        <w:widowControl w:val="0"/>
        <w:tabs>
          <w:tab w:val="left" w:pos="9432"/>
        </w:tabs>
        <w:spacing w:before="120"/>
        <w:rPr>
          <w:b/>
          <w:i/>
          <w:smallCaps/>
        </w:rPr>
      </w:pPr>
    </w:p>
    <w:p w14:paraId="55A82722" w14:textId="77777777" w:rsidR="000D16FD" w:rsidRDefault="000D16FD" w:rsidP="000D16FD">
      <w:pPr>
        <w:pStyle w:val="NormalWeb"/>
        <w:spacing w:before="360" w:beforeAutospacing="0" w:after="0" w:afterAutospacing="0"/>
        <w:ind w:left="-426" w:right="-518"/>
        <w:contextualSpacing/>
        <w:jc w:val="center"/>
        <w:rPr>
          <w:rFonts w:ascii="Arial" w:hAnsi="Arial" w:cs="Arial"/>
          <w:sz w:val="22"/>
          <w:szCs w:val="22"/>
        </w:rPr>
      </w:pPr>
    </w:p>
    <w:p w14:paraId="2EF21E3E" w14:textId="77777777" w:rsidR="000D16FD" w:rsidRPr="00DF03BB" w:rsidRDefault="000D16FD" w:rsidP="000D16FD">
      <w:pPr>
        <w:pStyle w:val="NormalWeb"/>
        <w:spacing w:before="36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Para consultas de medios y periodistas, contactar a: </w:t>
      </w:r>
      <w:hyperlink r:id="rId9" w:history="1">
        <w:r w:rsidRPr="00DF03BB">
          <w:rPr>
            <w:rStyle w:val="Hipervnculo"/>
            <w:rFonts w:ascii="Arial" w:hAnsi="Arial" w:cs="Arial"/>
            <w:sz w:val="22"/>
            <w:szCs w:val="22"/>
          </w:rPr>
          <w:t>comunicacionsocial@inegi.org.mx</w:t>
        </w:r>
      </w:hyperlink>
      <w:r w:rsidRPr="00DF03BB">
        <w:rPr>
          <w:rFonts w:ascii="Arial" w:hAnsi="Arial" w:cs="Arial"/>
          <w:sz w:val="22"/>
          <w:szCs w:val="22"/>
        </w:rPr>
        <w:t xml:space="preserve"> </w:t>
      </w:r>
    </w:p>
    <w:p w14:paraId="197EF0AA" w14:textId="77777777" w:rsidR="000D16FD" w:rsidRPr="00DF03BB" w:rsidRDefault="000D16FD" w:rsidP="000D16FD">
      <w:pPr>
        <w:pStyle w:val="NormalWeb"/>
        <w:spacing w:before="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o llamar al teléfono (55) 52-78-10-00, </w:t>
      </w:r>
      <w:proofErr w:type="spellStart"/>
      <w:r w:rsidRPr="00DF03BB">
        <w:rPr>
          <w:rFonts w:ascii="Arial" w:hAnsi="Arial" w:cs="Arial"/>
          <w:sz w:val="22"/>
          <w:szCs w:val="22"/>
        </w:rPr>
        <w:t>exts</w:t>
      </w:r>
      <w:proofErr w:type="spellEnd"/>
      <w:r w:rsidRPr="00DF03BB">
        <w:rPr>
          <w:rFonts w:ascii="Arial" w:hAnsi="Arial" w:cs="Arial"/>
          <w:sz w:val="22"/>
          <w:szCs w:val="22"/>
        </w:rPr>
        <w:t>. 1134, 1260 y 1241.</w:t>
      </w:r>
    </w:p>
    <w:p w14:paraId="35E36FD1" w14:textId="77777777" w:rsidR="000D16FD" w:rsidRPr="00DF03BB" w:rsidRDefault="000D16FD" w:rsidP="000D16FD">
      <w:pPr>
        <w:ind w:left="-426" w:right="-518"/>
        <w:contextualSpacing/>
        <w:jc w:val="center"/>
        <w:rPr>
          <w:sz w:val="22"/>
          <w:szCs w:val="22"/>
        </w:rPr>
      </w:pPr>
    </w:p>
    <w:p w14:paraId="71457865" w14:textId="77777777" w:rsidR="000D16FD" w:rsidRPr="00DF03BB" w:rsidRDefault="000D16FD" w:rsidP="000D16FD">
      <w:pPr>
        <w:ind w:left="-426" w:right="-518"/>
        <w:contextualSpacing/>
        <w:jc w:val="center"/>
        <w:rPr>
          <w:sz w:val="22"/>
          <w:szCs w:val="22"/>
        </w:rPr>
      </w:pPr>
      <w:r w:rsidRPr="00DF03BB">
        <w:rPr>
          <w:sz w:val="22"/>
          <w:szCs w:val="22"/>
        </w:rPr>
        <w:t xml:space="preserve">Dirección de Atención a Medios / Dirección General Adjunta de Comunicación </w:t>
      </w:r>
    </w:p>
    <w:p w14:paraId="1128A1DF" w14:textId="77777777" w:rsidR="000D16FD" w:rsidRPr="00DF03BB" w:rsidRDefault="000D16FD" w:rsidP="000D16FD">
      <w:pPr>
        <w:ind w:left="-426" w:right="-518"/>
        <w:contextualSpacing/>
        <w:jc w:val="center"/>
        <w:rPr>
          <w:sz w:val="22"/>
          <w:szCs w:val="22"/>
        </w:rPr>
      </w:pPr>
    </w:p>
    <w:p w14:paraId="5ED6A022" w14:textId="77777777" w:rsidR="000D16FD" w:rsidRDefault="000D16FD" w:rsidP="000D16FD">
      <w:pPr>
        <w:ind w:left="-425" w:right="-516"/>
        <w:contextualSpacing/>
        <w:jc w:val="center"/>
      </w:pPr>
      <w:r w:rsidRPr="00FF1218">
        <w:rPr>
          <w:noProof/>
          <w:lang w:val="es-MX" w:eastAsia="es-MX"/>
        </w:rPr>
        <w:drawing>
          <wp:inline distT="0" distB="0" distL="0" distR="0" wp14:anchorId="068EF06A" wp14:editId="34A9BE58">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F7F368" wp14:editId="3941DAE3">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E7704EB" wp14:editId="270465AB">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BD10BC" wp14:editId="6637DE4D">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858204B" wp14:editId="37DB9B70">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CA1410" w14:textId="77777777" w:rsidR="000D16FD" w:rsidRDefault="000D16FD" w:rsidP="000D16FD">
      <w:pPr>
        <w:ind w:left="-567"/>
        <w:jc w:val="center"/>
        <w:rPr>
          <w:noProof/>
          <w:lang w:eastAsia="es-MX"/>
        </w:rPr>
        <w:sectPr w:rsidR="000D16FD" w:rsidSect="00754472">
          <w:headerReference w:type="even" r:id="rId20"/>
          <w:headerReference w:type="default" r:id="rId21"/>
          <w:footerReference w:type="even" r:id="rId22"/>
          <w:footerReference w:type="default" r:id="rId23"/>
          <w:headerReference w:type="first" r:id="rId24"/>
          <w:footerReference w:type="first" r:id="rId25"/>
          <w:pgSz w:w="12240" w:h="15840"/>
          <w:pgMar w:top="1418" w:right="1134" w:bottom="1276" w:left="1134" w:header="709" w:footer="709" w:gutter="0"/>
          <w:cols w:space="708"/>
          <w:docGrid w:linePitch="360"/>
        </w:sectPr>
      </w:pPr>
    </w:p>
    <w:p w14:paraId="6570903D" w14:textId="77777777" w:rsidR="000D16FD" w:rsidRPr="002A470D" w:rsidRDefault="000D16FD" w:rsidP="000D16FD">
      <w:pPr>
        <w:pStyle w:val="Profesin"/>
        <w:spacing w:before="100" w:beforeAutospacing="1"/>
        <w:outlineLvl w:val="0"/>
        <w:rPr>
          <w:sz w:val="24"/>
          <w:szCs w:val="24"/>
          <w:lang w:val="es-MX"/>
        </w:rPr>
      </w:pPr>
      <w:r w:rsidRPr="002A470D">
        <w:rPr>
          <w:sz w:val="24"/>
          <w:szCs w:val="24"/>
          <w:lang w:val="es-MX"/>
        </w:rPr>
        <w:lastRenderedPageBreak/>
        <w:t>ANEXO</w:t>
      </w:r>
    </w:p>
    <w:p w14:paraId="2A5A59B1" w14:textId="77777777" w:rsidR="000D16FD" w:rsidRPr="002A470D" w:rsidRDefault="000D16FD" w:rsidP="00FE2AE4">
      <w:pPr>
        <w:pStyle w:val="Profesin"/>
        <w:spacing w:before="240"/>
        <w:outlineLvl w:val="0"/>
        <w:rPr>
          <w:sz w:val="24"/>
          <w:szCs w:val="24"/>
          <w:lang w:val="es-MX"/>
        </w:rPr>
      </w:pPr>
      <w:r w:rsidRPr="002A470D">
        <w:rPr>
          <w:sz w:val="24"/>
          <w:szCs w:val="24"/>
          <w:lang w:val="es-MX"/>
        </w:rPr>
        <w:t>Nota técnica</w:t>
      </w:r>
    </w:p>
    <w:p w14:paraId="5D5D0D96" w14:textId="06551934" w:rsidR="000A7D02" w:rsidRPr="00E8398E" w:rsidRDefault="00B81C09" w:rsidP="00ED5D88">
      <w:pPr>
        <w:pStyle w:val="p0"/>
        <w:keepNext/>
        <w:rPr>
          <w:rFonts w:ascii="Arial" w:hAnsi="Arial"/>
          <w:snapToGrid/>
          <w:color w:val="auto"/>
          <w:lang w:val="es-MX"/>
        </w:rPr>
      </w:pPr>
      <w:r w:rsidRPr="00B81C09">
        <w:rPr>
          <w:rFonts w:ascii="Arial" w:hAnsi="Arial"/>
          <w:snapToGrid/>
          <w:color w:val="auto"/>
          <w:lang w:val="es-MX"/>
        </w:rPr>
        <w:t xml:space="preserve">El Instituto Nacional de Estadística y Geografía (INEGI) y el Banco de México informan los resultados del Indicador de Pedidos Manufactureros (IPM) de </w:t>
      </w:r>
      <w:r w:rsidR="003B0BA1">
        <w:rPr>
          <w:rFonts w:ascii="Arial" w:hAnsi="Arial"/>
          <w:snapToGrid/>
          <w:color w:val="auto"/>
          <w:lang w:val="es-MX"/>
        </w:rPr>
        <w:t>abril</w:t>
      </w:r>
      <w:r w:rsidRPr="00B81C09">
        <w:rPr>
          <w:rFonts w:ascii="Arial" w:hAnsi="Arial"/>
          <w:snapToGrid/>
          <w:color w:val="auto"/>
          <w:lang w:val="es-MX"/>
        </w:rPr>
        <w:t xml:space="preserve"> de 2022. El IPM se elabora considerando las expectativas de los directivos empresariales de dicho sector que capta la Encuesta Mensual de Opinión Empresarial (EMOE) para las siguientes variables: </w:t>
      </w:r>
      <w:r w:rsidR="000D7439">
        <w:rPr>
          <w:rFonts w:ascii="Arial" w:hAnsi="Arial"/>
          <w:snapToGrid/>
          <w:color w:val="auto"/>
          <w:lang w:val="es-MX"/>
        </w:rPr>
        <w:t>p</w:t>
      </w:r>
      <w:r w:rsidR="000D7439" w:rsidRPr="00DC158A">
        <w:rPr>
          <w:rFonts w:ascii="Arial" w:hAnsi="Arial"/>
          <w:snapToGrid/>
          <w:color w:val="auto"/>
          <w:lang w:val="es-MX"/>
        </w:rPr>
        <w:t xml:space="preserve">edidos, </w:t>
      </w:r>
      <w:r w:rsidR="000D7439">
        <w:rPr>
          <w:rFonts w:ascii="Arial" w:hAnsi="Arial"/>
          <w:snapToGrid/>
          <w:color w:val="auto"/>
          <w:lang w:val="es-MX"/>
        </w:rPr>
        <w:t>p</w:t>
      </w:r>
      <w:r w:rsidR="000D7439" w:rsidRPr="00DC158A">
        <w:rPr>
          <w:rFonts w:ascii="Arial" w:hAnsi="Arial"/>
          <w:snapToGrid/>
          <w:color w:val="auto"/>
          <w:lang w:val="es-MX"/>
        </w:rPr>
        <w:t xml:space="preserve">roducción, </w:t>
      </w:r>
      <w:r w:rsidR="000D7439">
        <w:rPr>
          <w:rFonts w:ascii="Arial" w:hAnsi="Arial"/>
          <w:snapToGrid/>
          <w:color w:val="auto"/>
          <w:lang w:val="es-MX"/>
        </w:rPr>
        <w:t>p</w:t>
      </w:r>
      <w:r w:rsidR="000D7439" w:rsidRPr="00DC158A">
        <w:rPr>
          <w:rFonts w:ascii="Arial" w:hAnsi="Arial"/>
          <w:snapToGrid/>
          <w:color w:val="auto"/>
          <w:lang w:val="es-MX"/>
        </w:rPr>
        <w:t xml:space="preserve">ersonal </w:t>
      </w:r>
      <w:r w:rsidR="000D7439">
        <w:rPr>
          <w:rFonts w:ascii="Arial" w:hAnsi="Arial"/>
          <w:snapToGrid/>
          <w:color w:val="auto"/>
          <w:lang w:val="es-MX"/>
        </w:rPr>
        <w:t>o</w:t>
      </w:r>
      <w:r w:rsidR="000D7439" w:rsidRPr="00DC158A">
        <w:rPr>
          <w:rFonts w:ascii="Arial" w:hAnsi="Arial"/>
          <w:snapToGrid/>
          <w:color w:val="auto"/>
          <w:lang w:val="es-MX"/>
        </w:rPr>
        <w:t xml:space="preserve">cupado, </w:t>
      </w:r>
      <w:r w:rsidR="000D7439">
        <w:rPr>
          <w:rFonts w:ascii="Arial" w:hAnsi="Arial"/>
          <w:snapToGrid/>
          <w:color w:val="auto"/>
          <w:lang w:val="es-MX"/>
        </w:rPr>
        <w:t>o</w:t>
      </w:r>
      <w:r w:rsidR="000D7439" w:rsidRPr="00DC158A">
        <w:rPr>
          <w:rFonts w:ascii="Arial" w:hAnsi="Arial"/>
          <w:snapToGrid/>
          <w:color w:val="auto"/>
          <w:lang w:val="es-MX"/>
        </w:rPr>
        <w:t xml:space="preserve">portunidad en la </w:t>
      </w:r>
      <w:r w:rsidR="000D7439">
        <w:rPr>
          <w:rFonts w:ascii="Arial" w:hAnsi="Arial"/>
          <w:snapToGrid/>
          <w:color w:val="auto"/>
          <w:lang w:val="es-MX"/>
        </w:rPr>
        <w:t>e</w:t>
      </w:r>
      <w:r w:rsidR="000D7439" w:rsidRPr="00DC158A">
        <w:rPr>
          <w:rFonts w:ascii="Arial" w:hAnsi="Arial"/>
          <w:snapToGrid/>
          <w:color w:val="auto"/>
          <w:lang w:val="es-MX"/>
        </w:rPr>
        <w:t xml:space="preserve">ntrega de </w:t>
      </w:r>
      <w:r w:rsidR="000D7439">
        <w:rPr>
          <w:rFonts w:ascii="Arial" w:hAnsi="Arial"/>
          <w:snapToGrid/>
          <w:color w:val="auto"/>
          <w:lang w:val="es-MX"/>
        </w:rPr>
        <w:t>i</w:t>
      </w:r>
      <w:r w:rsidR="000D7439" w:rsidRPr="00DC158A">
        <w:rPr>
          <w:rFonts w:ascii="Arial" w:hAnsi="Arial"/>
          <w:snapToGrid/>
          <w:color w:val="auto"/>
          <w:lang w:val="es-MX"/>
        </w:rPr>
        <w:t xml:space="preserve">nsumos por parte de los </w:t>
      </w:r>
      <w:r w:rsidR="000D7439">
        <w:rPr>
          <w:rFonts w:ascii="Arial" w:hAnsi="Arial"/>
          <w:snapToGrid/>
          <w:color w:val="auto"/>
          <w:lang w:val="es-MX"/>
        </w:rPr>
        <w:t>p</w:t>
      </w:r>
      <w:r w:rsidR="000D7439" w:rsidRPr="00DC158A">
        <w:rPr>
          <w:rFonts w:ascii="Arial" w:hAnsi="Arial"/>
          <w:snapToGrid/>
          <w:color w:val="auto"/>
          <w:lang w:val="es-MX"/>
        </w:rPr>
        <w:t xml:space="preserve">roveedores e </w:t>
      </w:r>
      <w:r w:rsidR="000D7439">
        <w:rPr>
          <w:rFonts w:ascii="Arial" w:hAnsi="Arial"/>
          <w:snapToGrid/>
          <w:color w:val="auto"/>
          <w:lang w:val="es-MX"/>
        </w:rPr>
        <w:t>i</w:t>
      </w:r>
      <w:r w:rsidR="000D7439" w:rsidRPr="00DC158A">
        <w:rPr>
          <w:rFonts w:ascii="Arial" w:hAnsi="Arial"/>
          <w:snapToGrid/>
          <w:color w:val="auto"/>
          <w:lang w:val="es-MX"/>
        </w:rPr>
        <w:t xml:space="preserve">nventarios de </w:t>
      </w:r>
      <w:r w:rsidR="000D7439">
        <w:rPr>
          <w:rFonts w:ascii="Arial" w:hAnsi="Arial"/>
          <w:snapToGrid/>
          <w:color w:val="auto"/>
          <w:lang w:val="es-MX"/>
        </w:rPr>
        <w:t>i</w:t>
      </w:r>
      <w:r w:rsidR="000D7439" w:rsidRPr="00DC158A">
        <w:rPr>
          <w:rFonts w:ascii="Arial" w:hAnsi="Arial"/>
          <w:snapToGrid/>
          <w:color w:val="auto"/>
          <w:lang w:val="es-MX"/>
        </w:rPr>
        <w:t>nsumos.</w:t>
      </w:r>
    </w:p>
    <w:p w14:paraId="655860B4" w14:textId="7A57FDF6" w:rsidR="00E379BD" w:rsidRPr="007F632F" w:rsidRDefault="00E379BD" w:rsidP="00ED5D88">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ED5D88">
      <w:pPr>
        <w:keepNext/>
        <w:keepLines/>
        <w:widowControl w:val="0"/>
        <w:spacing w:before="480"/>
        <w:ind w:left="284"/>
        <w:rPr>
          <w:b/>
          <w:i/>
        </w:rPr>
      </w:pPr>
      <w:r w:rsidRPr="007F632F">
        <w:rPr>
          <w:b/>
          <w:i/>
        </w:rPr>
        <w:t>Indicador de Pedidos Manufactureros por componentes</w:t>
      </w:r>
    </w:p>
    <w:p w14:paraId="6DA9D286" w14:textId="13D15EF5" w:rsidR="001C61B8" w:rsidRPr="00E8398E" w:rsidRDefault="003D1A04" w:rsidP="00E01C56">
      <w:pPr>
        <w:spacing w:before="480"/>
        <w:rPr>
          <w:lang w:val="es-MX"/>
        </w:rPr>
      </w:pPr>
      <w:r w:rsidRPr="003D1A04">
        <w:rPr>
          <w:lang w:val="es-MX"/>
        </w:rPr>
        <w:t xml:space="preserve">En </w:t>
      </w:r>
      <w:r w:rsidR="00214D23">
        <w:rPr>
          <w:lang w:val="es-MX"/>
        </w:rPr>
        <w:t>abril de 2022</w:t>
      </w:r>
      <w:r w:rsidRPr="003D1A04">
        <w:rPr>
          <w:lang w:val="es-MX"/>
        </w:rPr>
        <w:t xml:space="preserve">, el IPM registró una disminución mensual de 0.51 puntos y se situó en 53.4 puntos, hilando </w:t>
      </w:r>
      <w:r w:rsidR="00214D23">
        <w:rPr>
          <w:lang w:val="es-MX"/>
        </w:rPr>
        <w:t xml:space="preserve">19 </w:t>
      </w:r>
      <w:r w:rsidRPr="003D1A04">
        <w:rPr>
          <w:lang w:val="es-MX"/>
        </w:rPr>
        <w:t>meses consecutivos sobre el umbral de 50 puntos</w:t>
      </w:r>
      <w:r w:rsidR="00B81C09" w:rsidRPr="00B81C09">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0AF59692" w:rsidR="00537DFB" w:rsidRPr="005B0949" w:rsidRDefault="000E44F0" w:rsidP="0019515D">
      <w:pPr>
        <w:widowControl w:val="0"/>
        <w:spacing w:after="10"/>
        <w:jc w:val="center"/>
        <w:outlineLvl w:val="0"/>
        <w:rPr>
          <w:b/>
          <w:bCs/>
          <w:smallCaps/>
          <w:kern w:val="32"/>
        </w:rPr>
      </w:pPr>
      <w:r>
        <w:rPr>
          <w:noProof/>
        </w:rPr>
        <w:drawing>
          <wp:inline distT="0" distB="0" distL="0" distR="0" wp14:anchorId="0A9E0B8D" wp14:editId="6C2DCFA6">
            <wp:extent cx="4351816" cy="2548815"/>
            <wp:effectExtent l="0" t="0" r="10795" b="444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326B8418" w:rsidR="00CF4BCC" w:rsidRPr="00B81C09" w:rsidRDefault="00214D23" w:rsidP="003D1A04">
      <w:pPr>
        <w:keepNext/>
        <w:keepLines/>
        <w:widowControl w:val="0"/>
        <w:tabs>
          <w:tab w:val="left" w:pos="708"/>
          <w:tab w:val="center" w:pos="3348"/>
        </w:tabs>
        <w:spacing w:before="240"/>
      </w:pPr>
      <w:r>
        <w:rPr>
          <w:spacing w:val="4"/>
          <w:lang w:val="es-ES"/>
        </w:rPr>
        <w:lastRenderedPageBreak/>
        <w:t>En abril de 2022 y c</w:t>
      </w:r>
      <w:r w:rsidR="003D1A04" w:rsidRPr="003D1A04">
        <w:rPr>
          <w:spacing w:val="4"/>
          <w:lang w:val="es-ES"/>
        </w:rPr>
        <w:t xml:space="preserve">on datos desestacionalizados, el componente del IPM correspondiente al </w:t>
      </w:r>
      <w:r w:rsidR="003D1A04" w:rsidRPr="003D1A04">
        <w:rPr>
          <w:b/>
          <w:spacing w:val="4"/>
          <w:lang w:val="es-ES"/>
        </w:rPr>
        <w:t>volumen esperado de pedidos</w:t>
      </w:r>
      <w:r w:rsidR="003D1A04" w:rsidRPr="003D1A04">
        <w:rPr>
          <w:spacing w:val="4"/>
          <w:lang w:val="es-ES"/>
        </w:rPr>
        <w:t xml:space="preserve"> presentó un descenso mensual de 0.76 puntos, el del </w:t>
      </w:r>
      <w:r w:rsidR="003D1A04" w:rsidRPr="003D1A04">
        <w:rPr>
          <w:b/>
          <w:spacing w:val="4"/>
          <w:lang w:val="es-ES"/>
        </w:rPr>
        <w:t>volumen esperado de la producción</w:t>
      </w:r>
      <w:r w:rsidR="003D1A04" w:rsidRPr="003D1A04">
        <w:rPr>
          <w:spacing w:val="4"/>
          <w:lang w:val="es-ES"/>
        </w:rPr>
        <w:t xml:space="preserve"> retrocedió 1.35 puntos, el del </w:t>
      </w:r>
      <w:r w:rsidR="003D1A04" w:rsidRPr="003D1A04">
        <w:rPr>
          <w:b/>
          <w:spacing w:val="4"/>
          <w:lang w:val="es-ES"/>
        </w:rPr>
        <w:t>nivel esperado del personal ocupado</w:t>
      </w:r>
      <w:r w:rsidR="003D1A04" w:rsidRPr="003D1A04">
        <w:rPr>
          <w:spacing w:val="4"/>
          <w:lang w:val="es-ES"/>
        </w:rPr>
        <w:t xml:space="preserve"> aumentó 0.23 puntos, el de la </w:t>
      </w:r>
      <w:r w:rsidR="003D1A04" w:rsidRPr="003D1A04">
        <w:rPr>
          <w:b/>
          <w:spacing w:val="4"/>
          <w:lang w:val="es-ES"/>
        </w:rPr>
        <w:t>oportunidad en la entrega de insumos por parte de los proveedores</w:t>
      </w:r>
      <w:r w:rsidR="003D1A04" w:rsidRPr="003D1A04">
        <w:rPr>
          <w:spacing w:val="4"/>
          <w:lang w:val="es-ES"/>
        </w:rPr>
        <w:t xml:space="preserve"> se redujo 1.10 puntos y el de </w:t>
      </w:r>
      <w:r w:rsidR="003D1A04" w:rsidRPr="003D1A04">
        <w:rPr>
          <w:b/>
          <w:spacing w:val="4"/>
          <w:lang w:val="es-ES"/>
        </w:rPr>
        <w:t>inventarios de insumos</w:t>
      </w:r>
      <w:r w:rsidR="003D1A04" w:rsidRPr="003D1A04">
        <w:rPr>
          <w:spacing w:val="4"/>
          <w:lang w:val="es-ES"/>
        </w:rPr>
        <w:t xml:space="preserve"> disminuyó 2.37 puntos</w:t>
      </w:r>
      <w:r w:rsidR="00B81C09" w:rsidRPr="00B81C09">
        <w:rPr>
          <w:spacing w:val="4"/>
        </w:rPr>
        <w:t>.</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2575DF5A" w:rsidR="00FB2B2D" w:rsidRPr="005B0949" w:rsidRDefault="003B0BA1" w:rsidP="00CF100F">
            <w:pPr>
              <w:keepNext/>
              <w:keepLines/>
              <w:spacing w:line="240" w:lineRule="atLeast"/>
              <w:ind w:left="-55" w:right="-54"/>
              <w:jc w:val="center"/>
              <w:rPr>
                <w:sz w:val="18"/>
                <w:szCs w:val="18"/>
              </w:rPr>
            </w:pPr>
            <w:r>
              <w:rPr>
                <w:sz w:val="18"/>
                <w:szCs w:val="18"/>
              </w:rPr>
              <w:t>Marz</w:t>
            </w:r>
            <w:r w:rsidR="0014427E">
              <w:rPr>
                <w:sz w:val="18"/>
                <w:szCs w:val="18"/>
              </w:rPr>
              <w:t>o</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CF100F">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754E0FFC" w:rsidR="00FB2B2D" w:rsidRPr="005B0949" w:rsidRDefault="003B0BA1" w:rsidP="00A57C9A">
            <w:pPr>
              <w:keepNext/>
              <w:keepLines/>
              <w:spacing w:line="240" w:lineRule="atLeast"/>
              <w:ind w:left="-70" w:right="-57"/>
              <w:jc w:val="center"/>
              <w:rPr>
                <w:sz w:val="18"/>
                <w:szCs w:val="18"/>
              </w:rPr>
            </w:pPr>
            <w:r>
              <w:rPr>
                <w:sz w:val="18"/>
                <w:szCs w:val="18"/>
              </w:rPr>
              <w:t>Abril</w:t>
            </w:r>
            <w:r w:rsidR="00FB2B2D" w:rsidRPr="005B0949">
              <w:rPr>
                <w:sz w:val="18"/>
                <w:szCs w:val="18"/>
              </w:rPr>
              <w:br/>
              <w:t xml:space="preserve">de </w:t>
            </w:r>
            <w:r w:rsidR="007F632F">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40103" w:rsidRPr="005B0949" w14:paraId="73EB741D" w14:textId="77777777" w:rsidTr="00D40103">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D40103" w:rsidRPr="005B0949" w:rsidRDefault="00D40103" w:rsidP="00D40103">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2AEB3CF4" w:rsidR="00D40103" w:rsidRPr="00C72B8E" w:rsidRDefault="00D40103" w:rsidP="00D40103">
            <w:pPr>
              <w:tabs>
                <w:tab w:val="decimal" w:pos="435"/>
              </w:tabs>
              <w:jc w:val="left"/>
              <w:rPr>
                <w:b/>
                <w:bCs/>
                <w:sz w:val="18"/>
                <w:szCs w:val="18"/>
                <w:lang w:val="es-MX" w:eastAsia="es-MX"/>
              </w:rPr>
            </w:pPr>
            <w:r>
              <w:rPr>
                <w:b/>
                <w:bCs/>
                <w:color w:val="000000"/>
                <w:sz w:val="18"/>
                <w:szCs w:val="18"/>
              </w:rPr>
              <w:t>54.0</w:t>
            </w:r>
          </w:p>
        </w:tc>
        <w:tc>
          <w:tcPr>
            <w:tcW w:w="972" w:type="dxa"/>
            <w:tcBorders>
              <w:top w:val="single" w:sz="6" w:space="0" w:color="404040"/>
              <w:left w:val="single" w:sz="6" w:space="0" w:color="404040"/>
              <w:right w:val="single" w:sz="6" w:space="0" w:color="404040"/>
            </w:tcBorders>
            <w:vAlign w:val="center"/>
          </w:tcPr>
          <w:p w14:paraId="1930DA59" w14:textId="7057862F" w:rsidR="00D40103" w:rsidRPr="00C72B8E" w:rsidRDefault="00D40103" w:rsidP="00D40103">
            <w:pPr>
              <w:tabs>
                <w:tab w:val="decimal" w:pos="435"/>
              </w:tabs>
              <w:jc w:val="left"/>
              <w:rPr>
                <w:b/>
                <w:bCs/>
                <w:sz w:val="18"/>
                <w:szCs w:val="18"/>
              </w:rPr>
            </w:pPr>
            <w:r>
              <w:rPr>
                <w:b/>
                <w:bCs/>
                <w:color w:val="000000"/>
                <w:sz w:val="18"/>
                <w:szCs w:val="18"/>
              </w:rPr>
              <w:t>53.4</w:t>
            </w:r>
          </w:p>
        </w:tc>
        <w:tc>
          <w:tcPr>
            <w:tcW w:w="972" w:type="dxa"/>
            <w:tcBorders>
              <w:top w:val="single" w:sz="6" w:space="0" w:color="404040"/>
              <w:right w:val="single" w:sz="6" w:space="0" w:color="404040"/>
            </w:tcBorders>
            <w:vAlign w:val="center"/>
          </w:tcPr>
          <w:p w14:paraId="023558CF" w14:textId="3814E5A0" w:rsidR="00D40103" w:rsidRPr="00C72B8E" w:rsidRDefault="00D40103" w:rsidP="00D40103">
            <w:pPr>
              <w:tabs>
                <w:tab w:val="decimal" w:pos="330"/>
              </w:tabs>
              <w:jc w:val="left"/>
              <w:rPr>
                <w:b/>
                <w:bCs/>
                <w:sz w:val="18"/>
                <w:szCs w:val="18"/>
              </w:rPr>
            </w:pPr>
            <w:r>
              <w:rPr>
                <w:b/>
                <w:bCs/>
                <w:color w:val="000000"/>
                <w:sz w:val="18"/>
                <w:szCs w:val="18"/>
              </w:rPr>
              <w:t>-0.51</w:t>
            </w:r>
          </w:p>
        </w:tc>
        <w:tc>
          <w:tcPr>
            <w:tcW w:w="458" w:type="dxa"/>
            <w:tcBorders>
              <w:top w:val="single" w:sz="6" w:space="0" w:color="404040"/>
            </w:tcBorders>
            <w:vAlign w:val="center"/>
          </w:tcPr>
          <w:p w14:paraId="6EE0267E" w14:textId="1E7C6BEB" w:rsidR="00D40103" w:rsidRPr="00C72B8E" w:rsidRDefault="00D40103" w:rsidP="00D40103">
            <w:pPr>
              <w:ind w:right="57"/>
              <w:jc w:val="right"/>
              <w:rPr>
                <w:b/>
                <w:bCs/>
                <w:sz w:val="18"/>
                <w:szCs w:val="18"/>
              </w:rPr>
            </w:pPr>
            <w:r>
              <w:rPr>
                <w:b/>
                <w:bCs/>
                <w:color w:val="000000"/>
                <w:sz w:val="18"/>
                <w:szCs w:val="18"/>
              </w:rPr>
              <w:t>19</w:t>
            </w:r>
          </w:p>
        </w:tc>
        <w:tc>
          <w:tcPr>
            <w:tcW w:w="1208" w:type="dxa"/>
            <w:tcBorders>
              <w:top w:val="single" w:sz="6" w:space="0" w:color="404040"/>
              <w:right w:val="single" w:sz="6" w:space="0" w:color="404040"/>
            </w:tcBorders>
            <w:vAlign w:val="center"/>
          </w:tcPr>
          <w:p w14:paraId="3DAB6917" w14:textId="5DDD3228" w:rsidR="00D40103" w:rsidRPr="00C72B8E" w:rsidRDefault="00D40103" w:rsidP="00D40103">
            <w:pPr>
              <w:ind w:left="-29" w:right="-55"/>
              <w:jc w:val="left"/>
              <w:rPr>
                <w:b/>
                <w:bCs/>
                <w:sz w:val="18"/>
                <w:szCs w:val="18"/>
              </w:rPr>
            </w:pPr>
            <w:r>
              <w:rPr>
                <w:b/>
                <w:bCs/>
                <w:color w:val="000000"/>
                <w:sz w:val="18"/>
                <w:szCs w:val="18"/>
              </w:rPr>
              <w:t>Por arriba</w:t>
            </w:r>
          </w:p>
        </w:tc>
      </w:tr>
      <w:tr w:rsidR="00D40103" w:rsidRPr="005B0949" w14:paraId="56F87F6A" w14:textId="77777777" w:rsidTr="00D40103">
        <w:trPr>
          <w:cantSplit/>
          <w:trHeight w:val="20"/>
          <w:jc w:val="center"/>
        </w:trPr>
        <w:tc>
          <w:tcPr>
            <w:tcW w:w="5129" w:type="dxa"/>
            <w:tcBorders>
              <w:left w:val="single" w:sz="6" w:space="0" w:color="404040"/>
              <w:right w:val="single" w:sz="6" w:space="0" w:color="404040"/>
            </w:tcBorders>
            <w:vAlign w:val="center"/>
          </w:tcPr>
          <w:p w14:paraId="2AD277CB" w14:textId="77777777" w:rsidR="00D40103" w:rsidRPr="005B0949" w:rsidRDefault="00D40103" w:rsidP="00D40103">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3FDEA395" w:rsidR="00D40103" w:rsidRPr="00C72B8E" w:rsidRDefault="00D40103" w:rsidP="00D40103">
            <w:pPr>
              <w:tabs>
                <w:tab w:val="decimal" w:pos="435"/>
              </w:tabs>
              <w:jc w:val="left"/>
              <w:rPr>
                <w:sz w:val="18"/>
                <w:szCs w:val="18"/>
              </w:rPr>
            </w:pPr>
            <w:r>
              <w:rPr>
                <w:color w:val="000000"/>
                <w:sz w:val="18"/>
                <w:szCs w:val="18"/>
              </w:rPr>
              <w:t>55.5</w:t>
            </w:r>
          </w:p>
        </w:tc>
        <w:tc>
          <w:tcPr>
            <w:tcW w:w="972" w:type="dxa"/>
            <w:tcBorders>
              <w:left w:val="single" w:sz="6" w:space="0" w:color="404040"/>
              <w:right w:val="single" w:sz="6" w:space="0" w:color="404040"/>
            </w:tcBorders>
            <w:vAlign w:val="center"/>
          </w:tcPr>
          <w:p w14:paraId="2F0E995B" w14:textId="51AF658C" w:rsidR="00D40103" w:rsidRPr="00C72B8E" w:rsidRDefault="00D40103" w:rsidP="00D40103">
            <w:pPr>
              <w:tabs>
                <w:tab w:val="decimal" w:pos="435"/>
              </w:tabs>
              <w:jc w:val="left"/>
              <w:rPr>
                <w:bCs/>
                <w:sz w:val="18"/>
                <w:szCs w:val="18"/>
              </w:rPr>
            </w:pPr>
            <w:r>
              <w:rPr>
                <w:color w:val="000000"/>
                <w:sz w:val="18"/>
                <w:szCs w:val="18"/>
              </w:rPr>
              <w:t>54.7</w:t>
            </w:r>
          </w:p>
        </w:tc>
        <w:tc>
          <w:tcPr>
            <w:tcW w:w="972" w:type="dxa"/>
            <w:tcBorders>
              <w:right w:val="single" w:sz="6" w:space="0" w:color="404040"/>
            </w:tcBorders>
            <w:vAlign w:val="center"/>
          </w:tcPr>
          <w:p w14:paraId="5E1E0FCC" w14:textId="7A13B476" w:rsidR="00D40103" w:rsidRPr="00C72B8E" w:rsidRDefault="00D40103" w:rsidP="00D40103">
            <w:pPr>
              <w:tabs>
                <w:tab w:val="decimal" w:pos="330"/>
              </w:tabs>
              <w:jc w:val="left"/>
              <w:rPr>
                <w:sz w:val="18"/>
                <w:szCs w:val="18"/>
              </w:rPr>
            </w:pPr>
            <w:r>
              <w:rPr>
                <w:color w:val="000000"/>
                <w:sz w:val="18"/>
                <w:szCs w:val="18"/>
              </w:rPr>
              <w:t>-0.76</w:t>
            </w:r>
          </w:p>
        </w:tc>
        <w:tc>
          <w:tcPr>
            <w:tcW w:w="458" w:type="dxa"/>
            <w:vAlign w:val="center"/>
          </w:tcPr>
          <w:p w14:paraId="4250F9D9" w14:textId="3CC8E469" w:rsidR="00D40103" w:rsidRPr="00C72B8E" w:rsidRDefault="00D40103" w:rsidP="00D40103">
            <w:pPr>
              <w:ind w:right="57"/>
              <w:jc w:val="right"/>
              <w:rPr>
                <w:sz w:val="18"/>
                <w:szCs w:val="18"/>
              </w:rPr>
            </w:pPr>
            <w:r>
              <w:rPr>
                <w:color w:val="000000"/>
                <w:sz w:val="18"/>
                <w:szCs w:val="18"/>
              </w:rPr>
              <w:t>23</w:t>
            </w:r>
          </w:p>
        </w:tc>
        <w:tc>
          <w:tcPr>
            <w:tcW w:w="1208" w:type="dxa"/>
            <w:tcBorders>
              <w:right w:val="single" w:sz="6" w:space="0" w:color="404040"/>
            </w:tcBorders>
            <w:vAlign w:val="center"/>
          </w:tcPr>
          <w:p w14:paraId="378DD386" w14:textId="1D21C943" w:rsidR="00D40103" w:rsidRPr="00C72B8E" w:rsidRDefault="00D40103" w:rsidP="00D40103">
            <w:pPr>
              <w:ind w:left="-29" w:right="-55"/>
              <w:jc w:val="left"/>
              <w:rPr>
                <w:bCs/>
                <w:sz w:val="18"/>
                <w:szCs w:val="18"/>
              </w:rPr>
            </w:pPr>
            <w:r>
              <w:rPr>
                <w:color w:val="000000"/>
                <w:sz w:val="18"/>
                <w:szCs w:val="18"/>
              </w:rPr>
              <w:t>Por arriba</w:t>
            </w:r>
          </w:p>
        </w:tc>
      </w:tr>
      <w:tr w:rsidR="00D40103" w:rsidRPr="005B0949" w14:paraId="42EB17DF" w14:textId="77777777" w:rsidTr="00D40103">
        <w:trPr>
          <w:cantSplit/>
          <w:trHeight w:val="20"/>
          <w:jc w:val="center"/>
        </w:trPr>
        <w:tc>
          <w:tcPr>
            <w:tcW w:w="5129" w:type="dxa"/>
            <w:tcBorders>
              <w:left w:val="single" w:sz="6" w:space="0" w:color="404040"/>
              <w:right w:val="single" w:sz="6" w:space="0" w:color="404040"/>
            </w:tcBorders>
            <w:vAlign w:val="center"/>
          </w:tcPr>
          <w:p w14:paraId="163CE724" w14:textId="77777777" w:rsidR="00D40103" w:rsidRPr="005B0949" w:rsidRDefault="00D40103" w:rsidP="00D40103">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30FC345C" w:rsidR="00D40103" w:rsidRPr="00C72B8E" w:rsidRDefault="00D40103" w:rsidP="00D40103">
            <w:pPr>
              <w:tabs>
                <w:tab w:val="decimal" w:pos="435"/>
              </w:tabs>
              <w:jc w:val="left"/>
              <w:rPr>
                <w:sz w:val="18"/>
                <w:szCs w:val="18"/>
              </w:rPr>
            </w:pPr>
            <w:r>
              <w:rPr>
                <w:color w:val="000000"/>
                <w:sz w:val="18"/>
                <w:szCs w:val="18"/>
              </w:rPr>
              <w:t>55.8</w:t>
            </w:r>
          </w:p>
        </w:tc>
        <w:tc>
          <w:tcPr>
            <w:tcW w:w="972" w:type="dxa"/>
            <w:tcBorders>
              <w:left w:val="single" w:sz="6" w:space="0" w:color="404040"/>
              <w:right w:val="single" w:sz="6" w:space="0" w:color="404040"/>
            </w:tcBorders>
            <w:vAlign w:val="center"/>
          </w:tcPr>
          <w:p w14:paraId="6986A361" w14:textId="58F22E74" w:rsidR="00D40103" w:rsidRPr="00C72B8E" w:rsidRDefault="00D40103" w:rsidP="00D40103">
            <w:pPr>
              <w:tabs>
                <w:tab w:val="decimal" w:pos="435"/>
              </w:tabs>
              <w:jc w:val="left"/>
              <w:rPr>
                <w:bCs/>
                <w:sz w:val="18"/>
                <w:szCs w:val="18"/>
              </w:rPr>
            </w:pPr>
            <w:r>
              <w:rPr>
                <w:color w:val="000000"/>
                <w:sz w:val="18"/>
                <w:szCs w:val="18"/>
              </w:rPr>
              <w:t>54.5</w:t>
            </w:r>
          </w:p>
        </w:tc>
        <w:tc>
          <w:tcPr>
            <w:tcW w:w="972" w:type="dxa"/>
            <w:tcBorders>
              <w:right w:val="single" w:sz="6" w:space="0" w:color="404040"/>
            </w:tcBorders>
            <w:vAlign w:val="center"/>
          </w:tcPr>
          <w:p w14:paraId="6D36B56C" w14:textId="6A5EAA10" w:rsidR="00D40103" w:rsidRPr="00C72B8E" w:rsidRDefault="00D40103" w:rsidP="00D40103">
            <w:pPr>
              <w:tabs>
                <w:tab w:val="decimal" w:pos="330"/>
              </w:tabs>
              <w:jc w:val="left"/>
              <w:rPr>
                <w:sz w:val="18"/>
                <w:szCs w:val="18"/>
              </w:rPr>
            </w:pPr>
            <w:r>
              <w:rPr>
                <w:color w:val="000000"/>
                <w:sz w:val="18"/>
                <w:szCs w:val="18"/>
              </w:rPr>
              <w:t>-1.35</w:t>
            </w:r>
          </w:p>
        </w:tc>
        <w:tc>
          <w:tcPr>
            <w:tcW w:w="458" w:type="dxa"/>
            <w:vAlign w:val="center"/>
          </w:tcPr>
          <w:p w14:paraId="66DAF3BB" w14:textId="30671531" w:rsidR="00D40103" w:rsidRPr="00C72B8E" w:rsidRDefault="00D40103" w:rsidP="00D40103">
            <w:pPr>
              <w:ind w:right="57"/>
              <w:jc w:val="right"/>
              <w:rPr>
                <w:sz w:val="18"/>
                <w:szCs w:val="18"/>
              </w:rPr>
            </w:pPr>
            <w:r>
              <w:rPr>
                <w:color w:val="000000"/>
                <w:sz w:val="18"/>
                <w:szCs w:val="18"/>
              </w:rPr>
              <w:t>21</w:t>
            </w:r>
          </w:p>
        </w:tc>
        <w:tc>
          <w:tcPr>
            <w:tcW w:w="1208" w:type="dxa"/>
            <w:tcBorders>
              <w:right w:val="single" w:sz="6" w:space="0" w:color="404040"/>
            </w:tcBorders>
            <w:vAlign w:val="center"/>
          </w:tcPr>
          <w:p w14:paraId="78C544BE" w14:textId="28DD41F7" w:rsidR="00D40103" w:rsidRPr="00C72B8E" w:rsidRDefault="00D40103" w:rsidP="00D40103">
            <w:pPr>
              <w:ind w:left="-29" w:right="-55"/>
              <w:jc w:val="left"/>
              <w:rPr>
                <w:bCs/>
                <w:sz w:val="18"/>
                <w:szCs w:val="18"/>
              </w:rPr>
            </w:pPr>
            <w:r>
              <w:rPr>
                <w:color w:val="000000"/>
                <w:sz w:val="18"/>
                <w:szCs w:val="18"/>
              </w:rPr>
              <w:t>Por arriba</w:t>
            </w:r>
          </w:p>
        </w:tc>
      </w:tr>
      <w:tr w:rsidR="00D40103" w:rsidRPr="005B0949" w14:paraId="36E5C68A" w14:textId="77777777" w:rsidTr="00D40103">
        <w:trPr>
          <w:cantSplit/>
          <w:trHeight w:val="20"/>
          <w:jc w:val="center"/>
        </w:trPr>
        <w:tc>
          <w:tcPr>
            <w:tcW w:w="5129" w:type="dxa"/>
            <w:tcBorders>
              <w:left w:val="single" w:sz="6" w:space="0" w:color="404040"/>
              <w:right w:val="single" w:sz="6" w:space="0" w:color="404040"/>
            </w:tcBorders>
            <w:vAlign w:val="center"/>
          </w:tcPr>
          <w:p w14:paraId="4FFFA0C0" w14:textId="77777777" w:rsidR="00D40103" w:rsidRPr="005B0949" w:rsidRDefault="00D40103" w:rsidP="00D40103">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747FAB91" w:rsidR="00D40103" w:rsidRPr="00C72B8E" w:rsidRDefault="00D40103" w:rsidP="00D40103">
            <w:pPr>
              <w:tabs>
                <w:tab w:val="decimal" w:pos="435"/>
              </w:tabs>
              <w:jc w:val="left"/>
              <w:rPr>
                <w:sz w:val="18"/>
                <w:szCs w:val="18"/>
              </w:rPr>
            </w:pPr>
            <w:r>
              <w:rPr>
                <w:color w:val="000000"/>
                <w:sz w:val="18"/>
                <w:szCs w:val="18"/>
              </w:rPr>
              <w:t>50.9</w:t>
            </w:r>
          </w:p>
        </w:tc>
        <w:tc>
          <w:tcPr>
            <w:tcW w:w="972" w:type="dxa"/>
            <w:tcBorders>
              <w:left w:val="single" w:sz="6" w:space="0" w:color="404040"/>
              <w:right w:val="single" w:sz="6" w:space="0" w:color="404040"/>
            </w:tcBorders>
            <w:vAlign w:val="center"/>
          </w:tcPr>
          <w:p w14:paraId="0F7FF7BB" w14:textId="68D0ED5A" w:rsidR="00D40103" w:rsidRPr="00C72B8E" w:rsidRDefault="00D40103" w:rsidP="00D40103">
            <w:pPr>
              <w:tabs>
                <w:tab w:val="decimal" w:pos="435"/>
              </w:tabs>
              <w:jc w:val="left"/>
              <w:rPr>
                <w:bCs/>
                <w:sz w:val="18"/>
                <w:szCs w:val="18"/>
              </w:rPr>
            </w:pPr>
            <w:r>
              <w:rPr>
                <w:color w:val="000000"/>
                <w:sz w:val="18"/>
                <w:szCs w:val="18"/>
              </w:rPr>
              <w:t>51.2</w:t>
            </w:r>
          </w:p>
        </w:tc>
        <w:tc>
          <w:tcPr>
            <w:tcW w:w="972" w:type="dxa"/>
            <w:tcBorders>
              <w:right w:val="single" w:sz="6" w:space="0" w:color="404040"/>
            </w:tcBorders>
            <w:vAlign w:val="center"/>
          </w:tcPr>
          <w:p w14:paraId="3B4F6D4B" w14:textId="401F8B64" w:rsidR="00D40103" w:rsidRPr="00C72B8E" w:rsidRDefault="00D40103" w:rsidP="00D40103">
            <w:pPr>
              <w:tabs>
                <w:tab w:val="decimal" w:pos="330"/>
              </w:tabs>
              <w:jc w:val="left"/>
              <w:rPr>
                <w:sz w:val="18"/>
                <w:szCs w:val="18"/>
              </w:rPr>
            </w:pPr>
            <w:r>
              <w:rPr>
                <w:color w:val="000000"/>
                <w:sz w:val="18"/>
                <w:szCs w:val="18"/>
              </w:rPr>
              <w:t>0.23</w:t>
            </w:r>
          </w:p>
        </w:tc>
        <w:tc>
          <w:tcPr>
            <w:tcW w:w="458" w:type="dxa"/>
            <w:vAlign w:val="center"/>
          </w:tcPr>
          <w:p w14:paraId="71209E1A" w14:textId="13EF9C0D" w:rsidR="00D40103" w:rsidRPr="00C72B8E" w:rsidRDefault="00D40103" w:rsidP="00D40103">
            <w:pPr>
              <w:ind w:right="57"/>
              <w:jc w:val="right"/>
              <w:rPr>
                <w:sz w:val="18"/>
                <w:szCs w:val="18"/>
              </w:rPr>
            </w:pPr>
            <w:r>
              <w:rPr>
                <w:color w:val="000000"/>
                <w:sz w:val="18"/>
                <w:szCs w:val="18"/>
              </w:rPr>
              <w:t>14</w:t>
            </w:r>
          </w:p>
        </w:tc>
        <w:tc>
          <w:tcPr>
            <w:tcW w:w="1208" w:type="dxa"/>
            <w:tcBorders>
              <w:right w:val="single" w:sz="6" w:space="0" w:color="404040"/>
            </w:tcBorders>
            <w:vAlign w:val="center"/>
          </w:tcPr>
          <w:p w14:paraId="0B5E2CB5" w14:textId="1CE20539" w:rsidR="00D40103" w:rsidRPr="00C72B8E" w:rsidRDefault="00D40103" w:rsidP="00D40103">
            <w:pPr>
              <w:ind w:left="-29" w:right="-55"/>
              <w:jc w:val="left"/>
              <w:rPr>
                <w:bCs/>
                <w:sz w:val="18"/>
                <w:szCs w:val="18"/>
              </w:rPr>
            </w:pPr>
            <w:r>
              <w:rPr>
                <w:color w:val="000000"/>
                <w:sz w:val="18"/>
                <w:szCs w:val="18"/>
              </w:rPr>
              <w:t>Por arriba</w:t>
            </w:r>
          </w:p>
        </w:tc>
      </w:tr>
      <w:tr w:rsidR="00D40103" w:rsidRPr="005B0949" w14:paraId="5328C6FB" w14:textId="77777777" w:rsidTr="00D40103">
        <w:trPr>
          <w:cantSplit/>
          <w:trHeight w:val="20"/>
          <w:jc w:val="center"/>
        </w:trPr>
        <w:tc>
          <w:tcPr>
            <w:tcW w:w="5129" w:type="dxa"/>
            <w:tcBorders>
              <w:left w:val="single" w:sz="6" w:space="0" w:color="404040"/>
              <w:right w:val="single" w:sz="6" w:space="0" w:color="404040"/>
            </w:tcBorders>
            <w:vAlign w:val="center"/>
          </w:tcPr>
          <w:p w14:paraId="27FE6B1C" w14:textId="77777777" w:rsidR="00D40103" w:rsidRPr="005B0949" w:rsidRDefault="00D40103" w:rsidP="00D40103">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6D150744" w:rsidR="00D40103" w:rsidRPr="00C72B8E" w:rsidRDefault="00D40103" w:rsidP="00D40103">
            <w:pPr>
              <w:tabs>
                <w:tab w:val="decimal" w:pos="435"/>
              </w:tabs>
              <w:jc w:val="left"/>
              <w:rPr>
                <w:sz w:val="18"/>
                <w:szCs w:val="18"/>
              </w:rPr>
            </w:pPr>
            <w:r>
              <w:rPr>
                <w:color w:val="000000"/>
                <w:sz w:val="18"/>
                <w:szCs w:val="18"/>
              </w:rPr>
              <w:t>50.6</w:t>
            </w:r>
          </w:p>
        </w:tc>
        <w:tc>
          <w:tcPr>
            <w:tcW w:w="972" w:type="dxa"/>
            <w:tcBorders>
              <w:left w:val="single" w:sz="6" w:space="0" w:color="404040"/>
              <w:right w:val="single" w:sz="6" w:space="0" w:color="404040"/>
            </w:tcBorders>
            <w:vAlign w:val="center"/>
          </w:tcPr>
          <w:p w14:paraId="059D083C" w14:textId="454D48ED" w:rsidR="00D40103" w:rsidRPr="00C72B8E" w:rsidRDefault="00D40103" w:rsidP="00D40103">
            <w:pPr>
              <w:tabs>
                <w:tab w:val="decimal" w:pos="435"/>
              </w:tabs>
              <w:jc w:val="left"/>
              <w:rPr>
                <w:bCs/>
                <w:sz w:val="18"/>
                <w:szCs w:val="18"/>
              </w:rPr>
            </w:pPr>
            <w:r>
              <w:rPr>
                <w:color w:val="000000"/>
                <w:sz w:val="18"/>
                <w:szCs w:val="18"/>
              </w:rPr>
              <w:t>49.5</w:t>
            </w:r>
          </w:p>
        </w:tc>
        <w:tc>
          <w:tcPr>
            <w:tcW w:w="972" w:type="dxa"/>
            <w:tcBorders>
              <w:right w:val="single" w:sz="6" w:space="0" w:color="404040"/>
            </w:tcBorders>
            <w:vAlign w:val="center"/>
          </w:tcPr>
          <w:p w14:paraId="7451A40F" w14:textId="5A0432BF" w:rsidR="00D40103" w:rsidRPr="00C72B8E" w:rsidRDefault="00D40103" w:rsidP="00D40103">
            <w:pPr>
              <w:tabs>
                <w:tab w:val="decimal" w:pos="330"/>
              </w:tabs>
              <w:jc w:val="left"/>
              <w:rPr>
                <w:sz w:val="18"/>
                <w:szCs w:val="18"/>
              </w:rPr>
            </w:pPr>
            <w:r>
              <w:rPr>
                <w:color w:val="000000"/>
                <w:sz w:val="18"/>
                <w:szCs w:val="18"/>
              </w:rPr>
              <w:t>-1.10</w:t>
            </w:r>
          </w:p>
        </w:tc>
        <w:tc>
          <w:tcPr>
            <w:tcW w:w="458" w:type="dxa"/>
            <w:vAlign w:val="center"/>
          </w:tcPr>
          <w:p w14:paraId="7B0FD17A" w14:textId="37A789F3" w:rsidR="00D40103" w:rsidRPr="00C72B8E" w:rsidRDefault="00D40103" w:rsidP="00D40103">
            <w:pPr>
              <w:ind w:right="57"/>
              <w:jc w:val="right"/>
              <w:rPr>
                <w:sz w:val="18"/>
                <w:szCs w:val="18"/>
              </w:rPr>
            </w:pPr>
            <w:r>
              <w:rPr>
                <w:color w:val="000000"/>
                <w:sz w:val="18"/>
                <w:szCs w:val="18"/>
              </w:rPr>
              <w:t>1</w:t>
            </w:r>
          </w:p>
        </w:tc>
        <w:tc>
          <w:tcPr>
            <w:tcW w:w="1208" w:type="dxa"/>
            <w:tcBorders>
              <w:right w:val="single" w:sz="6" w:space="0" w:color="404040"/>
            </w:tcBorders>
            <w:vAlign w:val="center"/>
          </w:tcPr>
          <w:p w14:paraId="28E4233E" w14:textId="383877F7" w:rsidR="00D40103" w:rsidRPr="00C72B8E" w:rsidRDefault="00D40103" w:rsidP="00D40103">
            <w:pPr>
              <w:ind w:left="-29" w:right="-55"/>
              <w:jc w:val="left"/>
              <w:rPr>
                <w:bCs/>
                <w:sz w:val="18"/>
                <w:szCs w:val="18"/>
              </w:rPr>
            </w:pPr>
            <w:r>
              <w:rPr>
                <w:color w:val="000000"/>
                <w:sz w:val="18"/>
                <w:szCs w:val="18"/>
              </w:rPr>
              <w:t>Por debajo</w:t>
            </w:r>
          </w:p>
        </w:tc>
      </w:tr>
      <w:tr w:rsidR="00D40103" w:rsidRPr="005B0949" w14:paraId="1AD423F4" w14:textId="77777777" w:rsidTr="00D40103">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D40103" w:rsidRPr="005B0949" w:rsidRDefault="00D40103" w:rsidP="00D40103">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35C79471" w:rsidR="00D40103" w:rsidRPr="00C72B8E" w:rsidRDefault="00D40103" w:rsidP="00D40103">
            <w:pPr>
              <w:tabs>
                <w:tab w:val="decimal" w:pos="435"/>
              </w:tabs>
              <w:jc w:val="left"/>
              <w:rPr>
                <w:sz w:val="18"/>
                <w:szCs w:val="18"/>
              </w:rPr>
            </w:pPr>
            <w:r>
              <w:rPr>
                <w:color w:val="000000"/>
                <w:sz w:val="18"/>
                <w:szCs w:val="18"/>
              </w:rPr>
              <w:t>55.6</w:t>
            </w:r>
          </w:p>
        </w:tc>
        <w:tc>
          <w:tcPr>
            <w:tcW w:w="972" w:type="dxa"/>
            <w:tcBorders>
              <w:left w:val="single" w:sz="6" w:space="0" w:color="404040"/>
              <w:bottom w:val="single" w:sz="6" w:space="0" w:color="404040"/>
              <w:right w:val="single" w:sz="6" w:space="0" w:color="404040"/>
            </w:tcBorders>
            <w:vAlign w:val="center"/>
          </w:tcPr>
          <w:p w14:paraId="09EBF545" w14:textId="5C4673EA" w:rsidR="00D40103" w:rsidRPr="00C72B8E" w:rsidRDefault="00D40103" w:rsidP="00D40103">
            <w:pPr>
              <w:tabs>
                <w:tab w:val="decimal" w:pos="435"/>
              </w:tabs>
              <w:jc w:val="left"/>
              <w:rPr>
                <w:bCs/>
                <w:sz w:val="18"/>
                <w:szCs w:val="18"/>
              </w:rPr>
            </w:pPr>
            <w:r>
              <w:rPr>
                <w:color w:val="000000"/>
                <w:sz w:val="18"/>
                <w:szCs w:val="18"/>
              </w:rPr>
              <w:t>53.3</w:t>
            </w:r>
          </w:p>
        </w:tc>
        <w:tc>
          <w:tcPr>
            <w:tcW w:w="972" w:type="dxa"/>
            <w:tcBorders>
              <w:bottom w:val="single" w:sz="6" w:space="0" w:color="404040"/>
              <w:right w:val="single" w:sz="6" w:space="0" w:color="404040"/>
            </w:tcBorders>
            <w:vAlign w:val="center"/>
          </w:tcPr>
          <w:p w14:paraId="3C2CFC42" w14:textId="5FE9B111" w:rsidR="00D40103" w:rsidRPr="00C72B8E" w:rsidRDefault="00D40103" w:rsidP="00D40103">
            <w:pPr>
              <w:tabs>
                <w:tab w:val="decimal" w:pos="330"/>
              </w:tabs>
              <w:jc w:val="left"/>
              <w:rPr>
                <w:sz w:val="18"/>
                <w:szCs w:val="18"/>
              </w:rPr>
            </w:pPr>
            <w:r>
              <w:rPr>
                <w:color w:val="000000"/>
                <w:sz w:val="18"/>
                <w:szCs w:val="18"/>
              </w:rPr>
              <w:t>-2.37</w:t>
            </w:r>
          </w:p>
        </w:tc>
        <w:tc>
          <w:tcPr>
            <w:tcW w:w="458" w:type="dxa"/>
            <w:tcBorders>
              <w:bottom w:val="single" w:sz="6" w:space="0" w:color="404040"/>
            </w:tcBorders>
            <w:vAlign w:val="center"/>
          </w:tcPr>
          <w:p w14:paraId="24D63F8D" w14:textId="34454471" w:rsidR="00D40103" w:rsidRPr="00C72B8E" w:rsidRDefault="00D40103" w:rsidP="00D40103">
            <w:pPr>
              <w:ind w:right="57"/>
              <w:jc w:val="right"/>
              <w:rPr>
                <w:sz w:val="18"/>
                <w:szCs w:val="18"/>
              </w:rPr>
            </w:pPr>
            <w:r>
              <w:rPr>
                <w:color w:val="000000"/>
                <w:sz w:val="18"/>
                <w:szCs w:val="18"/>
              </w:rPr>
              <w:t>22</w:t>
            </w:r>
          </w:p>
        </w:tc>
        <w:tc>
          <w:tcPr>
            <w:tcW w:w="1208" w:type="dxa"/>
            <w:tcBorders>
              <w:bottom w:val="single" w:sz="6" w:space="0" w:color="404040"/>
              <w:right w:val="single" w:sz="6" w:space="0" w:color="404040"/>
            </w:tcBorders>
            <w:vAlign w:val="center"/>
          </w:tcPr>
          <w:p w14:paraId="4A50DA51" w14:textId="7A101D7F" w:rsidR="00D40103" w:rsidRPr="00C72B8E" w:rsidRDefault="00D40103" w:rsidP="00D40103">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A670690" w:rsidR="00A47127" w:rsidRPr="005B0949" w:rsidRDefault="00B81C09" w:rsidP="001D725E">
      <w:pPr>
        <w:keepLines/>
        <w:widowControl w:val="0"/>
        <w:spacing w:before="720"/>
        <w:rPr>
          <w:spacing w:val="4"/>
        </w:rPr>
      </w:pPr>
      <w:r w:rsidRPr="00B81C09">
        <w:t>Las siguientes gráficas muestran la evolución en los últimos años de las series desestacionalizadas y de tendencia-ciclo de los componentes que integran el Indicador de Pedidos Manufactureros.</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0E44F0">
        <w:tblPrEx>
          <w:tblCellMar>
            <w:left w:w="70" w:type="dxa"/>
            <w:right w:w="70" w:type="dxa"/>
          </w:tblCellMar>
        </w:tblPrEx>
        <w:trPr>
          <w:trHeight w:val="3062"/>
          <w:jc w:val="center"/>
        </w:trPr>
        <w:tc>
          <w:tcPr>
            <w:tcW w:w="5080" w:type="dxa"/>
            <w:tcBorders>
              <w:top w:val="nil"/>
              <w:bottom w:val="nil"/>
            </w:tcBorders>
          </w:tcPr>
          <w:p w14:paraId="539EB9CD" w14:textId="5B775682" w:rsidR="00DC2949" w:rsidRPr="005B0949" w:rsidRDefault="000E44F0" w:rsidP="00152422">
            <w:pPr>
              <w:keepNext/>
              <w:keepLines/>
              <w:ind w:left="-75"/>
              <w:jc w:val="center"/>
            </w:pPr>
            <w:r>
              <w:rPr>
                <w:noProof/>
              </w:rPr>
              <w:drawing>
                <wp:inline distT="0" distB="0" distL="0" distR="0" wp14:anchorId="0C3EB0E4" wp14:editId="6A368FC9">
                  <wp:extent cx="3132000" cy="2067674"/>
                  <wp:effectExtent l="0" t="0" r="0" b="88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763E5540" w:rsidR="0007670F" w:rsidRPr="005B0949" w:rsidRDefault="000E44F0" w:rsidP="00152422">
            <w:pPr>
              <w:keepNext/>
              <w:keepLines/>
              <w:ind w:left="-70"/>
              <w:jc w:val="center"/>
            </w:pPr>
            <w:r>
              <w:rPr>
                <w:noProof/>
              </w:rPr>
              <w:drawing>
                <wp:inline distT="0" distB="0" distL="0" distR="0" wp14:anchorId="50597C93" wp14:editId="3CF3D9E2">
                  <wp:extent cx="3130838" cy="2066400"/>
                  <wp:effectExtent l="0" t="0" r="0" b="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0E44F0">
        <w:tblPrEx>
          <w:tblCellMar>
            <w:left w:w="70" w:type="dxa"/>
            <w:right w:w="70" w:type="dxa"/>
          </w:tblCellMar>
        </w:tblPrEx>
        <w:trPr>
          <w:trHeight w:val="3062"/>
          <w:jc w:val="center"/>
        </w:trPr>
        <w:tc>
          <w:tcPr>
            <w:tcW w:w="5080" w:type="dxa"/>
            <w:tcBorders>
              <w:top w:val="nil"/>
              <w:bottom w:val="nil"/>
            </w:tcBorders>
          </w:tcPr>
          <w:p w14:paraId="0EF853AE" w14:textId="7E25C543" w:rsidR="0007670F" w:rsidRPr="005B0949" w:rsidRDefault="000E44F0" w:rsidP="00152422">
            <w:pPr>
              <w:keepNext/>
              <w:keepLines/>
              <w:jc w:val="center"/>
              <w:rPr>
                <w:noProof/>
                <w:lang w:eastAsia="es-MX"/>
              </w:rPr>
            </w:pPr>
            <w:r>
              <w:rPr>
                <w:noProof/>
              </w:rPr>
              <w:drawing>
                <wp:inline distT="0" distB="0" distL="0" distR="0" wp14:anchorId="0A0DA9A2" wp14:editId="746288D6">
                  <wp:extent cx="3126828" cy="20664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7F587703" w:rsidR="0007670F" w:rsidRPr="005B0949" w:rsidRDefault="000E44F0" w:rsidP="00152422">
            <w:pPr>
              <w:keepNext/>
              <w:keepLines/>
              <w:jc w:val="center"/>
            </w:pPr>
            <w:r>
              <w:rPr>
                <w:noProof/>
              </w:rPr>
              <w:drawing>
                <wp:inline distT="0" distB="0" distL="0" distR="0" wp14:anchorId="7FDAA021" wp14:editId="1DF13820">
                  <wp:extent cx="3132000" cy="2066400"/>
                  <wp:effectExtent l="0" t="0" r="0" b="0"/>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0E44F0">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88AC536" w:rsidR="0007670F" w:rsidRPr="005B0949" w:rsidRDefault="000E44F0" w:rsidP="0024171E">
            <w:pPr>
              <w:keepNext/>
              <w:keepLines/>
              <w:widowControl w:val="0"/>
              <w:jc w:val="center"/>
            </w:pPr>
            <w:r>
              <w:rPr>
                <w:noProof/>
              </w:rPr>
              <w:drawing>
                <wp:inline distT="0" distB="0" distL="0" distR="0" wp14:anchorId="2EBC9EEE" wp14:editId="73083B52">
                  <wp:extent cx="3132000" cy="2066400"/>
                  <wp:effectExtent l="0" t="0" r="0" b="0"/>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02A2240C"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lastRenderedPageBreak/>
        <w:t>Cifras originales</w:t>
      </w:r>
    </w:p>
    <w:p w14:paraId="5E78A0CC" w14:textId="5FEF8DCA" w:rsidR="00A47127" w:rsidRPr="00E8398E" w:rsidRDefault="00402C4B" w:rsidP="00B81C09">
      <w:pPr>
        <w:pStyle w:val="p0"/>
        <w:keepNext/>
        <w:spacing w:before="300" w:after="300"/>
        <w:rPr>
          <w:rFonts w:ascii="Arial" w:hAnsi="Arial"/>
          <w:snapToGrid/>
          <w:color w:val="auto"/>
          <w:lang w:val="es-ES"/>
        </w:rPr>
      </w:pPr>
      <w:r w:rsidRPr="00402C4B">
        <w:rPr>
          <w:rFonts w:ascii="Arial" w:hAnsi="Arial"/>
          <w:snapToGrid/>
          <w:color w:val="auto"/>
          <w:lang w:val="es-ES"/>
        </w:rPr>
        <w:t xml:space="preserve">En </w:t>
      </w:r>
      <w:r w:rsidR="009347AB">
        <w:rPr>
          <w:rFonts w:ascii="Arial" w:hAnsi="Arial"/>
          <w:snapToGrid/>
          <w:color w:val="auto"/>
          <w:lang w:val="es-ES"/>
        </w:rPr>
        <w:t>abril pasado</w:t>
      </w:r>
      <w:r w:rsidRPr="00402C4B">
        <w:rPr>
          <w:rFonts w:ascii="Arial" w:hAnsi="Arial"/>
          <w:snapToGrid/>
          <w:color w:val="auto"/>
          <w:lang w:val="es-ES"/>
        </w:rPr>
        <w:t>, el IPM se situó en 5</w:t>
      </w:r>
      <w:r w:rsidR="003B0BA1">
        <w:rPr>
          <w:rFonts w:ascii="Arial" w:hAnsi="Arial"/>
          <w:snapToGrid/>
          <w:color w:val="auto"/>
          <w:lang w:val="es-ES"/>
        </w:rPr>
        <w:t>1.2</w:t>
      </w:r>
      <w:r w:rsidRPr="00402C4B">
        <w:rPr>
          <w:rFonts w:ascii="Arial" w:hAnsi="Arial"/>
          <w:snapToGrid/>
          <w:color w:val="auto"/>
          <w:lang w:val="es-ES"/>
        </w:rPr>
        <w:t xml:space="preserve"> puntos con cifras sin ajuste estacional, lo que </w:t>
      </w:r>
      <w:r w:rsidR="003D1A04">
        <w:rPr>
          <w:rFonts w:ascii="Arial" w:hAnsi="Arial"/>
          <w:snapToGrid/>
          <w:color w:val="auto"/>
          <w:lang w:val="es-ES"/>
        </w:rPr>
        <w:t>signific</w:t>
      </w:r>
      <w:r w:rsidRPr="00402C4B">
        <w:rPr>
          <w:rFonts w:ascii="Arial" w:hAnsi="Arial"/>
          <w:snapToGrid/>
          <w:color w:val="auto"/>
          <w:lang w:val="es-ES"/>
        </w:rPr>
        <w:t xml:space="preserve">ó un </w:t>
      </w:r>
      <w:r w:rsidRPr="00402C4B">
        <w:rPr>
          <w:rFonts w:ascii="Arial" w:hAnsi="Arial"/>
          <w:snapToGrid/>
          <w:color w:val="auto"/>
          <w:lang w:val="es-MX"/>
        </w:rPr>
        <w:t>cre</w:t>
      </w:r>
      <w:r w:rsidR="003D1A04">
        <w:rPr>
          <w:rFonts w:ascii="Arial" w:hAnsi="Arial"/>
          <w:snapToGrid/>
          <w:color w:val="auto"/>
          <w:lang w:val="es-MX"/>
        </w:rPr>
        <w:t>ci</w:t>
      </w:r>
      <w:r w:rsidRPr="00402C4B">
        <w:rPr>
          <w:rFonts w:ascii="Arial" w:hAnsi="Arial"/>
          <w:snapToGrid/>
          <w:color w:val="auto"/>
          <w:lang w:val="es-MX"/>
        </w:rPr>
        <w:t>m</w:t>
      </w:r>
      <w:r w:rsidR="003D1A04">
        <w:rPr>
          <w:rFonts w:ascii="Arial" w:hAnsi="Arial"/>
          <w:snapToGrid/>
          <w:color w:val="auto"/>
          <w:lang w:val="es-MX"/>
        </w:rPr>
        <w:t>i</w:t>
      </w:r>
      <w:r w:rsidRPr="00402C4B">
        <w:rPr>
          <w:rFonts w:ascii="Arial" w:hAnsi="Arial"/>
          <w:snapToGrid/>
          <w:color w:val="auto"/>
          <w:lang w:val="es-MX"/>
        </w:rPr>
        <w:t>ento</w:t>
      </w:r>
      <w:r w:rsidRPr="00402C4B">
        <w:rPr>
          <w:rFonts w:ascii="Arial" w:hAnsi="Arial"/>
          <w:snapToGrid/>
          <w:color w:val="auto"/>
          <w:lang w:val="es-ES"/>
        </w:rPr>
        <w:t xml:space="preserve"> anual de </w:t>
      </w:r>
      <w:r w:rsidR="003B0BA1">
        <w:rPr>
          <w:rFonts w:ascii="Arial" w:hAnsi="Arial"/>
          <w:snapToGrid/>
          <w:color w:val="auto"/>
          <w:lang w:val="es-ES"/>
        </w:rPr>
        <w:t>1.2</w:t>
      </w:r>
      <w:r w:rsidRPr="00402C4B">
        <w:rPr>
          <w:rFonts w:ascii="Arial" w:hAnsi="Arial"/>
          <w:snapToGrid/>
          <w:color w:val="auto"/>
          <w:lang w:val="es-ES"/>
        </w:rPr>
        <w:t xml:space="preserve"> puntos</w:t>
      </w:r>
      <w:r w:rsidR="00B81C09" w:rsidRPr="00B81C09">
        <w:rPr>
          <w:rFonts w:ascii="Arial" w:hAnsi="Arial"/>
          <w:snapToGrid/>
          <w:color w:val="auto"/>
          <w:lang w:val="es-ES"/>
        </w:rPr>
        <w:t>.</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24001E09" w:rsidR="0007670F" w:rsidRDefault="003B0BA1" w:rsidP="001B5CA7">
      <w:pPr>
        <w:widowControl w:val="0"/>
        <w:spacing w:after="20"/>
        <w:jc w:val="center"/>
        <w:rPr>
          <w:b/>
          <w:smallCaps/>
          <w:sz w:val="20"/>
          <w:szCs w:val="20"/>
        </w:rPr>
      </w:pPr>
      <w:r>
        <w:rPr>
          <w:noProof/>
        </w:rPr>
        <w:drawing>
          <wp:inline distT="0" distB="0" distL="0" distR="0" wp14:anchorId="338CF6F1" wp14:editId="41EA53D1">
            <wp:extent cx="4320000" cy="2545767"/>
            <wp:effectExtent l="0" t="0" r="4445" b="698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1CC50E28" w:rsidR="00DC158A" w:rsidRDefault="00B81C09" w:rsidP="00DC158A">
      <w:pPr>
        <w:widowControl w:val="0"/>
        <w:spacing w:before="360"/>
        <w:outlineLvl w:val="0"/>
        <w:rPr>
          <w:lang w:val="es-ES"/>
        </w:rPr>
      </w:pPr>
      <w:r w:rsidRPr="00B81C09">
        <w:rPr>
          <w:lang w:val="es-ES"/>
        </w:rPr>
        <w:t xml:space="preserve">Con datos originales, en </w:t>
      </w:r>
      <w:r w:rsidR="003D1A04">
        <w:rPr>
          <w:lang w:val="es-ES"/>
        </w:rPr>
        <w:t xml:space="preserve">el cuarto mes </w:t>
      </w:r>
      <w:r w:rsidRPr="00B81C09">
        <w:rPr>
          <w:lang w:val="es-ES"/>
        </w:rPr>
        <w:t>de</w:t>
      </w:r>
      <w:r w:rsidR="00402C4B">
        <w:rPr>
          <w:lang w:val="es-ES"/>
        </w:rPr>
        <w:t xml:space="preserve"> 2022</w:t>
      </w:r>
      <w:r w:rsidRPr="00B81C09">
        <w:rPr>
          <w:lang w:val="es-ES"/>
        </w:rPr>
        <w:t xml:space="preserve"> los cinco rubros que conforman el </w:t>
      </w:r>
      <w:r w:rsidR="007476A5">
        <w:rPr>
          <w:lang w:val="es-ES"/>
        </w:rPr>
        <w:t xml:space="preserve">IPM </w:t>
      </w:r>
      <w:r w:rsidR="003D1A04">
        <w:rPr>
          <w:lang w:val="es-ES"/>
        </w:rPr>
        <w:t>regi</w:t>
      </w:r>
      <w:r w:rsidR="00EF1F2C">
        <w:rPr>
          <w:lang w:val="es-ES"/>
        </w:rPr>
        <w:t xml:space="preserve">straron </w:t>
      </w:r>
      <w:r w:rsidR="003D1A04">
        <w:rPr>
          <w:lang w:val="es-MX"/>
        </w:rPr>
        <w:t>incrementos</w:t>
      </w:r>
      <w:r w:rsidR="00402C4B" w:rsidRPr="00402C4B">
        <w:rPr>
          <w:lang w:val="es-ES"/>
        </w:rPr>
        <w:t xml:space="preserve"> anuales</w:t>
      </w:r>
      <w:r w:rsidRPr="00B81C09">
        <w:rPr>
          <w:lang w:val="es-ES"/>
        </w:rPr>
        <w:t>.</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1A35165C" w:rsidR="0007670F" w:rsidRPr="005B0949" w:rsidRDefault="003B0BA1" w:rsidP="00577712">
            <w:pPr>
              <w:widowControl w:val="0"/>
              <w:spacing w:before="40" w:after="40" w:line="240" w:lineRule="atLeast"/>
              <w:jc w:val="center"/>
              <w:rPr>
                <w:sz w:val="18"/>
                <w:szCs w:val="18"/>
              </w:rPr>
            </w:pPr>
            <w:r>
              <w:rPr>
                <w:sz w:val="18"/>
                <w:szCs w:val="18"/>
              </w:rPr>
              <w:t>Abril</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3B0BA1" w:rsidRPr="005B0949" w14:paraId="5C0AB6F6" w14:textId="77777777" w:rsidTr="003B0BA1">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3B0BA1" w:rsidRPr="005B0949" w:rsidRDefault="003B0BA1" w:rsidP="003B0BA1">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39256454" w:rsidR="003B0BA1" w:rsidRPr="00CF100F" w:rsidRDefault="003B0BA1" w:rsidP="003B0BA1">
            <w:pPr>
              <w:tabs>
                <w:tab w:val="decimal" w:pos="594"/>
              </w:tabs>
              <w:jc w:val="left"/>
              <w:rPr>
                <w:b/>
                <w:bCs/>
                <w:color w:val="000000"/>
                <w:sz w:val="18"/>
                <w:szCs w:val="18"/>
              </w:rPr>
            </w:pPr>
            <w:r>
              <w:rPr>
                <w:b/>
                <w:bCs/>
                <w:color w:val="000000"/>
                <w:sz w:val="18"/>
                <w:szCs w:val="18"/>
              </w:rPr>
              <w:t>49.9</w:t>
            </w:r>
          </w:p>
        </w:tc>
        <w:tc>
          <w:tcPr>
            <w:tcW w:w="1225" w:type="dxa"/>
            <w:tcBorders>
              <w:top w:val="single" w:sz="6" w:space="0" w:color="404040"/>
              <w:right w:val="single" w:sz="6" w:space="0" w:color="404040"/>
            </w:tcBorders>
            <w:vAlign w:val="center"/>
          </w:tcPr>
          <w:p w14:paraId="6576A907" w14:textId="4B703389" w:rsidR="003B0BA1" w:rsidRPr="00CF100F" w:rsidRDefault="003B0BA1" w:rsidP="003B0BA1">
            <w:pPr>
              <w:tabs>
                <w:tab w:val="decimal" w:pos="536"/>
              </w:tabs>
              <w:jc w:val="left"/>
              <w:rPr>
                <w:b/>
                <w:bCs/>
                <w:color w:val="000000"/>
                <w:sz w:val="18"/>
                <w:szCs w:val="18"/>
              </w:rPr>
            </w:pPr>
            <w:r>
              <w:rPr>
                <w:b/>
                <w:bCs/>
                <w:color w:val="000000"/>
                <w:sz w:val="18"/>
                <w:szCs w:val="18"/>
              </w:rPr>
              <w:t>51.2</w:t>
            </w:r>
          </w:p>
        </w:tc>
        <w:tc>
          <w:tcPr>
            <w:tcW w:w="1225" w:type="dxa"/>
            <w:tcBorders>
              <w:top w:val="single" w:sz="6" w:space="0" w:color="404040"/>
              <w:right w:val="single" w:sz="6" w:space="0" w:color="404040"/>
            </w:tcBorders>
            <w:vAlign w:val="center"/>
          </w:tcPr>
          <w:p w14:paraId="143F50C8" w14:textId="0B8B7644" w:rsidR="003B0BA1" w:rsidRPr="00CF100F" w:rsidRDefault="003B0BA1" w:rsidP="003B0BA1">
            <w:pPr>
              <w:tabs>
                <w:tab w:val="decimal" w:pos="528"/>
              </w:tabs>
              <w:jc w:val="left"/>
              <w:rPr>
                <w:b/>
                <w:bCs/>
                <w:color w:val="000000"/>
                <w:sz w:val="18"/>
                <w:szCs w:val="18"/>
              </w:rPr>
            </w:pPr>
            <w:r>
              <w:rPr>
                <w:b/>
                <w:bCs/>
                <w:color w:val="000000"/>
                <w:sz w:val="18"/>
                <w:szCs w:val="18"/>
              </w:rPr>
              <w:t>1.2</w:t>
            </w:r>
          </w:p>
        </w:tc>
      </w:tr>
      <w:tr w:rsidR="003B0BA1" w:rsidRPr="005B0949" w14:paraId="73010FEF" w14:textId="77777777" w:rsidTr="003B0BA1">
        <w:trPr>
          <w:cantSplit/>
          <w:trHeight w:val="20"/>
          <w:jc w:val="center"/>
        </w:trPr>
        <w:tc>
          <w:tcPr>
            <w:tcW w:w="5092" w:type="dxa"/>
            <w:tcBorders>
              <w:left w:val="single" w:sz="6" w:space="0" w:color="404040"/>
              <w:right w:val="single" w:sz="6" w:space="0" w:color="404040"/>
            </w:tcBorders>
            <w:vAlign w:val="center"/>
          </w:tcPr>
          <w:p w14:paraId="2219DEF3" w14:textId="77777777" w:rsidR="003B0BA1" w:rsidRPr="005B0949" w:rsidRDefault="003B0BA1" w:rsidP="003B0BA1">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68F40F37" w:rsidR="003B0BA1" w:rsidRPr="00CF100F" w:rsidRDefault="003B0BA1" w:rsidP="003B0BA1">
            <w:pPr>
              <w:tabs>
                <w:tab w:val="decimal" w:pos="594"/>
              </w:tabs>
              <w:jc w:val="left"/>
              <w:rPr>
                <w:color w:val="000000"/>
                <w:sz w:val="18"/>
                <w:szCs w:val="18"/>
              </w:rPr>
            </w:pPr>
            <w:r>
              <w:rPr>
                <w:color w:val="000000"/>
                <w:sz w:val="18"/>
                <w:szCs w:val="18"/>
              </w:rPr>
              <w:t>49.7</w:t>
            </w:r>
          </w:p>
        </w:tc>
        <w:tc>
          <w:tcPr>
            <w:tcW w:w="1225" w:type="dxa"/>
            <w:tcBorders>
              <w:right w:val="single" w:sz="6" w:space="0" w:color="404040"/>
            </w:tcBorders>
            <w:vAlign w:val="center"/>
          </w:tcPr>
          <w:p w14:paraId="49D1DA46" w14:textId="60D1D6B5" w:rsidR="003B0BA1" w:rsidRPr="00CF100F" w:rsidRDefault="003B0BA1" w:rsidP="003B0BA1">
            <w:pPr>
              <w:tabs>
                <w:tab w:val="decimal" w:pos="536"/>
              </w:tabs>
              <w:jc w:val="left"/>
              <w:rPr>
                <w:color w:val="000000"/>
                <w:sz w:val="18"/>
                <w:szCs w:val="18"/>
              </w:rPr>
            </w:pPr>
            <w:r>
              <w:rPr>
                <w:color w:val="000000"/>
                <w:sz w:val="18"/>
                <w:szCs w:val="18"/>
              </w:rPr>
              <w:t>51.5</w:t>
            </w:r>
          </w:p>
        </w:tc>
        <w:tc>
          <w:tcPr>
            <w:tcW w:w="1225" w:type="dxa"/>
            <w:tcBorders>
              <w:right w:val="single" w:sz="6" w:space="0" w:color="404040"/>
            </w:tcBorders>
            <w:vAlign w:val="center"/>
          </w:tcPr>
          <w:p w14:paraId="12AF87FF" w14:textId="054C26A1" w:rsidR="003B0BA1" w:rsidRPr="00CF100F" w:rsidRDefault="003B0BA1" w:rsidP="003B0BA1">
            <w:pPr>
              <w:tabs>
                <w:tab w:val="decimal" w:pos="528"/>
              </w:tabs>
              <w:jc w:val="left"/>
              <w:rPr>
                <w:color w:val="000000"/>
                <w:sz w:val="18"/>
                <w:szCs w:val="18"/>
              </w:rPr>
            </w:pPr>
            <w:r>
              <w:rPr>
                <w:color w:val="000000"/>
                <w:sz w:val="18"/>
                <w:szCs w:val="18"/>
              </w:rPr>
              <w:t>1.7</w:t>
            </w:r>
          </w:p>
        </w:tc>
      </w:tr>
      <w:tr w:rsidR="003B0BA1" w:rsidRPr="005B0949" w14:paraId="3EFD7D1A" w14:textId="77777777" w:rsidTr="003B0BA1">
        <w:trPr>
          <w:cantSplit/>
          <w:trHeight w:val="20"/>
          <w:jc w:val="center"/>
        </w:trPr>
        <w:tc>
          <w:tcPr>
            <w:tcW w:w="5092" w:type="dxa"/>
            <w:tcBorders>
              <w:left w:val="single" w:sz="6" w:space="0" w:color="404040"/>
              <w:right w:val="single" w:sz="6" w:space="0" w:color="404040"/>
            </w:tcBorders>
            <w:vAlign w:val="center"/>
          </w:tcPr>
          <w:p w14:paraId="0ACD3CE9" w14:textId="77777777" w:rsidR="003B0BA1" w:rsidRPr="005B0949" w:rsidRDefault="003B0BA1" w:rsidP="003B0BA1">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2BFB388A" w:rsidR="003B0BA1" w:rsidRPr="00CF100F" w:rsidRDefault="003B0BA1" w:rsidP="003B0BA1">
            <w:pPr>
              <w:tabs>
                <w:tab w:val="decimal" w:pos="594"/>
              </w:tabs>
              <w:jc w:val="left"/>
              <w:rPr>
                <w:color w:val="000000"/>
                <w:sz w:val="18"/>
                <w:szCs w:val="18"/>
              </w:rPr>
            </w:pPr>
            <w:r>
              <w:rPr>
                <w:color w:val="000000"/>
                <w:sz w:val="18"/>
                <w:szCs w:val="18"/>
              </w:rPr>
              <w:t>50.1</w:t>
            </w:r>
          </w:p>
        </w:tc>
        <w:tc>
          <w:tcPr>
            <w:tcW w:w="1225" w:type="dxa"/>
            <w:tcBorders>
              <w:right w:val="single" w:sz="6" w:space="0" w:color="404040"/>
            </w:tcBorders>
            <w:vAlign w:val="center"/>
          </w:tcPr>
          <w:p w14:paraId="544FD5C2" w14:textId="362705FB" w:rsidR="003B0BA1" w:rsidRPr="00CF100F" w:rsidRDefault="003B0BA1" w:rsidP="003B0BA1">
            <w:pPr>
              <w:tabs>
                <w:tab w:val="decimal" w:pos="536"/>
              </w:tabs>
              <w:jc w:val="left"/>
              <w:rPr>
                <w:color w:val="000000"/>
                <w:sz w:val="18"/>
                <w:szCs w:val="18"/>
              </w:rPr>
            </w:pPr>
            <w:r>
              <w:rPr>
                <w:color w:val="000000"/>
                <w:sz w:val="18"/>
                <w:szCs w:val="18"/>
              </w:rPr>
              <w:t>51.6</w:t>
            </w:r>
          </w:p>
        </w:tc>
        <w:tc>
          <w:tcPr>
            <w:tcW w:w="1225" w:type="dxa"/>
            <w:tcBorders>
              <w:right w:val="single" w:sz="6" w:space="0" w:color="404040"/>
            </w:tcBorders>
            <w:vAlign w:val="center"/>
          </w:tcPr>
          <w:p w14:paraId="15C844A0" w14:textId="04338FF7" w:rsidR="003B0BA1" w:rsidRPr="00CF100F" w:rsidRDefault="003B0BA1" w:rsidP="003B0BA1">
            <w:pPr>
              <w:tabs>
                <w:tab w:val="decimal" w:pos="528"/>
              </w:tabs>
              <w:jc w:val="left"/>
              <w:rPr>
                <w:color w:val="000000"/>
                <w:sz w:val="18"/>
                <w:szCs w:val="18"/>
              </w:rPr>
            </w:pPr>
            <w:r>
              <w:rPr>
                <w:color w:val="000000"/>
                <w:sz w:val="18"/>
                <w:szCs w:val="18"/>
              </w:rPr>
              <w:t>1.5</w:t>
            </w:r>
          </w:p>
        </w:tc>
      </w:tr>
      <w:tr w:rsidR="003B0BA1" w:rsidRPr="005B0949" w14:paraId="7CE2533C" w14:textId="77777777" w:rsidTr="003B0BA1">
        <w:trPr>
          <w:cantSplit/>
          <w:trHeight w:val="20"/>
          <w:jc w:val="center"/>
        </w:trPr>
        <w:tc>
          <w:tcPr>
            <w:tcW w:w="5092" w:type="dxa"/>
            <w:tcBorders>
              <w:left w:val="single" w:sz="6" w:space="0" w:color="404040"/>
              <w:right w:val="single" w:sz="6" w:space="0" w:color="404040"/>
            </w:tcBorders>
            <w:vAlign w:val="center"/>
          </w:tcPr>
          <w:p w14:paraId="1DB51328" w14:textId="77777777" w:rsidR="003B0BA1" w:rsidRPr="005B0949" w:rsidRDefault="003B0BA1" w:rsidP="003B0BA1">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6B11C849" w:rsidR="003B0BA1" w:rsidRPr="00CF100F" w:rsidRDefault="003B0BA1" w:rsidP="003B0BA1">
            <w:pPr>
              <w:tabs>
                <w:tab w:val="decimal" w:pos="594"/>
              </w:tabs>
              <w:jc w:val="left"/>
              <w:rPr>
                <w:color w:val="000000"/>
                <w:sz w:val="18"/>
                <w:szCs w:val="18"/>
              </w:rPr>
            </w:pPr>
            <w:r>
              <w:rPr>
                <w:color w:val="000000"/>
                <w:sz w:val="18"/>
                <w:szCs w:val="18"/>
              </w:rPr>
              <w:t>50.4</w:t>
            </w:r>
          </w:p>
        </w:tc>
        <w:tc>
          <w:tcPr>
            <w:tcW w:w="1225" w:type="dxa"/>
            <w:tcBorders>
              <w:right w:val="single" w:sz="6" w:space="0" w:color="404040"/>
            </w:tcBorders>
            <w:vAlign w:val="center"/>
          </w:tcPr>
          <w:p w14:paraId="69B56E05" w14:textId="68D6D170" w:rsidR="003B0BA1" w:rsidRPr="00CF100F" w:rsidRDefault="003B0BA1" w:rsidP="003B0BA1">
            <w:pPr>
              <w:tabs>
                <w:tab w:val="decimal" w:pos="536"/>
              </w:tabs>
              <w:jc w:val="left"/>
              <w:rPr>
                <w:color w:val="000000"/>
                <w:sz w:val="18"/>
                <w:szCs w:val="18"/>
              </w:rPr>
            </w:pPr>
            <w:r>
              <w:rPr>
                <w:color w:val="000000"/>
                <w:sz w:val="18"/>
                <w:szCs w:val="18"/>
              </w:rPr>
              <w:t>51.0</w:t>
            </w:r>
          </w:p>
        </w:tc>
        <w:tc>
          <w:tcPr>
            <w:tcW w:w="1225" w:type="dxa"/>
            <w:tcBorders>
              <w:right w:val="single" w:sz="6" w:space="0" w:color="404040"/>
            </w:tcBorders>
            <w:vAlign w:val="center"/>
          </w:tcPr>
          <w:p w14:paraId="704AB3D8" w14:textId="34101265" w:rsidR="003B0BA1" w:rsidRPr="00CF100F" w:rsidRDefault="003B0BA1" w:rsidP="003B0BA1">
            <w:pPr>
              <w:tabs>
                <w:tab w:val="decimal" w:pos="528"/>
              </w:tabs>
              <w:jc w:val="left"/>
              <w:rPr>
                <w:color w:val="000000"/>
                <w:sz w:val="18"/>
                <w:szCs w:val="18"/>
              </w:rPr>
            </w:pPr>
            <w:r>
              <w:rPr>
                <w:color w:val="000000"/>
                <w:sz w:val="18"/>
                <w:szCs w:val="18"/>
              </w:rPr>
              <w:t>0.6</w:t>
            </w:r>
          </w:p>
        </w:tc>
      </w:tr>
      <w:tr w:rsidR="003B0BA1" w:rsidRPr="005B0949" w14:paraId="7C2F41D3" w14:textId="77777777" w:rsidTr="003B0BA1">
        <w:trPr>
          <w:cantSplit/>
          <w:trHeight w:val="20"/>
          <w:jc w:val="center"/>
        </w:trPr>
        <w:tc>
          <w:tcPr>
            <w:tcW w:w="5092" w:type="dxa"/>
            <w:tcBorders>
              <w:left w:val="single" w:sz="6" w:space="0" w:color="404040"/>
              <w:right w:val="single" w:sz="6" w:space="0" w:color="404040"/>
            </w:tcBorders>
            <w:vAlign w:val="center"/>
          </w:tcPr>
          <w:p w14:paraId="11A0290C" w14:textId="77777777" w:rsidR="003B0BA1" w:rsidRPr="005B0949" w:rsidRDefault="003B0BA1" w:rsidP="003B0BA1">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472BC61F" w:rsidR="003B0BA1" w:rsidRPr="00CF100F" w:rsidRDefault="003B0BA1" w:rsidP="003B0BA1">
            <w:pPr>
              <w:tabs>
                <w:tab w:val="decimal" w:pos="594"/>
              </w:tabs>
              <w:jc w:val="left"/>
              <w:rPr>
                <w:color w:val="000000"/>
                <w:sz w:val="18"/>
                <w:szCs w:val="18"/>
              </w:rPr>
            </w:pPr>
            <w:r>
              <w:rPr>
                <w:color w:val="000000"/>
                <w:sz w:val="18"/>
                <w:szCs w:val="18"/>
              </w:rPr>
              <w:t>47.9</w:t>
            </w:r>
          </w:p>
        </w:tc>
        <w:tc>
          <w:tcPr>
            <w:tcW w:w="1225" w:type="dxa"/>
            <w:tcBorders>
              <w:right w:val="single" w:sz="6" w:space="0" w:color="404040"/>
            </w:tcBorders>
            <w:vAlign w:val="center"/>
          </w:tcPr>
          <w:p w14:paraId="45BFCFD7" w14:textId="76D7E458" w:rsidR="003B0BA1" w:rsidRPr="00CF100F" w:rsidRDefault="003B0BA1" w:rsidP="003B0BA1">
            <w:pPr>
              <w:tabs>
                <w:tab w:val="decimal" w:pos="536"/>
              </w:tabs>
              <w:jc w:val="left"/>
              <w:rPr>
                <w:color w:val="000000"/>
                <w:sz w:val="18"/>
                <w:szCs w:val="18"/>
              </w:rPr>
            </w:pPr>
            <w:r>
              <w:rPr>
                <w:color w:val="000000"/>
                <w:sz w:val="18"/>
                <w:szCs w:val="18"/>
              </w:rPr>
              <w:t>49.2</w:t>
            </w:r>
          </w:p>
        </w:tc>
        <w:tc>
          <w:tcPr>
            <w:tcW w:w="1225" w:type="dxa"/>
            <w:tcBorders>
              <w:right w:val="single" w:sz="6" w:space="0" w:color="404040"/>
            </w:tcBorders>
            <w:vAlign w:val="center"/>
          </w:tcPr>
          <w:p w14:paraId="6A954970" w14:textId="26C90F82" w:rsidR="003B0BA1" w:rsidRPr="00CF100F" w:rsidRDefault="003B0BA1" w:rsidP="003B0BA1">
            <w:pPr>
              <w:tabs>
                <w:tab w:val="decimal" w:pos="528"/>
              </w:tabs>
              <w:jc w:val="left"/>
              <w:rPr>
                <w:color w:val="000000"/>
                <w:sz w:val="18"/>
                <w:szCs w:val="18"/>
              </w:rPr>
            </w:pPr>
            <w:r>
              <w:rPr>
                <w:color w:val="000000"/>
                <w:sz w:val="18"/>
                <w:szCs w:val="18"/>
              </w:rPr>
              <w:t>1.3</w:t>
            </w:r>
          </w:p>
        </w:tc>
      </w:tr>
      <w:tr w:rsidR="003B0BA1" w:rsidRPr="005B0949" w14:paraId="624EBD59" w14:textId="77777777" w:rsidTr="003B0BA1">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3B0BA1" w:rsidRPr="005B0949" w:rsidRDefault="003B0BA1" w:rsidP="003B0BA1">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53A490A7" w:rsidR="003B0BA1" w:rsidRPr="00CF100F" w:rsidRDefault="003B0BA1" w:rsidP="003B0BA1">
            <w:pPr>
              <w:tabs>
                <w:tab w:val="decimal" w:pos="594"/>
              </w:tabs>
              <w:jc w:val="left"/>
              <w:rPr>
                <w:color w:val="000000"/>
                <w:sz w:val="18"/>
                <w:szCs w:val="18"/>
              </w:rPr>
            </w:pPr>
            <w:r>
              <w:rPr>
                <w:color w:val="000000"/>
                <w:sz w:val="18"/>
                <w:szCs w:val="18"/>
              </w:rPr>
              <w:t>52.4</w:t>
            </w:r>
          </w:p>
        </w:tc>
        <w:tc>
          <w:tcPr>
            <w:tcW w:w="1225" w:type="dxa"/>
            <w:tcBorders>
              <w:bottom w:val="single" w:sz="6" w:space="0" w:color="404040"/>
              <w:right w:val="single" w:sz="6" w:space="0" w:color="404040"/>
            </w:tcBorders>
            <w:vAlign w:val="center"/>
          </w:tcPr>
          <w:p w14:paraId="07E45048" w14:textId="34C9B8D1" w:rsidR="003B0BA1" w:rsidRPr="00CF100F" w:rsidRDefault="003B0BA1" w:rsidP="003B0BA1">
            <w:pPr>
              <w:tabs>
                <w:tab w:val="decimal" w:pos="536"/>
              </w:tabs>
              <w:jc w:val="left"/>
              <w:rPr>
                <w:color w:val="000000"/>
                <w:sz w:val="18"/>
                <w:szCs w:val="18"/>
              </w:rPr>
            </w:pPr>
            <w:r>
              <w:rPr>
                <w:color w:val="000000"/>
                <w:sz w:val="18"/>
                <w:szCs w:val="18"/>
              </w:rPr>
              <w:t>52.8</w:t>
            </w:r>
          </w:p>
        </w:tc>
        <w:tc>
          <w:tcPr>
            <w:tcW w:w="1225" w:type="dxa"/>
            <w:tcBorders>
              <w:bottom w:val="single" w:sz="6" w:space="0" w:color="404040"/>
              <w:right w:val="single" w:sz="6" w:space="0" w:color="404040"/>
            </w:tcBorders>
            <w:vAlign w:val="center"/>
          </w:tcPr>
          <w:p w14:paraId="5CE89952" w14:textId="2FEE0695" w:rsidR="003B0BA1" w:rsidRPr="00CF100F" w:rsidRDefault="003B0BA1" w:rsidP="003B0BA1">
            <w:pPr>
              <w:tabs>
                <w:tab w:val="decimal" w:pos="528"/>
              </w:tabs>
              <w:jc w:val="left"/>
              <w:rPr>
                <w:sz w:val="18"/>
                <w:szCs w:val="18"/>
              </w:rPr>
            </w:pPr>
            <w:r>
              <w:rPr>
                <w:color w:val="000000"/>
                <w:sz w:val="18"/>
                <w:szCs w:val="18"/>
              </w:rPr>
              <w:t>0.4</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5C44F32B" w:rsidR="00DC335D" w:rsidRPr="00E8398E" w:rsidRDefault="009347AB" w:rsidP="003D1A04">
      <w:pPr>
        <w:pStyle w:val="p0"/>
        <w:rPr>
          <w:rFonts w:ascii="Arial" w:hAnsi="Arial"/>
          <w:snapToGrid/>
          <w:color w:val="auto"/>
          <w:lang w:val="es-ES"/>
        </w:rPr>
      </w:pPr>
      <w:r>
        <w:rPr>
          <w:rFonts w:ascii="Arial" w:hAnsi="Arial"/>
          <w:snapToGrid/>
          <w:color w:val="auto"/>
          <w:lang w:val="es-ES"/>
        </w:rPr>
        <w:t>En</w:t>
      </w:r>
      <w:r w:rsidR="003D1A04" w:rsidRPr="003D1A04">
        <w:rPr>
          <w:rFonts w:ascii="Arial" w:hAnsi="Arial"/>
          <w:snapToGrid/>
          <w:color w:val="auto"/>
          <w:lang w:val="es-ES"/>
        </w:rPr>
        <w:t xml:space="preserve"> abril de 2022</w:t>
      </w:r>
      <w:r>
        <w:rPr>
          <w:rFonts w:ascii="Arial" w:hAnsi="Arial"/>
          <w:snapToGrid/>
          <w:color w:val="auto"/>
          <w:lang w:val="es-ES"/>
        </w:rPr>
        <w:t>,</w:t>
      </w:r>
      <w:r w:rsidR="003D1A04" w:rsidRPr="003D1A04">
        <w:rPr>
          <w:rFonts w:ascii="Arial" w:hAnsi="Arial"/>
          <w:snapToGrid/>
          <w:color w:val="auto"/>
          <w:lang w:val="es-ES"/>
        </w:rPr>
        <w:t xml:space="preserve"> el agregado de Alimentos, bebidas y tabaco </w:t>
      </w:r>
      <w:r>
        <w:rPr>
          <w:rFonts w:ascii="Arial" w:hAnsi="Arial"/>
          <w:snapToGrid/>
          <w:color w:val="auto"/>
          <w:lang w:val="es-ES"/>
        </w:rPr>
        <w:t>mostr</w:t>
      </w:r>
      <w:r w:rsidR="003D1A04" w:rsidRPr="003D1A04">
        <w:rPr>
          <w:rFonts w:ascii="Arial" w:hAnsi="Arial"/>
          <w:snapToGrid/>
          <w:color w:val="auto"/>
          <w:lang w:val="es-ES"/>
        </w:rPr>
        <w:t xml:space="preserve">ó una caída anual de 2.3 puntos con cifras sin ajuste estacional; el de Derivados del petróleo y del carbón, industria química, del plástico y del hule </w:t>
      </w:r>
      <w:r>
        <w:rPr>
          <w:rFonts w:ascii="Arial" w:hAnsi="Arial"/>
          <w:snapToGrid/>
          <w:color w:val="auto"/>
          <w:lang w:val="es-ES"/>
        </w:rPr>
        <w:t xml:space="preserve">subió </w:t>
      </w:r>
      <w:r w:rsidR="003D1A04" w:rsidRPr="003D1A04">
        <w:rPr>
          <w:rFonts w:ascii="Arial" w:hAnsi="Arial"/>
          <w:snapToGrid/>
          <w:color w:val="auto"/>
          <w:lang w:val="es-ES"/>
        </w:rPr>
        <w:t>8 puntos; el de Minerales no metálicos y metálicas básicas disminuyó 0.8 puntos; el de Equipo de computación, accesorios electrónicos y aparatos eléctricos descendió 0.4 puntos; el de Equipo de transporte retrocedió 3.7 puntos; el de Productos metálicos, maquinaria, equipo y muebles aumentó 0.1 puntos</w:t>
      </w:r>
      <w:r w:rsidR="00C11A5B">
        <w:rPr>
          <w:rFonts w:ascii="Arial" w:hAnsi="Arial"/>
          <w:snapToGrid/>
          <w:color w:val="auto"/>
          <w:lang w:val="es-ES"/>
        </w:rPr>
        <w:t>,</w:t>
      </w:r>
      <w:r w:rsidR="003D1A04" w:rsidRPr="003D1A04">
        <w:rPr>
          <w:rFonts w:ascii="Arial" w:hAnsi="Arial"/>
          <w:snapToGrid/>
          <w:color w:val="auto"/>
          <w:lang w:val="es-ES"/>
        </w:rPr>
        <w:t xml:space="preserve"> y el de Textiles, prendas de vestir, cuero y piel, madera, papel y otras creció 0.5 puntos</w:t>
      </w:r>
      <w:r w:rsidR="00B81C09" w:rsidRPr="00B81C09">
        <w:rPr>
          <w:rFonts w:ascii="Arial" w:hAnsi="Arial"/>
          <w:snapToGrid/>
          <w:color w:val="auto"/>
          <w:lang w:val="es-ES"/>
        </w:rPr>
        <w:t>.</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68750823" w:rsidR="00164039" w:rsidRPr="005B0949" w:rsidRDefault="003B0BA1" w:rsidP="00133C48">
            <w:pPr>
              <w:keepNext/>
              <w:keepLines/>
              <w:spacing w:before="40" w:after="40" w:line="240" w:lineRule="exact"/>
              <w:jc w:val="center"/>
              <w:rPr>
                <w:sz w:val="18"/>
                <w:szCs w:val="18"/>
              </w:rPr>
            </w:pPr>
            <w:r>
              <w:rPr>
                <w:sz w:val="18"/>
                <w:szCs w:val="18"/>
              </w:rPr>
              <w:t>Abril</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3B0BA1" w:rsidRPr="005B0949" w14:paraId="0D2B584E" w14:textId="77777777" w:rsidTr="003B0BA1">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3B0BA1" w:rsidRPr="005B0949" w:rsidRDefault="003B0BA1" w:rsidP="003B0BA1">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0055ECAC" w:rsidR="003B0BA1" w:rsidRPr="000E7D75" w:rsidRDefault="003B0BA1" w:rsidP="003B0BA1">
            <w:pPr>
              <w:tabs>
                <w:tab w:val="decimal" w:pos="414"/>
              </w:tabs>
              <w:jc w:val="left"/>
              <w:rPr>
                <w:b/>
                <w:bCs/>
                <w:color w:val="000000"/>
                <w:sz w:val="18"/>
                <w:szCs w:val="18"/>
              </w:rPr>
            </w:pPr>
            <w:r>
              <w:rPr>
                <w:b/>
                <w:bCs/>
                <w:sz w:val="18"/>
                <w:szCs w:val="18"/>
              </w:rPr>
              <w:t>49.9</w:t>
            </w:r>
          </w:p>
        </w:tc>
        <w:tc>
          <w:tcPr>
            <w:tcW w:w="505" w:type="pct"/>
            <w:tcBorders>
              <w:top w:val="single" w:sz="6" w:space="0" w:color="404040"/>
              <w:right w:val="single" w:sz="6" w:space="0" w:color="404040"/>
            </w:tcBorders>
            <w:vAlign w:val="center"/>
          </w:tcPr>
          <w:p w14:paraId="73DB042F" w14:textId="76945BDD" w:rsidR="003B0BA1" w:rsidRPr="000E7D75" w:rsidRDefault="003B0BA1" w:rsidP="003B0BA1">
            <w:pPr>
              <w:tabs>
                <w:tab w:val="decimal" w:pos="368"/>
              </w:tabs>
              <w:jc w:val="left"/>
              <w:rPr>
                <w:b/>
                <w:bCs/>
                <w:color w:val="000000"/>
                <w:sz w:val="18"/>
                <w:szCs w:val="18"/>
              </w:rPr>
            </w:pPr>
            <w:r>
              <w:rPr>
                <w:b/>
                <w:bCs/>
                <w:sz w:val="18"/>
                <w:szCs w:val="18"/>
              </w:rPr>
              <w:t>51.2</w:t>
            </w:r>
          </w:p>
        </w:tc>
        <w:tc>
          <w:tcPr>
            <w:tcW w:w="625" w:type="pct"/>
            <w:tcBorders>
              <w:top w:val="single" w:sz="6" w:space="0" w:color="404040"/>
              <w:right w:val="single" w:sz="6" w:space="0" w:color="404040"/>
            </w:tcBorders>
            <w:vAlign w:val="center"/>
          </w:tcPr>
          <w:p w14:paraId="343C6CEC" w14:textId="57BA4048" w:rsidR="003B0BA1" w:rsidRPr="000E7D75" w:rsidRDefault="003B0BA1" w:rsidP="003B0BA1">
            <w:pPr>
              <w:tabs>
                <w:tab w:val="decimal" w:pos="483"/>
              </w:tabs>
              <w:jc w:val="left"/>
              <w:rPr>
                <w:b/>
                <w:bCs/>
                <w:sz w:val="18"/>
                <w:szCs w:val="18"/>
              </w:rPr>
            </w:pPr>
            <w:r>
              <w:rPr>
                <w:b/>
                <w:bCs/>
                <w:color w:val="000000"/>
                <w:sz w:val="18"/>
                <w:szCs w:val="18"/>
              </w:rPr>
              <w:t>1.2</w:t>
            </w:r>
          </w:p>
        </w:tc>
      </w:tr>
      <w:tr w:rsidR="003B0BA1" w:rsidRPr="005B0949" w14:paraId="66F8C639" w14:textId="77777777" w:rsidTr="003B0BA1">
        <w:trPr>
          <w:cantSplit/>
          <w:trHeight w:val="20"/>
          <w:jc w:val="center"/>
        </w:trPr>
        <w:tc>
          <w:tcPr>
            <w:tcW w:w="3364" w:type="pct"/>
            <w:tcBorders>
              <w:left w:val="single" w:sz="6" w:space="0" w:color="404040"/>
              <w:right w:val="single" w:sz="6" w:space="0" w:color="404040"/>
            </w:tcBorders>
            <w:vAlign w:val="bottom"/>
          </w:tcPr>
          <w:p w14:paraId="52E74F26" w14:textId="77777777" w:rsidR="003B0BA1" w:rsidRPr="005B0949" w:rsidRDefault="003B0BA1" w:rsidP="003B0BA1">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16B6E7FA" w:rsidR="003B0BA1" w:rsidRPr="000E7D75" w:rsidRDefault="003B0BA1" w:rsidP="003B0BA1">
            <w:pPr>
              <w:tabs>
                <w:tab w:val="decimal" w:pos="414"/>
              </w:tabs>
              <w:jc w:val="left"/>
              <w:rPr>
                <w:color w:val="000000"/>
                <w:sz w:val="18"/>
                <w:szCs w:val="18"/>
              </w:rPr>
            </w:pPr>
            <w:r>
              <w:rPr>
                <w:sz w:val="18"/>
                <w:szCs w:val="18"/>
              </w:rPr>
              <w:t>52.0</w:t>
            </w:r>
          </w:p>
        </w:tc>
        <w:tc>
          <w:tcPr>
            <w:tcW w:w="505" w:type="pct"/>
            <w:tcBorders>
              <w:right w:val="single" w:sz="6" w:space="0" w:color="404040"/>
            </w:tcBorders>
            <w:vAlign w:val="center"/>
          </w:tcPr>
          <w:p w14:paraId="7FF84BA9" w14:textId="26C4E9FF" w:rsidR="003B0BA1" w:rsidRPr="000E7D75" w:rsidRDefault="003B0BA1" w:rsidP="003B0BA1">
            <w:pPr>
              <w:tabs>
                <w:tab w:val="decimal" w:pos="368"/>
              </w:tabs>
              <w:jc w:val="left"/>
              <w:rPr>
                <w:color w:val="000000"/>
                <w:sz w:val="18"/>
                <w:szCs w:val="18"/>
              </w:rPr>
            </w:pPr>
            <w:r>
              <w:rPr>
                <w:sz w:val="18"/>
                <w:szCs w:val="18"/>
              </w:rPr>
              <w:t>49.7</w:t>
            </w:r>
          </w:p>
        </w:tc>
        <w:tc>
          <w:tcPr>
            <w:tcW w:w="625" w:type="pct"/>
            <w:tcBorders>
              <w:right w:val="single" w:sz="6" w:space="0" w:color="404040"/>
            </w:tcBorders>
            <w:vAlign w:val="center"/>
          </w:tcPr>
          <w:p w14:paraId="737B9464" w14:textId="376CE05A" w:rsidR="003B0BA1" w:rsidRPr="000E7D75" w:rsidRDefault="003B0BA1" w:rsidP="003B0BA1">
            <w:pPr>
              <w:tabs>
                <w:tab w:val="decimal" w:pos="483"/>
              </w:tabs>
              <w:jc w:val="left"/>
              <w:rPr>
                <w:sz w:val="18"/>
                <w:szCs w:val="18"/>
              </w:rPr>
            </w:pPr>
            <w:r>
              <w:rPr>
                <w:color w:val="000000"/>
                <w:sz w:val="18"/>
                <w:szCs w:val="18"/>
              </w:rPr>
              <w:t>-2.3</w:t>
            </w:r>
          </w:p>
        </w:tc>
      </w:tr>
      <w:tr w:rsidR="003B0BA1" w:rsidRPr="005B0949" w14:paraId="25039AF4" w14:textId="77777777" w:rsidTr="003B0BA1">
        <w:trPr>
          <w:cantSplit/>
          <w:trHeight w:val="20"/>
          <w:jc w:val="center"/>
        </w:trPr>
        <w:tc>
          <w:tcPr>
            <w:tcW w:w="3364" w:type="pct"/>
            <w:tcBorders>
              <w:left w:val="single" w:sz="6" w:space="0" w:color="404040"/>
              <w:right w:val="single" w:sz="6" w:space="0" w:color="404040"/>
            </w:tcBorders>
            <w:vAlign w:val="bottom"/>
          </w:tcPr>
          <w:p w14:paraId="70D96952" w14:textId="77777777" w:rsidR="003B0BA1" w:rsidRPr="005B0949" w:rsidRDefault="003B0BA1" w:rsidP="003B0BA1">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607B0CA6" w:rsidR="003B0BA1" w:rsidRPr="000E7D75" w:rsidRDefault="003B0BA1" w:rsidP="003B0BA1">
            <w:pPr>
              <w:tabs>
                <w:tab w:val="decimal" w:pos="414"/>
              </w:tabs>
              <w:jc w:val="left"/>
              <w:rPr>
                <w:color w:val="000000"/>
                <w:sz w:val="18"/>
                <w:szCs w:val="18"/>
              </w:rPr>
            </w:pPr>
            <w:r>
              <w:rPr>
                <w:sz w:val="18"/>
                <w:szCs w:val="18"/>
              </w:rPr>
              <w:t>49.3</w:t>
            </w:r>
          </w:p>
        </w:tc>
        <w:tc>
          <w:tcPr>
            <w:tcW w:w="505" w:type="pct"/>
            <w:tcBorders>
              <w:right w:val="single" w:sz="6" w:space="0" w:color="404040"/>
            </w:tcBorders>
            <w:vAlign w:val="center"/>
          </w:tcPr>
          <w:p w14:paraId="287977B5" w14:textId="21567306" w:rsidR="003B0BA1" w:rsidRPr="000E7D75" w:rsidRDefault="003B0BA1" w:rsidP="003B0BA1">
            <w:pPr>
              <w:tabs>
                <w:tab w:val="decimal" w:pos="368"/>
              </w:tabs>
              <w:jc w:val="left"/>
              <w:rPr>
                <w:color w:val="000000"/>
                <w:sz w:val="18"/>
                <w:szCs w:val="18"/>
              </w:rPr>
            </w:pPr>
            <w:r>
              <w:rPr>
                <w:sz w:val="18"/>
                <w:szCs w:val="18"/>
              </w:rPr>
              <w:t>57.3</w:t>
            </w:r>
          </w:p>
        </w:tc>
        <w:tc>
          <w:tcPr>
            <w:tcW w:w="625" w:type="pct"/>
            <w:tcBorders>
              <w:right w:val="single" w:sz="6" w:space="0" w:color="404040"/>
            </w:tcBorders>
            <w:vAlign w:val="center"/>
          </w:tcPr>
          <w:p w14:paraId="56F235B7" w14:textId="4487B12E" w:rsidR="003B0BA1" w:rsidRPr="000E7D75" w:rsidRDefault="003B0BA1" w:rsidP="003B0BA1">
            <w:pPr>
              <w:tabs>
                <w:tab w:val="decimal" w:pos="483"/>
              </w:tabs>
              <w:jc w:val="left"/>
              <w:rPr>
                <w:sz w:val="18"/>
                <w:szCs w:val="18"/>
              </w:rPr>
            </w:pPr>
            <w:r>
              <w:rPr>
                <w:color w:val="000000"/>
                <w:sz w:val="18"/>
                <w:szCs w:val="18"/>
              </w:rPr>
              <w:t>8.0</w:t>
            </w:r>
          </w:p>
        </w:tc>
      </w:tr>
      <w:tr w:rsidR="003B0BA1" w:rsidRPr="005B0949" w14:paraId="1D6AAD26" w14:textId="77777777" w:rsidTr="003B0BA1">
        <w:trPr>
          <w:cantSplit/>
          <w:trHeight w:val="20"/>
          <w:jc w:val="center"/>
        </w:trPr>
        <w:tc>
          <w:tcPr>
            <w:tcW w:w="3364" w:type="pct"/>
            <w:tcBorders>
              <w:left w:val="single" w:sz="6" w:space="0" w:color="404040"/>
              <w:right w:val="single" w:sz="6" w:space="0" w:color="404040"/>
            </w:tcBorders>
            <w:vAlign w:val="bottom"/>
          </w:tcPr>
          <w:p w14:paraId="165C4495" w14:textId="77777777" w:rsidR="003B0BA1" w:rsidRPr="005B0949" w:rsidRDefault="003B0BA1" w:rsidP="003B0BA1">
            <w:pPr>
              <w:widowControl w:val="0"/>
              <w:spacing w:before="20" w:after="20"/>
              <w:ind w:left="133"/>
              <w:rPr>
                <w:sz w:val="18"/>
                <w:szCs w:val="18"/>
              </w:rPr>
            </w:pPr>
            <w:bookmarkStart w:id="2" w:name="_Hlk99632748"/>
            <w:r w:rsidRPr="005B0949">
              <w:rPr>
                <w:sz w:val="18"/>
                <w:szCs w:val="18"/>
              </w:rPr>
              <w:t>Minerales no metálicos y metálicas básicas</w:t>
            </w:r>
            <w:bookmarkEnd w:id="2"/>
          </w:p>
        </w:tc>
        <w:tc>
          <w:tcPr>
            <w:tcW w:w="505" w:type="pct"/>
            <w:vAlign w:val="center"/>
          </w:tcPr>
          <w:p w14:paraId="6CBFB59C" w14:textId="6BBBA641" w:rsidR="003B0BA1" w:rsidRPr="000E7D75" w:rsidRDefault="003B0BA1" w:rsidP="003B0BA1">
            <w:pPr>
              <w:tabs>
                <w:tab w:val="decimal" w:pos="414"/>
              </w:tabs>
              <w:jc w:val="left"/>
              <w:rPr>
                <w:color w:val="000000"/>
                <w:sz w:val="18"/>
                <w:szCs w:val="18"/>
              </w:rPr>
            </w:pPr>
            <w:r>
              <w:rPr>
                <w:sz w:val="18"/>
                <w:szCs w:val="18"/>
              </w:rPr>
              <w:t>50.8</w:t>
            </w:r>
          </w:p>
        </w:tc>
        <w:tc>
          <w:tcPr>
            <w:tcW w:w="505" w:type="pct"/>
            <w:tcBorders>
              <w:right w:val="single" w:sz="6" w:space="0" w:color="404040"/>
            </w:tcBorders>
            <w:vAlign w:val="center"/>
          </w:tcPr>
          <w:p w14:paraId="11A70554" w14:textId="4877CFAE" w:rsidR="003B0BA1" w:rsidRPr="000E7D75" w:rsidRDefault="003B0BA1" w:rsidP="003B0BA1">
            <w:pPr>
              <w:tabs>
                <w:tab w:val="decimal" w:pos="368"/>
              </w:tabs>
              <w:jc w:val="left"/>
              <w:rPr>
                <w:color w:val="000000"/>
                <w:sz w:val="18"/>
                <w:szCs w:val="18"/>
              </w:rPr>
            </w:pPr>
            <w:r>
              <w:rPr>
                <w:sz w:val="18"/>
                <w:szCs w:val="18"/>
              </w:rPr>
              <w:t>50.0</w:t>
            </w:r>
          </w:p>
        </w:tc>
        <w:tc>
          <w:tcPr>
            <w:tcW w:w="625" w:type="pct"/>
            <w:tcBorders>
              <w:right w:val="single" w:sz="6" w:space="0" w:color="404040"/>
            </w:tcBorders>
            <w:vAlign w:val="center"/>
          </w:tcPr>
          <w:p w14:paraId="4F843178" w14:textId="07B32204" w:rsidR="003B0BA1" w:rsidRPr="000E7D75" w:rsidRDefault="003B0BA1" w:rsidP="003B0BA1">
            <w:pPr>
              <w:tabs>
                <w:tab w:val="decimal" w:pos="483"/>
              </w:tabs>
              <w:jc w:val="left"/>
              <w:rPr>
                <w:sz w:val="18"/>
                <w:szCs w:val="18"/>
              </w:rPr>
            </w:pPr>
            <w:r>
              <w:rPr>
                <w:color w:val="000000"/>
                <w:sz w:val="18"/>
                <w:szCs w:val="18"/>
              </w:rPr>
              <w:t>-0.8</w:t>
            </w:r>
          </w:p>
        </w:tc>
      </w:tr>
      <w:tr w:rsidR="003B0BA1" w:rsidRPr="005B0949" w14:paraId="6FEF3963" w14:textId="77777777" w:rsidTr="003B0BA1">
        <w:trPr>
          <w:cantSplit/>
          <w:trHeight w:val="20"/>
          <w:jc w:val="center"/>
        </w:trPr>
        <w:tc>
          <w:tcPr>
            <w:tcW w:w="3364" w:type="pct"/>
            <w:tcBorders>
              <w:left w:val="single" w:sz="6" w:space="0" w:color="404040"/>
              <w:right w:val="single" w:sz="6" w:space="0" w:color="404040"/>
            </w:tcBorders>
            <w:vAlign w:val="bottom"/>
          </w:tcPr>
          <w:p w14:paraId="20815B81" w14:textId="77777777" w:rsidR="003B0BA1" w:rsidRPr="005B0949" w:rsidRDefault="003B0BA1" w:rsidP="003B0BA1">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FAE456C" w:rsidR="003B0BA1" w:rsidRPr="000E7D75" w:rsidRDefault="003B0BA1" w:rsidP="003B0BA1">
            <w:pPr>
              <w:tabs>
                <w:tab w:val="decimal" w:pos="414"/>
              </w:tabs>
              <w:jc w:val="left"/>
              <w:rPr>
                <w:color w:val="000000"/>
                <w:sz w:val="18"/>
                <w:szCs w:val="18"/>
              </w:rPr>
            </w:pPr>
            <w:r>
              <w:rPr>
                <w:sz w:val="18"/>
                <w:szCs w:val="18"/>
              </w:rPr>
              <w:t>49.5</w:t>
            </w:r>
          </w:p>
        </w:tc>
        <w:tc>
          <w:tcPr>
            <w:tcW w:w="505" w:type="pct"/>
            <w:tcBorders>
              <w:right w:val="single" w:sz="6" w:space="0" w:color="404040"/>
            </w:tcBorders>
            <w:vAlign w:val="center"/>
          </w:tcPr>
          <w:p w14:paraId="2546ECC4" w14:textId="35BD3356" w:rsidR="003B0BA1" w:rsidRPr="000E7D75" w:rsidRDefault="003B0BA1" w:rsidP="003B0BA1">
            <w:pPr>
              <w:tabs>
                <w:tab w:val="decimal" w:pos="368"/>
              </w:tabs>
              <w:jc w:val="left"/>
              <w:rPr>
                <w:color w:val="000000"/>
                <w:sz w:val="18"/>
                <w:szCs w:val="18"/>
              </w:rPr>
            </w:pPr>
            <w:r>
              <w:rPr>
                <w:sz w:val="18"/>
                <w:szCs w:val="18"/>
              </w:rPr>
              <w:t>49.1</w:t>
            </w:r>
          </w:p>
        </w:tc>
        <w:tc>
          <w:tcPr>
            <w:tcW w:w="625" w:type="pct"/>
            <w:tcBorders>
              <w:right w:val="single" w:sz="6" w:space="0" w:color="404040"/>
            </w:tcBorders>
            <w:vAlign w:val="center"/>
          </w:tcPr>
          <w:p w14:paraId="2CF5E216" w14:textId="32107249" w:rsidR="003B0BA1" w:rsidRPr="000E7D75" w:rsidRDefault="003B0BA1" w:rsidP="003B0BA1">
            <w:pPr>
              <w:tabs>
                <w:tab w:val="decimal" w:pos="483"/>
              </w:tabs>
              <w:jc w:val="left"/>
              <w:rPr>
                <w:sz w:val="18"/>
                <w:szCs w:val="18"/>
              </w:rPr>
            </w:pPr>
            <w:r>
              <w:rPr>
                <w:color w:val="000000"/>
                <w:sz w:val="18"/>
                <w:szCs w:val="18"/>
              </w:rPr>
              <w:t>-0.4</w:t>
            </w:r>
          </w:p>
        </w:tc>
      </w:tr>
      <w:tr w:rsidR="003B0BA1" w:rsidRPr="005B0949" w14:paraId="5625FF51" w14:textId="77777777" w:rsidTr="003B0BA1">
        <w:trPr>
          <w:cantSplit/>
          <w:trHeight w:val="20"/>
          <w:jc w:val="center"/>
        </w:trPr>
        <w:tc>
          <w:tcPr>
            <w:tcW w:w="3364" w:type="pct"/>
            <w:tcBorders>
              <w:left w:val="single" w:sz="6" w:space="0" w:color="404040"/>
              <w:right w:val="single" w:sz="6" w:space="0" w:color="404040"/>
            </w:tcBorders>
            <w:vAlign w:val="bottom"/>
          </w:tcPr>
          <w:p w14:paraId="47796B2C" w14:textId="77777777" w:rsidR="003B0BA1" w:rsidRPr="005B0949" w:rsidRDefault="003B0BA1" w:rsidP="003B0BA1">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7A980D0F" w:rsidR="003B0BA1" w:rsidRPr="000E7D75" w:rsidRDefault="003B0BA1" w:rsidP="003B0BA1">
            <w:pPr>
              <w:tabs>
                <w:tab w:val="decimal" w:pos="414"/>
              </w:tabs>
              <w:jc w:val="left"/>
              <w:rPr>
                <w:color w:val="000000"/>
                <w:sz w:val="18"/>
                <w:szCs w:val="18"/>
              </w:rPr>
            </w:pPr>
            <w:r>
              <w:rPr>
                <w:sz w:val="18"/>
                <w:szCs w:val="18"/>
              </w:rPr>
              <w:t>48.5</w:t>
            </w:r>
          </w:p>
        </w:tc>
        <w:tc>
          <w:tcPr>
            <w:tcW w:w="505" w:type="pct"/>
            <w:tcBorders>
              <w:right w:val="single" w:sz="6" w:space="0" w:color="404040"/>
            </w:tcBorders>
            <w:vAlign w:val="center"/>
          </w:tcPr>
          <w:p w14:paraId="6CA3F152" w14:textId="66A94B92" w:rsidR="003B0BA1" w:rsidRPr="000E7D75" w:rsidRDefault="003B0BA1" w:rsidP="003B0BA1">
            <w:pPr>
              <w:tabs>
                <w:tab w:val="decimal" w:pos="368"/>
              </w:tabs>
              <w:jc w:val="left"/>
              <w:rPr>
                <w:color w:val="000000"/>
                <w:sz w:val="18"/>
                <w:szCs w:val="18"/>
              </w:rPr>
            </w:pPr>
            <w:r>
              <w:rPr>
                <w:sz w:val="18"/>
                <w:szCs w:val="18"/>
              </w:rPr>
              <w:t>44.8</w:t>
            </w:r>
          </w:p>
        </w:tc>
        <w:tc>
          <w:tcPr>
            <w:tcW w:w="625" w:type="pct"/>
            <w:tcBorders>
              <w:right w:val="single" w:sz="6" w:space="0" w:color="404040"/>
            </w:tcBorders>
            <w:vAlign w:val="center"/>
          </w:tcPr>
          <w:p w14:paraId="686DC4DB" w14:textId="2EE32E2C" w:rsidR="003B0BA1" w:rsidRPr="000E7D75" w:rsidRDefault="003B0BA1" w:rsidP="003B0BA1">
            <w:pPr>
              <w:tabs>
                <w:tab w:val="decimal" w:pos="483"/>
              </w:tabs>
              <w:jc w:val="left"/>
              <w:rPr>
                <w:sz w:val="18"/>
                <w:szCs w:val="18"/>
              </w:rPr>
            </w:pPr>
            <w:r>
              <w:rPr>
                <w:color w:val="000000"/>
                <w:sz w:val="18"/>
                <w:szCs w:val="18"/>
              </w:rPr>
              <w:t>-3.7</w:t>
            </w:r>
          </w:p>
        </w:tc>
      </w:tr>
      <w:tr w:rsidR="003B0BA1" w:rsidRPr="005B0949" w14:paraId="25FA0495" w14:textId="77777777" w:rsidTr="003B0BA1">
        <w:trPr>
          <w:cantSplit/>
          <w:trHeight w:val="20"/>
          <w:jc w:val="center"/>
        </w:trPr>
        <w:tc>
          <w:tcPr>
            <w:tcW w:w="3364" w:type="pct"/>
            <w:tcBorders>
              <w:left w:val="single" w:sz="6" w:space="0" w:color="404040"/>
              <w:right w:val="single" w:sz="6" w:space="0" w:color="404040"/>
            </w:tcBorders>
            <w:vAlign w:val="bottom"/>
          </w:tcPr>
          <w:p w14:paraId="0AC0A6A3" w14:textId="77777777" w:rsidR="003B0BA1" w:rsidRPr="005B0949" w:rsidRDefault="003B0BA1" w:rsidP="003B0BA1">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2EE1C0A1" w:rsidR="003B0BA1" w:rsidRPr="000E7D75" w:rsidRDefault="003B0BA1" w:rsidP="003B0BA1">
            <w:pPr>
              <w:tabs>
                <w:tab w:val="decimal" w:pos="414"/>
              </w:tabs>
              <w:jc w:val="left"/>
              <w:rPr>
                <w:color w:val="000000"/>
                <w:sz w:val="18"/>
                <w:szCs w:val="18"/>
              </w:rPr>
            </w:pPr>
            <w:r>
              <w:rPr>
                <w:sz w:val="18"/>
                <w:szCs w:val="18"/>
              </w:rPr>
              <w:t>52.1</w:t>
            </w:r>
          </w:p>
        </w:tc>
        <w:tc>
          <w:tcPr>
            <w:tcW w:w="505" w:type="pct"/>
            <w:tcBorders>
              <w:right w:val="single" w:sz="6" w:space="0" w:color="404040"/>
            </w:tcBorders>
            <w:vAlign w:val="center"/>
          </w:tcPr>
          <w:p w14:paraId="0181BEFA" w14:textId="2B260269" w:rsidR="003B0BA1" w:rsidRPr="000E7D75" w:rsidRDefault="003B0BA1" w:rsidP="003B0BA1">
            <w:pPr>
              <w:tabs>
                <w:tab w:val="decimal" w:pos="368"/>
              </w:tabs>
              <w:jc w:val="left"/>
              <w:rPr>
                <w:color w:val="000000"/>
                <w:sz w:val="18"/>
                <w:szCs w:val="18"/>
              </w:rPr>
            </w:pPr>
            <w:r>
              <w:rPr>
                <w:sz w:val="18"/>
                <w:szCs w:val="18"/>
              </w:rPr>
              <w:t>52.2</w:t>
            </w:r>
          </w:p>
        </w:tc>
        <w:tc>
          <w:tcPr>
            <w:tcW w:w="625" w:type="pct"/>
            <w:tcBorders>
              <w:right w:val="single" w:sz="6" w:space="0" w:color="404040"/>
            </w:tcBorders>
            <w:vAlign w:val="center"/>
          </w:tcPr>
          <w:p w14:paraId="69881E29" w14:textId="1D8C102F" w:rsidR="003B0BA1" w:rsidRPr="000E7D75" w:rsidRDefault="003B0BA1" w:rsidP="003B0BA1">
            <w:pPr>
              <w:tabs>
                <w:tab w:val="decimal" w:pos="483"/>
              </w:tabs>
              <w:jc w:val="left"/>
              <w:rPr>
                <w:sz w:val="18"/>
                <w:szCs w:val="18"/>
              </w:rPr>
            </w:pPr>
            <w:r>
              <w:rPr>
                <w:color w:val="000000"/>
                <w:sz w:val="18"/>
                <w:szCs w:val="18"/>
              </w:rPr>
              <w:t>0.1</w:t>
            </w:r>
          </w:p>
        </w:tc>
      </w:tr>
      <w:tr w:rsidR="003B0BA1" w:rsidRPr="005B0949" w14:paraId="655C91BE" w14:textId="77777777" w:rsidTr="003B0BA1">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3B0BA1" w:rsidRPr="005B0949" w:rsidRDefault="003B0BA1" w:rsidP="003B0BA1">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B58BCBC" w:rsidR="003B0BA1" w:rsidRPr="000E7D75" w:rsidRDefault="003B0BA1" w:rsidP="003B0BA1">
            <w:pPr>
              <w:tabs>
                <w:tab w:val="decimal" w:pos="414"/>
              </w:tabs>
              <w:jc w:val="left"/>
              <w:rPr>
                <w:color w:val="000000"/>
                <w:sz w:val="18"/>
                <w:szCs w:val="18"/>
              </w:rPr>
            </w:pPr>
            <w:r>
              <w:rPr>
                <w:sz w:val="18"/>
                <w:szCs w:val="18"/>
              </w:rPr>
              <w:t>49.6</w:t>
            </w:r>
          </w:p>
        </w:tc>
        <w:tc>
          <w:tcPr>
            <w:tcW w:w="505" w:type="pct"/>
            <w:tcBorders>
              <w:bottom w:val="single" w:sz="6" w:space="0" w:color="404040"/>
              <w:right w:val="single" w:sz="6" w:space="0" w:color="404040"/>
            </w:tcBorders>
            <w:vAlign w:val="center"/>
          </w:tcPr>
          <w:p w14:paraId="077C02B9" w14:textId="24739F7E" w:rsidR="003B0BA1" w:rsidRPr="000E7D75" w:rsidRDefault="003B0BA1" w:rsidP="003B0BA1">
            <w:pPr>
              <w:tabs>
                <w:tab w:val="decimal" w:pos="368"/>
              </w:tabs>
              <w:jc w:val="left"/>
              <w:rPr>
                <w:color w:val="000000"/>
                <w:sz w:val="18"/>
                <w:szCs w:val="18"/>
              </w:rPr>
            </w:pPr>
            <w:r>
              <w:rPr>
                <w:sz w:val="18"/>
                <w:szCs w:val="18"/>
              </w:rPr>
              <w:t>50.1</w:t>
            </w:r>
          </w:p>
        </w:tc>
        <w:tc>
          <w:tcPr>
            <w:tcW w:w="625" w:type="pct"/>
            <w:tcBorders>
              <w:bottom w:val="single" w:sz="6" w:space="0" w:color="404040"/>
              <w:right w:val="single" w:sz="6" w:space="0" w:color="404040"/>
            </w:tcBorders>
            <w:vAlign w:val="center"/>
          </w:tcPr>
          <w:p w14:paraId="3B812B07" w14:textId="42E974A3" w:rsidR="003B0BA1" w:rsidRPr="000E7D75" w:rsidRDefault="003B0BA1" w:rsidP="003B0BA1">
            <w:pPr>
              <w:tabs>
                <w:tab w:val="decimal" w:pos="483"/>
              </w:tabs>
              <w:jc w:val="left"/>
              <w:rPr>
                <w:sz w:val="18"/>
                <w:szCs w:val="18"/>
              </w:rPr>
            </w:pPr>
            <w:r>
              <w:rPr>
                <w:color w:val="000000"/>
                <w:sz w:val="18"/>
                <w:szCs w:val="18"/>
              </w:rPr>
              <w:t>0.5</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3" w:name="_Hlk7505158"/>
      <w:r w:rsidRPr="00AF498C">
        <w:rPr>
          <w:b/>
          <w:i/>
        </w:rPr>
        <w:t>Nota al usuario</w:t>
      </w:r>
    </w:p>
    <w:p w14:paraId="29A8D42B" w14:textId="74B3762A" w:rsidR="00744887" w:rsidRPr="00E5424C" w:rsidRDefault="002246E2" w:rsidP="005F4639">
      <w:pPr>
        <w:spacing w:before="240"/>
      </w:pPr>
      <w:r w:rsidRPr="001D03EF">
        <w:rPr>
          <w:spacing w:val="-2"/>
        </w:rPr>
        <w:t xml:space="preserve">La </w:t>
      </w:r>
      <w:r w:rsidR="00F86BC4" w:rsidRPr="001D03EF">
        <w:rPr>
          <w:spacing w:val="-2"/>
        </w:rPr>
        <w:t>t</w:t>
      </w:r>
      <w:r w:rsidRPr="001D03EF">
        <w:rPr>
          <w:spacing w:val="-2"/>
        </w:rPr>
        <w:t>asa d</w:t>
      </w:r>
      <w:r w:rsidR="001D03EF" w:rsidRPr="001D03EF">
        <w:rPr>
          <w:spacing w:val="-2"/>
        </w:rPr>
        <w:t>e</w:t>
      </w:r>
      <w:r w:rsidRPr="001D03EF">
        <w:rPr>
          <w:spacing w:val="-2"/>
        </w:rPr>
        <w:t xml:space="preserve"> </w:t>
      </w:r>
      <w:r w:rsidR="00F86BC4" w:rsidRPr="001D03EF">
        <w:rPr>
          <w:spacing w:val="-2"/>
        </w:rPr>
        <w:t>n</w:t>
      </w:r>
      <w:r w:rsidRPr="001D03EF">
        <w:rPr>
          <w:spacing w:val="-2"/>
        </w:rPr>
        <w:t xml:space="preserve">o </w:t>
      </w:r>
      <w:r w:rsidR="00F86BC4" w:rsidRPr="001D03EF">
        <w:rPr>
          <w:spacing w:val="-2"/>
        </w:rPr>
        <w:t>r</w:t>
      </w:r>
      <w:r w:rsidRPr="001D03EF">
        <w:rPr>
          <w:spacing w:val="-2"/>
        </w:rPr>
        <w:t>espuesta de la Encuesta Mensual de Opinión Empresarial</w:t>
      </w:r>
      <w:r w:rsidR="00706937" w:rsidRPr="001D03EF">
        <w:rPr>
          <w:spacing w:val="-2"/>
        </w:rPr>
        <w:t>,</w:t>
      </w:r>
      <w:r w:rsidR="0025614A" w:rsidRPr="001D03EF">
        <w:rPr>
          <w:spacing w:val="-2"/>
        </w:rPr>
        <w:t xml:space="preserve"> </w:t>
      </w:r>
      <w:r w:rsidRPr="001D03EF">
        <w:rPr>
          <w:spacing w:val="-2"/>
        </w:rPr>
        <w:t>correspondiente</w:t>
      </w:r>
      <w:r w:rsidRPr="002246E2">
        <w:t xml:space="preserve"> a</w:t>
      </w:r>
      <w:r w:rsidR="003B0BA1">
        <w:t>l mes de abril</w:t>
      </w:r>
      <w:r w:rsidRPr="002246E2">
        <w:t xml:space="preserve"> de </w:t>
      </w:r>
      <w:r w:rsidR="007F632F">
        <w:t>2022</w:t>
      </w:r>
      <w:r w:rsidR="00706937">
        <w:t>,</w:t>
      </w:r>
      <w:r w:rsidRPr="002246E2">
        <w:t xml:space="preserve"> registró porcentajes apropiados conforme al diseño estadístico de la encuesta, lo que permitió la generación de estadísticas con niveles adecuados de precisión</w:t>
      </w:r>
      <w:r w:rsidR="0014427E">
        <w:t xml:space="preserve"> </w:t>
      </w:r>
      <w:r w:rsidR="0014427E" w:rsidRPr="0014427E">
        <w:t xml:space="preserve">en todos los grupos de subsectores de actividad </w:t>
      </w:r>
      <w:r w:rsidR="0014427E" w:rsidRPr="00996EC1">
        <w:t>de la industria manufacturera</w:t>
      </w:r>
      <w:r w:rsidR="0014427E">
        <w:t>.</w:t>
      </w:r>
    </w:p>
    <w:p w14:paraId="4A37FED7" w14:textId="14A7183B" w:rsidR="00441545" w:rsidRDefault="00441545" w:rsidP="005F4639">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w:t>
      </w:r>
      <w:r w:rsidR="001B0770">
        <w:rPr>
          <w:lang w:val="es-MX" w:eastAsia="es-MX"/>
        </w:rPr>
        <w:t xml:space="preserve"> </w:t>
      </w:r>
      <w:r w:rsidRPr="00441545">
        <w:rPr>
          <w:lang w:val="es-MX" w:eastAsia="es-MX"/>
        </w:rPr>
        <w:t>l</w:t>
      </w:r>
      <w:r w:rsidR="001B0770">
        <w:rPr>
          <w:lang w:val="es-MX" w:eastAsia="es-MX"/>
        </w:rPr>
        <w:t>a</w:t>
      </w:r>
      <w:r w:rsidRPr="00441545">
        <w:rPr>
          <w:lang w:val="es-MX" w:eastAsia="es-MX"/>
        </w:rPr>
        <w:t xml:space="preserve">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w:t>
      </w:r>
      <w:r w:rsidR="00E379BD">
        <w:rPr>
          <w:lang w:val="es-MX" w:eastAsia="es-MX"/>
        </w:rPr>
        <w:t xml:space="preserve">, como el de </w:t>
      </w:r>
      <w:proofErr w:type="spellStart"/>
      <w:r w:rsidR="00E379BD">
        <w:rPr>
          <w:lang w:val="es-MX" w:eastAsia="es-MX"/>
        </w:rPr>
        <w:t>O</w:t>
      </w:r>
      <w:r w:rsidRPr="00E5424C">
        <w:rPr>
          <w:i/>
          <w:lang w:val="es-MX" w:eastAsia="es-MX"/>
        </w:rPr>
        <w:t>utliers</w:t>
      </w:r>
      <w:proofErr w:type="spellEnd"/>
      <w:r w:rsidR="00E379BD">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B4E18">
      <w:pPr>
        <w:keepNext/>
        <w:keepLines/>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135690A9" w:rsidR="00CF2964" w:rsidRPr="005B0949" w:rsidRDefault="00CF2964" w:rsidP="004B4E18">
      <w:pPr>
        <w:keepNext/>
        <w:keepLines/>
        <w:spacing w:before="240"/>
        <w:rPr>
          <w:lang w:val="es-ES"/>
        </w:rPr>
      </w:pPr>
      <w:r w:rsidRPr="005B0949">
        <w:rPr>
          <w:lang w:val="es-ES"/>
        </w:rPr>
        <w:t xml:space="preserve">La Encuesta Mensual de Opinión Empresarial se lleva a cabo mensualmente y tiene como base una muestra de 1,492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A46672">
        <w:rPr>
          <w:lang w:val="es-ES"/>
        </w:rPr>
        <w:t>i</w:t>
      </w:r>
      <w:r w:rsidRPr="005B0949">
        <w:rPr>
          <w:lang w:val="es-ES"/>
        </w:rPr>
        <w:t>en</w:t>
      </w:r>
      <w:r w:rsidR="00A46672">
        <w:rPr>
          <w:lang w:val="es-ES"/>
        </w:rPr>
        <w:t>e</w:t>
      </w:r>
      <w:r w:rsidRPr="005B0949">
        <w:rPr>
          <w:lang w:val="es-ES"/>
        </w:rPr>
        <w:t xml:space="preserve"> a través de entrevista electrónica  </w:t>
      </w:r>
      <w:r w:rsidR="004D36A7">
        <w:rPr>
          <w:lang w:val="es-ES"/>
        </w:rPr>
        <w:t>y</w:t>
      </w:r>
      <w:r w:rsidRPr="005B0949">
        <w:rPr>
          <w:lang w:val="es-ES"/>
        </w:rPr>
        <w:t xml:space="preserve"> en el resto se recaba mediante visita al directivo empresarial.</w:t>
      </w:r>
    </w:p>
    <w:p w14:paraId="7BCDB0A0" w14:textId="436996B5"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5F4639">
      <w:pPr>
        <w:keepLines/>
        <w:spacing w:before="240"/>
      </w:pPr>
      <w:r w:rsidRPr="005B0949">
        <w:t xml:space="preserve">La encuesta incluye con certeza a las empresas con 1,000 trabajadores y más. Para calcular el tamaño de muestra se utilizó la variable del personal ocupado con afijación </w:t>
      </w:r>
      <w:proofErr w:type="spellStart"/>
      <w:r w:rsidRPr="004D7CB1">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002B8CAD" w:rsidR="00CF2964" w:rsidRPr="005B0949" w:rsidRDefault="00CF2964" w:rsidP="005F4639">
      <w:pPr>
        <w:spacing w:before="240"/>
      </w:pPr>
      <w:r w:rsidRPr="005B0949">
        <w:rPr>
          <w:b/>
        </w:rPr>
        <w:t>El Indicador de Pedidos Manufactureros (IPM)</w:t>
      </w:r>
      <w:r w:rsidRPr="005B0949">
        <w:t xml:space="preserve"> se </w:t>
      </w:r>
      <w:r w:rsidR="009C3128">
        <w:t xml:space="preserve">integra mensualmente con </w:t>
      </w:r>
      <w:r w:rsidRPr="005B0949">
        <w:t xml:space="preserve">las expectativas de los directivos empresariales para las siguientes variables: </w:t>
      </w:r>
      <w:r w:rsidR="007F6E05">
        <w:t>p</w:t>
      </w:r>
      <w:r w:rsidRPr="005B0949">
        <w:t xml:space="preserve">edidos, </w:t>
      </w:r>
      <w:r w:rsidR="007F6E05">
        <w:t>p</w:t>
      </w:r>
      <w:r w:rsidRPr="005B0949">
        <w:t xml:space="preserve">roducción, </w:t>
      </w:r>
      <w:r w:rsidR="007F6E05">
        <w:t>p</w:t>
      </w:r>
      <w:r w:rsidRPr="005B0949">
        <w:t xml:space="preserve">ersonal </w:t>
      </w:r>
      <w:r w:rsidR="007F6E05">
        <w:t>o</w:t>
      </w:r>
      <w:r w:rsidRPr="005B0949">
        <w:t xml:space="preserve">cupado, </w:t>
      </w:r>
      <w:r w:rsidR="007F6E05">
        <w:t>o</w:t>
      </w:r>
      <w:r w:rsidRPr="005B0949">
        <w:t xml:space="preserve">portunidad de la </w:t>
      </w:r>
      <w:r w:rsidR="007F6E05">
        <w:t>e</w:t>
      </w:r>
      <w:r w:rsidRPr="005B0949">
        <w:t xml:space="preserve">ntrega de </w:t>
      </w:r>
      <w:r w:rsidR="007F6E05">
        <w:t>i</w:t>
      </w:r>
      <w:r w:rsidRPr="005B0949">
        <w:t xml:space="preserve">nsumos por parte de los </w:t>
      </w:r>
      <w:r w:rsidR="007F6E05">
        <w:t>p</w:t>
      </w:r>
      <w:r w:rsidRPr="005B0949">
        <w:t xml:space="preserve">roveedores e </w:t>
      </w:r>
      <w:r w:rsidR="007F6E05">
        <w:t>i</w:t>
      </w:r>
      <w:r w:rsidRPr="005B0949">
        <w:t xml:space="preserve">nventarios de </w:t>
      </w:r>
      <w:r w:rsidR="007F6E05">
        <w:t>i</w:t>
      </w:r>
      <w:r w:rsidRPr="005B0949">
        <w:t>nsumos.</w:t>
      </w:r>
    </w:p>
    <w:p w14:paraId="29AAEF11" w14:textId="490B0D50" w:rsidR="00CF2964" w:rsidRPr="005B0949" w:rsidRDefault="00CF2964" w:rsidP="005F4639">
      <w:pPr>
        <w:spacing w:before="24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w:t>
      </w:r>
      <w:r w:rsidR="00A5019B">
        <w:t>st</w:t>
      </w:r>
      <w:r w:rsidRPr="005B0949">
        <w:t>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365D65">
      <w:pPr>
        <w:keepNext/>
        <w:keepLines/>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5F4639">
      <w:pPr>
        <w:numPr>
          <w:ilvl w:val="0"/>
          <w:numId w:val="28"/>
        </w:numPr>
        <w:tabs>
          <w:tab w:val="left" w:pos="9432"/>
        </w:tabs>
        <w:spacing w:before="120"/>
        <w:ind w:left="714" w:hanging="357"/>
      </w:pPr>
      <w:r w:rsidRPr="005B0949">
        <w:t>Personal Ocupado (20%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5F4639">
      <w:pPr>
        <w:numPr>
          <w:ilvl w:val="0"/>
          <w:numId w:val="28"/>
        </w:numPr>
        <w:tabs>
          <w:tab w:val="left" w:pos="9432"/>
        </w:tabs>
        <w:spacing w:before="120"/>
        <w:ind w:left="714" w:hanging="357"/>
      </w:pPr>
      <w:r w:rsidRPr="005B0949">
        <w:t>Entregas de los Proveedores (15%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185D4608" w:rsidR="00C14949" w:rsidRPr="009A70B8" w:rsidRDefault="00C14949" w:rsidP="0008191E">
      <w:pPr>
        <w:tabs>
          <w:tab w:val="left" w:pos="9432"/>
        </w:tabs>
        <w:ind w:left="728"/>
      </w:pPr>
      <w:r w:rsidRPr="009A70B8">
        <w:lastRenderedPageBreak/>
        <w:t>El ponderador para la variable entrega de insumos es de carácter inverso, de modo que niveles por encima (debajo) de 50 puntos indican entregas de insumos de los proveedores menos (más) oportunas.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23EF4BAE" w:rsidR="00CF2964" w:rsidRPr="005B0949" w:rsidRDefault="00CF2964" w:rsidP="005F4639">
      <w:pPr>
        <w:tabs>
          <w:tab w:val="left" w:pos="9432"/>
        </w:tabs>
        <w:spacing w:before="240"/>
      </w:pPr>
      <w:r w:rsidRPr="005B0949">
        <w:t xml:space="preserve">Para las preguntas </w:t>
      </w:r>
      <w:r w:rsidR="0032529C">
        <w:t xml:space="preserve">1, 2, 3 y 5 </w:t>
      </w:r>
      <w:r w:rsidRPr="005B0949">
        <w:t xml:space="preserve">el informante tiene cinco opciones de respuesta: </w:t>
      </w:r>
      <w:r w:rsidR="00B73577">
        <w:t>m</w:t>
      </w:r>
      <w:r w:rsidRPr="005B0949">
        <w:t xml:space="preserve">ucho mayor, </w:t>
      </w:r>
      <w:r w:rsidR="00B73577">
        <w:t>m</w:t>
      </w:r>
      <w:r w:rsidRPr="005B0949">
        <w:t xml:space="preserve">ayor, </w:t>
      </w:r>
      <w:r w:rsidR="00B73577">
        <w:t>i</w:t>
      </w:r>
      <w:r w:rsidRPr="005B0949">
        <w:t xml:space="preserve">gual, </w:t>
      </w:r>
      <w:r w:rsidR="00B73577">
        <w:t>m</w:t>
      </w:r>
      <w:r w:rsidRPr="005B0949">
        <w:t xml:space="preserve">enor y </w:t>
      </w:r>
      <w:r w:rsidR="00B73577">
        <w:t>m</w:t>
      </w:r>
      <w:r w:rsidRPr="005B0949">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t>m</w:t>
      </w:r>
      <w:r w:rsidRPr="005B0949">
        <w:t xml:space="preserve">ás rápida, </w:t>
      </w:r>
      <w:r w:rsidR="00B73577">
        <w:t>r</w:t>
      </w:r>
      <w:r w:rsidRPr="005B0949">
        <w:t xml:space="preserve">ápida, </w:t>
      </w:r>
      <w:r w:rsidR="00B73577">
        <w:t>i</w:t>
      </w:r>
      <w:r w:rsidRPr="005B0949">
        <w:t xml:space="preserve">gual, </w:t>
      </w:r>
      <w:r w:rsidR="00B73577">
        <w:t>l</w:t>
      </w:r>
      <w:r w:rsidRPr="005B0949">
        <w:t xml:space="preserve">enta y </w:t>
      </w:r>
      <w:r w:rsidR="00B73577">
        <w:t>m</w:t>
      </w:r>
      <w:r w:rsidRPr="005B0949">
        <w:t>ás lenta.</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5F4639">
      <w:pPr>
        <w:spacing w:before="240"/>
      </w:pPr>
      <w:r w:rsidRPr="005B0949">
        <w:t>En el IPM el valor de 50 constituye el umbral para delimitar una expansión de una contracción en la actividad del sector manufacturero.</w:t>
      </w:r>
    </w:p>
    <w:p w14:paraId="0EF7F530" w14:textId="0B73402C" w:rsidR="001B1697" w:rsidRPr="005B0949" w:rsidRDefault="001B1697" w:rsidP="005F4639">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8B03C5">
        <w:rPr>
          <w:color w:val="auto"/>
        </w:rPr>
        <w:t>,</w:t>
      </w:r>
      <w:r w:rsidRPr="005B0949">
        <w:rPr>
          <w:color w:val="auto"/>
        </w:rPr>
        <w:t xml:space="preserve"> y Textiles, prendas de vestir, cuero y piel, madera, papel y otras industrias (subsectores 313, 314, 315, 316, 321, 322, 323 y 339).</w:t>
      </w:r>
    </w:p>
    <w:p w14:paraId="5985F892" w14:textId="77777777" w:rsidR="00C83373" w:rsidRPr="005B0949" w:rsidRDefault="00CF2964" w:rsidP="005F4639">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F47064" w:rsidP="00C83373">
      <w:pPr>
        <w:spacing w:before="120"/>
      </w:pPr>
      <w:hyperlink r:id="rId33" w:history="1">
        <w:r w:rsidR="0087395B" w:rsidRPr="00F93660">
          <w:rPr>
            <w:rStyle w:val="Hipervnculo"/>
          </w:rPr>
          <w:t>https://www.inegi.org.mx/programas/emoe/2013/</w:t>
        </w:r>
      </w:hyperlink>
    </w:p>
    <w:p w14:paraId="58C6D260" w14:textId="154CE2A2" w:rsidR="00CF2964" w:rsidRPr="005B0949" w:rsidRDefault="00394A50" w:rsidP="005F4639">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5F4639">
      <w:pPr>
        <w:keepLines/>
        <w:spacing w:before="24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5F4639">
      <w:pPr>
        <w:keepLines/>
        <w:spacing w:before="24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5F4639">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F47064"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0B29AA5C"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40E94068">
            <wp:simplePos x="0" y="0"/>
            <wp:positionH relativeFrom="column">
              <wp:posOffset>801990</wp:posOffset>
            </wp:positionH>
            <wp:positionV relativeFrom="paragraph">
              <wp:posOffset>528878</wp:posOffset>
            </wp:positionV>
            <wp:extent cx="140335" cy="140335"/>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w:t>
      </w:r>
      <w:r w:rsidR="005F4639">
        <w:rPr>
          <w:szCs w:val="20"/>
        </w:rPr>
        <w:t xml:space="preserve">    </w:t>
      </w:r>
      <w:r w:rsidRPr="005B0949">
        <w:rPr>
          <w:szCs w:val="20"/>
        </w:rPr>
        <w:t xml:space="preserve"> correspondiente a las “series desestacionalizadas y de tendencia</w:t>
      </w:r>
      <w:r w:rsidRPr="005B0949">
        <w:rPr>
          <w:szCs w:val="20"/>
        </w:rPr>
        <w:noBreakHyphen/>
        <w:t>ciclo” del Indicador de Pedidos Manufactureros y sus Componentes.</w:t>
      </w:r>
    </w:p>
    <w:p w14:paraId="751E7173" w14:textId="3768373B" w:rsidR="00CF2964" w:rsidRPr="005B0949" w:rsidRDefault="00CF2964" w:rsidP="005F4639">
      <w:pPr>
        <w:keepNext/>
        <w:keepLines/>
        <w:spacing w:before="240"/>
      </w:pPr>
      <w:r w:rsidRPr="005B0949">
        <w:t>La información contenida en este documento se complementa con la que proporciona</w:t>
      </w:r>
      <w:r w:rsidR="008C3953">
        <w:t>n</w:t>
      </w:r>
      <w:r w:rsidRPr="005B0949">
        <w:t xml:space="preserve"> el Indicador de Confianza Empresarial (ICE) </w:t>
      </w:r>
      <w:r w:rsidR="008C3953">
        <w:t>y</w:t>
      </w:r>
      <w:r w:rsidRPr="005B0949">
        <w:t xml:space="preserve"> </w:t>
      </w:r>
      <w:r w:rsidR="00BA051D">
        <w:t xml:space="preserve">los </w:t>
      </w:r>
      <w:r w:rsidRPr="005B0949">
        <w:t>Indicador</w:t>
      </w:r>
      <w:r w:rsidR="00BA051D">
        <w:t>es</w:t>
      </w:r>
      <w:r w:rsidRPr="005B0949">
        <w:t xml:space="preserve"> Agregado</w:t>
      </w:r>
      <w:r w:rsidR="00BA051D">
        <w:t>s</w:t>
      </w:r>
      <w:r w:rsidRPr="005B0949">
        <w:t xml:space="preserve"> de Tendencia (IAT), </w:t>
      </w:r>
      <w:r w:rsidR="00B67D8D">
        <w:t>que genera</w:t>
      </w:r>
      <w:r w:rsidRPr="005B0949">
        <w:t xml:space="preserve"> el INEGI con base en la Encuesta Mensual de Opinión Empresarial y </w:t>
      </w:r>
      <w:r w:rsidR="00B67D8D">
        <w:t xml:space="preserve">que </w:t>
      </w:r>
      <w:r w:rsidRPr="005B0949">
        <w:t xml:space="preserve">se da a conocer en la fecha establecida en el Calendario de </w:t>
      </w:r>
      <w:r w:rsidR="006D746B">
        <w:t>D</w:t>
      </w:r>
      <w:r w:rsidRPr="005B0949">
        <w:t xml:space="preserve">ifusión de </w:t>
      </w:r>
      <w:r w:rsidR="006D746B">
        <w:t>I</w:t>
      </w:r>
      <w:r w:rsidRPr="005B0949">
        <w:t xml:space="preserve">nformación </w:t>
      </w:r>
      <w:r w:rsidR="006D746B">
        <w:t>E</w:t>
      </w:r>
      <w:r w:rsidRPr="005B0949">
        <w:t xml:space="preserve">stadística y </w:t>
      </w:r>
      <w:r w:rsidR="006D746B">
        <w:t>G</w:t>
      </w:r>
      <w:r w:rsidRPr="005B0949">
        <w:t>eográfica y de Interés Nacional.</w:t>
      </w:r>
    </w:p>
    <w:p w14:paraId="2BF35040" w14:textId="5C25B8BE" w:rsidR="005F0E8E" w:rsidRPr="005B0949" w:rsidRDefault="00CF2964" w:rsidP="005F4639">
      <w:pPr>
        <w:pStyle w:val="texto0"/>
        <w:keepLines w:val="0"/>
        <w:widowControl w:val="0"/>
        <w:autoSpaceDE w:val="0"/>
        <w:autoSpaceDN w:val="0"/>
        <w:adjustRightInd w:val="0"/>
        <w:rPr>
          <w:color w:val="auto"/>
        </w:rPr>
      </w:pPr>
      <w:r w:rsidRPr="005B0949">
        <w:rPr>
          <w:color w:val="auto"/>
        </w:rPr>
        <w:t xml:space="preserve">Las cifras aquí mencionadas pueden ser consultadas en </w:t>
      </w:r>
      <w:r w:rsidR="006D746B">
        <w:rPr>
          <w:color w:val="auto"/>
        </w:rPr>
        <w:t>la página de internet del</w:t>
      </w:r>
      <w:r w:rsidRPr="005B0949">
        <w:rPr>
          <w:color w:val="auto"/>
        </w:rPr>
        <w:t xml:space="preserve"> INEGI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3"/>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4C4A" w14:textId="77777777" w:rsidR="00F47064" w:rsidRDefault="00F47064">
      <w:r>
        <w:separator/>
      </w:r>
    </w:p>
  </w:endnote>
  <w:endnote w:type="continuationSeparator" w:id="0">
    <w:p w14:paraId="20A95230" w14:textId="77777777" w:rsidR="00F47064" w:rsidRDefault="00F4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FE33" w14:textId="77777777" w:rsidR="00B61E93" w:rsidRDefault="00B61E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153B" w14:textId="77777777" w:rsidR="000D16FD" w:rsidRPr="00975B1E" w:rsidRDefault="000D16FD" w:rsidP="00975B1E">
    <w:pPr>
      <w:pStyle w:val="Piedepgina"/>
      <w:jc w:val="center"/>
      <w:rPr>
        <w:b/>
        <w:bCs/>
        <w:color w:val="002060"/>
        <w:sz w:val="20"/>
        <w:szCs w:val="20"/>
      </w:rPr>
    </w:pPr>
    <w:r w:rsidRPr="00975B1E">
      <w:rPr>
        <w:b/>
        <w:bCs/>
        <w:color w:val="002060"/>
        <w:sz w:val="20"/>
        <w:szCs w:val="20"/>
      </w:rPr>
      <w:t>COMUNICACIÓN SOCIAL</w:t>
    </w:r>
  </w:p>
  <w:p w14:paraId="162251E7" w14:textId="77777777" w:rsidR="000D16FD" w:rsidRPr="007B4B63" w:rsidRDefault="000D16FD" w:rsidP="007B4B63">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F86C" w14:textId="77777777" w:rsidR="00B61E93" w:rsidRDefault="00B61E9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2B1647" w:rsidRDefault="00BB375D" w:rsidP="003076C4">
    <w:pPr>
      <w:pStyle w:val="Piedepgina"/>
      <w:jc w:val="center"/>
      <w:rPr>
        <w:b/>
        <w:color w:val="002060"/>
        <w:sz w:val="20"/>
        <w:szCs w:val="20"/>
        <w:lang w:val="es-MX"/>
      </w:rPr>
    </w:pPr>
    <w:r w:rsidRPr="002B164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9A84" w14:textId="77777777" w:rsidR="00F47064" w:rsidRDefault="00F47064">
      <w:r>
        <w:separator/>
      </w:r>
    </w:p>
  </w:footnote>
  <w:footnote w:type="continuationSeparator" w:id="0">
    <w:p w14:paraId="131DB421" w14:textId="77777777" w:rsidR="00F47064" w:rsidRDefault="00F4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3420" w14:textId="77777777" w:rsidR="00B61E93" w:rsidRDefault="00B61E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E862" w14:textId="478D61DE" w:rsidR="000D16FD" w:rsidRPr="00306ECD" w:rsidRDefault="000D16FD"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65EC262" wp14:editId="1C53F5F5">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B61E93">
      <w:rPr>
        <w:b/>
        <w:color w:val="002060"/>
      </w:rPr>
      <w:t>239</w:t>
    </w:r>
    <w:r w:rsidRPr="00306ECD">
      <w:rPr>
        <w:b/>
        <w:color w:val="002060"/>
      </w:rPr>
      <w:t>/2</w:t>
    </w:r>
    <w:r>
      <w:rPr>
        <w:b/>
        <w:color w:val="002060"/>
      </w:rPr>
      <w:t>2</w:t>
    </w:r>
  </w:p>
  <w:p w14:paraId="7B6DE97D" w14:textId="77777777" w:rsidR="000D16FD" w:rsidRPr="00306ECD" w:rsidRDefault="000D16FD" w:rsidP="00754472">
    <w:pPr>
      <w:pStyle w:val="Encabezado"/>
      <w:ind w:left="-567" w:right="49"/>
      <w:jc w:val="right"/>
      <w:rPr>
        <w:b/>
        <w:color w:val="002060"/>
        <w:lang w:val="pt-BR"/>
      </w:rPr>
    </w:pPr>
    <w:r>
      <w:rPr>
        <w:b/>
        <w:color w:val="002060"/>
        <w:lang w:val="pt-BR"/>
      </w:rPr>
      <w:t>3</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2</w:t>
    </w:r>
  </w:p>
  <w:p w14:paraId="42A36436" w14:textId="77777777" w:rsidR="000D16FD" w:rsidRPr="00306ECD" w:rsidRDefault="000D16FD"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11483294" w14:textId="77777777" w:rsidR="000D16FD" w:rsidRDefault="000D16FD" w:rsidP="008B185F">
    <w:pPr>
      <w:pStyle w:val="Encabezado"/>
      <w:ind w:right="49"/>
      <w:jc w:val="center"/>
    </w:pPr>
  </w:p>
  <w:p w14:paraId="19C90BC5" w14:textId="77777777" w:rsidR="000D16FD" w:rsidRDefault="000D16FD"/>
  <w:p w14:paraId="50D53A4A" w14:textId="77777777" w:rsidR="000D16FD" w:rsidRDefault="000D16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3498" w14:textId="77777777" w:rsidR="00B61E93" w:rsidRDefault="00B61E9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59515A2F" w:rsidR="00BB375D" w:rsidRDefault="002326EF" w:rsidP="000D16FD">
    <w:pPr>
      <w:pStyle w:val="Encabezado"/>
      <w:jc w:val="center"/>
    </w:pPr>
    <w:r>
      <w:rPr>
        <w:noProof/>
        <w:lang w:val="es-MX" w:eastAsia="es-MX"/>
      </w:rPr>
      <w:drawing>
        <wp:inline distT="0" distB="0" distL="0" distR="0" wp14:anchorId="14B81598" wp14:editId="2423229E">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11.5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78C"/>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17D"/>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1E"/>
    <w:rsid w:val="0008195B"/>
    <w:rsid w:val="000826F7"/>
    <w:rsid w:val="0008271A"/>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1E9"/>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6FD"/>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D6B"/>
    <w:rsid w:val="000E5FE0"/>
    <w:rsid w:val="000E6D5D"/>
    <w:rsid w:val="000E716F"/>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383"/>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740"/>
    <w:rsid w:val="001F2C3A"/>
    <w:rsid w:val="001F2F48"/>
    <w:rsid w:val="001F3046"/>
    <w:rsid w:val="001F3531"/>
    <w:rsid w:val="001F3696"/>
    <w:rsid w:val="001F42FF"/>
    <w:rsid w:val="001F44B4"/>
    <w:rsid w:val="001F44D3"/>
    <w:rsid w:val="001F4510"/>
    <w:rsid w:val="001F58D3"/>
    <w:rsid w:val="001F5BC2"/>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2F1"/>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647"/>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E7C"/>
    <w:rsid w:val="00352F14"/>
    <w:rsid w:val="003530B3"/>
    <w:rsid w:val="0035546F"/>
    <w:rsid w:val="003554BD"/>
    <w:rsid w:val="003554CE"/>
    <w:rsid w:val="00356586"/>
    <w:rsid w:val="00356792"/>
    <w:rsid w:val="003571E2"/>
    <w:rsid w:val="00357919"/>
    <w:rsid w:val="00357FBE"/>
    <w:rsid w:val="003601CE"/>
    <w:rsid w:val="003608EA"/>
    <w:rsid w:val="00360A82"/>
    <w:rsid w:val="00361062"/>
    <w:rsid w:val="003610F5"/>
    <w:rsid w:val="003616F4"/>
    <w:rsid w:val="00362B5E"/>
    <w:rsid w:val="003638E9"/>
    <w:rsid w:val="003643A5"/>
    <w:rsid w:val="00364D97"/>
    <w:rsid w:val="0036533F"/>
    <w:rsid w:val="00365370"/>
    <w:rsid w:val="00365D65"/>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6A2"/>
    <w:rsid w:val="00396A6C"/>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3D4B"/>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6A7"/>
    <w:rsid w:val="004D3FD6"/>
    <w:rsid w:val="004D405F"/>
    <w:rsid w:val="004D5162"/>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43DC"/>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3DF"/>
    <w:rsid w:val="005E48DE"/>
    <w:rsid w:val="005E566F"/>
    <w:rsid w:val="005E64AF"/>
    <w:rsid w:val="005E6BE9"/>
    <w:rsid w:val="005E71A5"/>
    <w:rsid w:val="005E777B"/>
    <w:rsid w:val="005E779A"/>
    <w:rsid w:val="005E7980"/>
    <w:rsid w:val="005F03D5"/>
    <w:rsid w:val="005F041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5F7B40"/>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9EC"/>
    <w:rsid w:val="00615E77"/>
    <w:rsid w:val="00615F81"/>
    <w:rsid w:val="00616004"/>
    <w:rsid w:val="006162A3"/>
    <w:rsid w:val="00616C7D"/>
    <w:rsid w:val="006171E6"/>
    <w:rsid w:val="0061735F"/>
    <w:rsid w:val="00617B9C"/>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5CE"/>
    <w:rsid w:val="00683604"/>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76A5"/>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53"/>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8F7CFC"/>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1AB3"/>
    <w:rsid w:val="00A02D3C"/>
    <w:rsid w:val="00A032EA"/>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6A4"/>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4C82"/>
    <w:rsid w:val="00A6654A"/>
    <w:rsid w:val="00A666BD"/>
    <w:rsid w:val="00A66C0D"/>
    <w:rsid w:val="00A6764D"/>
    <w:rsid w:val="00A67934"/>
    <w:rsid w:val="00A67D4A"/>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9B2"/>
    <w:rsid w:val="00B569EC"/>
    <w:rsid w:val="00B56FBD"/>
    <w:rsid w:val="00B5715A"/>
    <w:rsid w:val="00B57327"/>
    <w:rsid w:val="00B6002D"/>
    <w:rsid w:val="00B6010B"/>
    <w:rsid w:val="00B60C9F"/>
    <w:rsid w:val="00B61145"/>
    <w:rsid w:val="00B61262"/>
    <w:rsid w:val="00B61E93"/>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951"/>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6043"/>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8D"/>
    <w:rsid w:val="00C57EB0"/>
    <w:rsid w:val="00C60984"/>
    <w:rsid w:val="00C60E33"/>
    <w:rsid w:val="00C60ED4"/>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5A8E"/>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15B"/>
    <w:rsid w:val="00CE49B0"/>
    <w:rsid w:val="00CE4EA8"/>
    <w:rsid w:val="00CE5261"/>
    <w:rsid w:val="00CE584B"/>
    <w:rsid w:val="00CE5A0A"/>
    <w:rsid w:val="00CE6C5C"/>
    <w:rsid w:val="00CE72F6"/>
    <w:rsid w:val="00CE7FF2"/>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638"/>
    <w:rsid w:val="00D14873"/>
    <w:rsid w:val="00D14C06"/>
    <w:rsid w:val="00D14CA9"/>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909"/>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064"/>
    <w:rsid w:val="00F4737E"/>
    <w:rsid w:val="00F47D5F"/>
    <w:rsid w:val="00F47E5F"/>
    <w:rsid w:val="00F50623"/>
    <w:rsid w:val="00F510E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AE4"/>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SubttuloCar">
    <w:name w:val="Subtítulo Car"/>
    <w:basedOn w:val="Fuentedeprrafopredeter"/>
    <w:link w:val="Subttulo"/>
    <w:uiPriority w:val="99"/>
    <w:rsid w:val="000D16FD"/>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0D16F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Tendencia-Ciclo.xlsx]Datos'!$C$173:$C$232</c:f>
              <c:numCache>
                <c:formatCode>0.0_)</c:formatCode>
                <c:ptCount val="52"/>
                <c:pt idx="0">
                  <c:v>51.318561500992502</c:v>
                </c:pt>
                <c:pt idx="1">
                  <c:v>51.844462352776198</c:v>
                </c:pt>
                <c:pt idx="2">
                  <c:v>52.721118828014099</c:v>
                </c:pt>
                <c:pt idx="3">
                  <c:v>51.597113570038502</c:v>
                </c:pt>
                <c:pt idx="4">
                  <c:v>51.545355363895098</c:v>
                </c:pt>
                <c:pt idx="5">
                  <c:v>51.542395763772902</c:v>
                </c:pt>
                <c:pt idx="6">
                  <c:v>51.810982694071001</c:v>
                </c:pt>
                <c:pt idx="7">
                  <c:v>51.407771286276997</c:v>
                </c:pt>
                <c:pt idx="8">
                  <c:v>51.583483457156902</c:v>
                </c:pt>
                <c:pt idx="9">
                  <c:v>51.286356954769502</c:v>
                </c:pt>
                <c:pt idx="10">
                  <c:v>51.223284713145802</c:v>
                </c:pt>
                <c:pt idx="11">
                  <c:v>51.291500842574202</c:v>
                </c:pt>
                <c:pt idx="12">
                  <c:v>51.468966226107199</c:v>
                </c:pt>
                <c:pt idx="13">
                  <c:v>51.911397626191103</c:v>
                </c:pt>
                <c:pt idx="14">
                  <c:v>51.685469639382603</c:v>
                </c:pt>
                <c:pt idx="15">
                  <c:v>52.944780662994603</c:v>
                </c:pt>
                <c:pt idx="16">
                  <c:v>51.936825193413902</c:v>
                </c:pt>
                <c:pt idx="17">
                  <c:v>51.985094731971003</c:v>
                </c:pt>
                <c:pt idx="18">
                  <c:v>49.939660338886803</c:v>
                </c:pt>
                <c:pt idx="19">
                  <c:v>50.5804982901019</c:v>
                </c:pt>
                <c:pt idx="20">
                  <c:v>50.576163815173899</c:v>
                </c:pt>
                <c:pt idx="21">
                  <c:v>50.201290091840903</c:v>
                </c:pt>
                <c:pt idx="22">
                  <c:v>50.0551765216156</c:v>
                </c:pt>
                <c:pt idx="23">
                  <c:v>49.653529011990003</c:v>
                </c:pt>
                <c:pt idx="24">
                  <c:v>49.845557416197202</c:v>
                </c:pt>
                <c:pt idx="25">
                  <c:v>50.185193258780998</c:v>
                </c:pt>
                <c:pt idx="26">
                  <c:v>47.515526610785798</c:v>
                </c:pt>
                <c:pt idx="27">
                  <c:v>42.663997095239303</c:v>
                </c:pt>
                <c:pt idx="28">
                  <c:v>39.441190680186402</c:v>
                </c:pt>
                <c:pt idx="29">
                  <c:v>49.2198751993242</c:v>
                </c:pt>
                <c:pt idx="30">
                  <c:v>49.785035195045701</c:v>
                </c:pt>
                <c:pt idx="31">
                  <c:v>50.2974148765107</c:v>
                </c:pt>
                <c:pt idx="32">
                  <c:v>49.9851401877402</c:v>
                </c:pt>
                <c:pt idx="33">
                  <c:v>50.856905982291501</c:v>
                </c:pt>
                <c:pt idx="34">
                  <c:v>50.719105592845203</c:v>
                </c:pt>
                <c:pt idx="35">
                  <c:v>51.2599664216769</c:v>
                </c:pt>
                <c:pt idx="36">
                  <c:v>51.702839693473898</c:v>
                </c:pt>
                <c:pt idx="37">
                  <c:v>50.147715608285701</c:v>
                </c:pt>
                <c:pt idx="38">
                  <c:v>51.869886821902099</c:v>
                </c:pt>
                <c:pt idx="39">
                  <c:v>50.667448526771601</c:v>
                </c:pt>
                <c:pt idx="40">
                  <c:v>51.430944895593797</c:v>
                </c:pt>
                <c:pt idx="41">
                  <c:v>51.538898501207797</c:v>
                </c:pt>
                <c:pt idx="42">
                  <c:v>52.239335152041498</c:v>
                </c:pt>
                <c:pt idx="43">
                  <c:v>52.421250588560298</c:v>
                </c:pt>
                <c:pt idx="44">
                  <c:v>52.786413583015303</c:v>
                </c:pt>
                <c:pt idx="45">
                  <c:v>52.576146447615599</c:v>
                </c:pt>
                <c:pt idx="46">
                  <c:v>52.867584727976698</c:v>
                </c:pt>
                <c:pt idx="47">
                  <c:v>52.385175681830702</c:v>
                </c:pt>
                <c:pt idx="48">
                  <c:v>51.139466170773503</c:v>
                </c:pt>
                <c:pt idx="49">
                  <c:v>52.545276530008799</c:v>
                </c:pt>
                <c:pt idx="50">
                  <c:v>53.962726880875998</c:v>
                </c:pt>
                <c:pt idx="51">
                  <c:v>53.449350811697698</c:v>
                </c:pt>
              </c:numCache>
            </c:numRef>
          </c:val>
          <c:smooth val="0"/>
          <c:extLst>
            <c:ext xmlns:c16="http://schemas.microsoft.com/office/drawing/2014/chart" uri="{C3380CC4-5D6E-409C-BE32-E72D297353CC}">
              <c16:uniqueId val="{00000000-60AC-429F-887C-BE619B37EC5A}"/>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Tendencia-Ciclo.xlsx]Datos'!$D$173:$D$232</c:f>
              <c:numCache>
                <c:formatCode>0.0_)</c:formatCode>
                <c:ptCount val="52"/>
                <c:pt idx="0">
                  <c:v>51.6223954760151</c:v>
                </c:pt>
                <c:pt idx="1">
                  <c:v>51.626116085888697</c:v>
                </c:pt>
                <c:pt idx="2">
                  <c:v>51.630534298938002</c:v>
                </c:pt>
                <c:pt idx="3">
                  <c:v>51.629056279158199</c:v>
                </c:pt>
                <c:pt idx="4">
                  <c:v>51.626648582468498</c:v>
                </c:pt>
                <c:pt idx="5">
                  <c:v>51.614755627804698</c:v>
                </c:pt>
                <c:pt idx="6">
                  <c:v>51.575648962570597</c:v>
                </c:pt>
                <c:pt idx="7">
                  <c:v>51.503737567481799</c:v>
                </c:pt>
                <c:pt idx="8">
                  <c:v>51.427753378626697</c:v>
                </c:pt>
                <c:pt idx="9">
                  <c:v>51.362717366948502</c:v>
                </c:pt>
                <c:pt idx="10">
                  <c:v>51.346396427223702</c:v>
                </c:pt>
                <c:pt idx="11">
                  <c:v>51.3996973845071</c:v>
                </c:pt>
                <c:pt idx="12">
                  <c:v>51.531943595364297</c:v>
                </c:pt>
                <c:pt idx="13">
                  <c:v>51.715121579495502</c:v>
                </c:pt>
                <c:pt idx="14">
                  <c:v>51.872413923959499</c:v>
                </c:pt>
                <c:pt idx="15">
                  <c:v>51.935253775943799</c:v>
                </c:pt>
                <c:pt idx="16">
                  <c:v>51.850410353286598</c:v>
                </c:pt>
                <c:pt idx="17">
                  <c:v>51.6247302923584</c:v>
                </c:pt>
                <c:pt idx="18">
                  <c:v>51.2894715054233</c:v>
                </c:pt>
                <c:pt idx="19">
                  <c:v>50.912811842592198</c:v>
                </c:pt>
                <c:pt idx="20">
                  <c:v>50.555394962124502</c:v>
                </c:pt>
                <c:pt idx="21">
                  <c:v>50.248156185280202</c:v>
                </c:pt>
                <c:pt idx="22">
                  <c:v>49.991828173608198</c:v>
                </c:pt>
                <c:pt idx="23">
                  <c:v>49.744966761034902</c:v>
                </c:pt>
                <c:pt idx="24">
                  <c:v>49.478055781438599</c:v>
                </c:pt>
                <c:pt idx="25">
                  <c:v>49.2030748293122</c:v>
                </c:pt>
                <c:pt idx="26">
                  <c:v>49.004578933401298</c:v>
                </c:pt>
                <c:pt idx="27">
                  <c:v>48.938401504816902</c:v>
                </c:pt>
                <c:pt idx="28">
                  <c:v>49.032412204081403</c:v>
                </c:pt>
                <c:pt idx="29">
                  <c:v>49.272542871768003</c:v>
                </c:pt>
                <c:pt idx="30">
                  <c:v>49.608663776987299</c:v>
                </c:pt>
                <c:pt idx="31">
                  <c:v>49.9862919482213</c:v>
                </c:pt>
                <c:pt idx="32">
                  <c:v>50.338899136831998</c:v>
                </c:pt>
                <c:pt idx="33">
                  <c:v>50.656378765510098</c:v>
                </c:pt>
                <c:pt idx="34">
                  <c:v>50.922187123520402</c:v>
                </c:pt>
                <c:pt idx="35">
                  <c:v>51.127899110152399</c:v>
                </c:pt>
                <c:pt idx="36">
                  <c:v>51.258137189368803</c:v>
                </c:pt>
                <c:pt idx="37">
                  <c:v>51.318582258495198</c:v>
                </c:pt>
                <c:pt idx="38">
                  <c:v>51.340924151923303</c:v>
                </c:pt>
                <c:pt idx="39">
                  <c:v>51.393338926204201</c:v>
                </c:pt>
                <c:pt idx="40">
                  <c:v>51.532119266791497</c:v>
                </c:pt>
                <c:pt idx="41">
                  <c:v>51.766875220400102</c:v>
                </c:pt>
                <c:pt idx="42">
                  <c:v>52.0683442388627</c:v>
                </c:pt>
                <c:pt idx="43">
                  <c:v>52.357782316473099</c:v>
                </c:pt>
                <c:pt idx="44">
                  <c:v>52.558780206902902</c:v>
                </c:pt>
                <c:pt idx="45">
                  <c:v>52.637720789230102</c:v>
                </c:pt>
                <c:pt idx="46">
                  <c:v>52.625519256334798</c:v>
                </c:pt>
                <c:pt idx="47">
                  <c:v>52.614223209863702</c:v>
                </c:pt>
                <c:pt idx="48">
                  <c:v>52.675493613227701</c:v>
                </c:pt>
                <c:pt idx="49">
                  <c:v>52.820409809715102</c:v>
                </c:pt>
                <c:pt idx="50">
                  <c:v>52.990020214569</c:v>
                </c:pt>
                <c:pt idx="51">
                  <c:v>53.116938184509898</c:v>
                </c:pt>
              </c:numCache>
            </c:numRef>
          </c:val>
          <c:smooth val="0"/>
          <c:extLst>
            <c:ext xmlns:c16="http://schemas.microsoft.com/office/drawing/2014/chart" uri="{C3380CC4-5D6E-409C-BE32-E72D297353CC}">
              <c16:uniqueId val="{00000001-60AC-429F-887C-BE619B37EC5A}"/>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Tendencia-Ciclo.xlsx]Datos'!$C$173:$C$232</c:f>
              <c:numCache>
                <c:formatCode>0.0_)</c:formatCode>
                <c:ptCount val="52"/>
                <c:pt idx="0">
                  <c:v>51.318561500992502</c:v>
                </c:pt>
                <c:pt idx="1">
                  <c:v>51.844462352776198</c:v>
                </c:pt>
                <c:pt idx="2">
                  <c:v>52.721118828014099</c:v>
                </c:pt>
                <c:pt idx="3">
                  <c:v>51.597113570038502</c:v>
                </c:pt>
                <c:pt idx="4">
                  <c:v>51.545355363895098</c:v>
                </c:pt>
                <c:pt idx="5">
                  <c:v>51.542395763772902</c:v>
                </c:pt>
                <c:pt idx="6">
                  <c:v>51.810982694071001</c:v>
                </c:pt>
                <c:pt idx="7">
                  <c:v>51.407771286276997</c:v>
                </c:pt>
                <c:pt idx="8">
                  <c:v>51.583483457156902</c:v>
                </c:pt>
                <c:pt idx="9">
                  <c:v>51.286356954769502</c:v>
                </c:pt>
                <c:pt idx="10">
                  <c:v>51.223284713145802</c:v>
                </c:pt>
                <c:pt idx="11">
                  <c:v>51.291500842574202</c:v>
                </c:pt>
                <c:pt idx="12">
                  <c:v>51.468966226107199</c:v>
                </c:pt>
                <c:pt idx="13">
                  <c:v>51.911397626191103</c:v>
                </c:pt>
                <c:pt idx="14">
                  <c:v>51.685469639382603</c:v>
                </c:pt>
                <c:pt idx="15">
                  <c:v>52.944780662994603</c:v>
                </c:pt>
                <c:pt idx="16">
                  <c:v>51.936825193413902</c:v>
                </c:pt>
                <c:pt idx="17">
                  <c:v>51.985094731971003</c:v>
                </c:pt>
                <c:pt idx="18">
                  <c:v>49.939660338886803</c:v>
                </c:pt>
                <c:pt idx="19">
                  <c:v>50.5804982901019</c:v>
                </c:pt>
                <c:pt idx="20">
                  <c:v>50.576163815173899</c:v>
                </c:pt>
                <c:pt idx="21">
                  <c:v>50.201290091840903</c:v>
                </c:pt>
                <c:pt idx="22">
                  <c:v>50.0551765216156</c:v>
                </c:pt>
                <c:pt idx="23">
                  <c:v>49.653529011990003</c:v>
                </c:pt>
                <c:pt idx="24">
                  <c:v>49.845557416197202</c:v>
                </c:pt>
                <c:pt idx="25">
                  <c:v>50.185193258780998</c:v>
                </c:pt>
                <c:pt idx="26">
                  <c:v>47.515526610785798</c:v>
                </c:pt>
                <c:pt idx="27">
                  <c:v>42.663997095239303</c:v>
                </c:pt>
                <c:pt idx="28">
                  <c:v>39.441190680186402</c:v>
                </c:pt>
                <c:pt idx="29">
                  <c:v>49.2198751993242</c:v>
                </c:pt>
                <c:pt idx="30">
                  <c:v>49.785035195045701</c:v>
                </c:pt>
                <c:pt idx="31">
                  <c:v>50.2974148765107</c:v>
                </c:pt>
                <c:pt idx="32">
                  <c:v>49.9851401877402</c:v>
                </c:pt>
                <c:pt idx="33">
                  <c:v>50.856905982291501</c:v>
                </c:pt>
                <c:pt idx="34">
                  <c:v>50.719105592845203</c:v>
                </c:pt>
                <c:pt idx="35">
                  <c:v>51.2599664216769</c:v>
                </c:pt>
                <c:pt idx="36">
                  <c:v>51.702839693473898</c:v>
                </c:pt>
                <c:pt idx="37">
                  <c:v>50.147715608285701</c:v>
                </c:pt>
                <c:pt idx="38">
                  <c:v>51.869886821902099</c:v>
                </c:pt>
                <c:pt idx="39">
                  <c:v>50.667448526771601</c:v>
                </c:pt>
                <c:pt idx="40">
                  <c:v>51.430944895593797</c:v>
                </c:pt>
                <c:pt idx="41">
                  <c:v>51.538898501207797</c:v>
                </c:pt>
                <c:pt idx="42">
                  <c:v>52.239335152041498</c:v>
                </c:pt>
                <c:pt idx="43">
                  <c:v>52.421250588560298</c:v>
                </c:pt>
                <c:pt idx="44">
                  <c:v>52.786413583015303</c:v>
                </c:pt>
                <c:pt idx="45">
                  <c:v>52.576146447615599</c:v>
                </c:pt>
                <c:pt idx="46">
                  <c:v>52.867584727976698</c:v>
                </c:pt>
                <c:pt idx="47">
                  <c:v>52.385175681830702</c:v>
                </c:pt>
                <c:pt idx="48">
                  <c:v>51.139466170773503</c:v>
                </c:pt>
                <c:pt idx="49">
                  <c:v>52.545276530008799</c:v>
                </c:pt>
                <c:pt idx="50">
                  <c:v>53.962726880875998</c:v>
                </c:pt>
                <c:pt idx="51">
                  <c:v>53.449350811697698</c:v>
                </c:pt>
              </c:numCache>
            </c:numRef>
          </c:val>
          <c:smooth val="0"/>
          <c:extLst>
            <c:ext xmlns:c16="http://schemas.microsoft.com/office/drawing/2014/chart" uri="{C3380CC4-5D6E-409C-BE32-E72D297353CC}">
              <c16:uniqueId val="{00000000-03E5-4355-B882-B92875C3581F}"/>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Tendencia-Ciclo.xlsx]Datos'!$D$173:$D$232</c:f>
              <c:numCache>
                <c:formatCode>0.0_)</c:formatCode>
                <c:ptCount val="52"/>
                <c:pt idx="0">
                  <c:v>51.6223954760151</c:v>
                </c:pt>
                <c:pt idx="1">
                  <c:v>51.626116085888697</c:v>
                </c:pt>
                <c:pt idx="2">
                  <c:v>51.630534298938002</c:v>
                </c:pt>
                <c:pt idx="3">
                  <c:v>51.629056279158199</c:v>
                </c:pt>
                <c:pt idx="4">
                  <c:v>51.626648582468498</c:v>
                </c:pt>
                <c:pt idx="5">
                  <c:v>51.614755627804698</c:v>
                </c:pt>
                <c:pt idx="6">
                  <c:v>51.575648962570597</c:v>
                </c:pt>
                <c:pt idx="7">
                  <c:v>51.503737567481799</c:v>
                </c:pt>
                <c:pt idx="8">
                  <c:v>51.427753378626697</c:v>
                </c:pt>
                <c:pt idx="9">
                  <c:v>51.362717366948502</c:v>
                </c:pt>
                <c:pt idx="10">
                  <c:v>51.346396427223702</c:v>
                </c:pt>
                <c:pt idx="11">
                  <c:v>51.3996973845071</c:v>
                </c:pt>
                <c:pt idx="12">
                  <c:v>51.531943595364297</c:v>
                </c:pt>
                <c:pt idx="13">
                  <c:v>51.715121579495502</c:v>
                </c:pt>
                <c:pt idx="14">
                  <c:v>51.872413923959499</c:v>
                </c:pt>
                <c:pt idx="15">
                  <c:v>51.935253775943799</c:v>
                </c:pt>
                <c:pt idx="16">
                  <c:v>51.850410353286598</c:v>
                </c:pt>
                <c:pt idx="17">
                  <c:v>51.6247302923584</c:v>
                </c:pt>
                <c:pt idx="18">
                  <c:v>51.2894715054233</c:v>
                </c:pt>
                <c:pt idx="19">
                  <c:v>50.912811842592198</c:v>
                </c:pt>
                <c:pt idx="20">
                  <c:v>50.555394962124502</c:v>
                </c:pt>
                <c:pt idx="21">
                  <c:v>50.248156185280202</c:v>
                </c:pt>
                <c:pt idx="22">
                  <c:v>49.991828173608198</c:v>
                </c:pt>
                <c:pt idx="23">
                  <c:v>49.744966761034902</c:v>
                </c:pt>
                <c:pt idx="24">
                  <c:v>49.478055781438599</c:v>
                </c:pt>
                <c:pt idx="25">
                  <c:v>49.2030748293122</c:v>
                </c:pt>
                <c:pt idx="26">
                  <c:v>49.004578933401298</c:v>
                </c:pt>
                <c:pt idx="27">
                  <c:v>48.938401504816902</c:v>
                </c:pt>
                <c:pt idx="28">
                  <c:v>49.032412204081403</c:v>
                </c:pt>
                <c:pt idx="29">
                  <c:v>49.272542871768003</c:v>
                </c:pt>
                <c:pt idx="30">
                  <c:v>49.608663776987299</c:v>
                </c:pt>
                <c:pt idx="31">
                  <c:v>49.9862919482213</c:v>
                </c:pt>
                <c:pt idx="32">
                  <c:v>50.338899136831998</c:v>
                </c:pt>
                <c:pt idx="33">
                  <c:v>50.656378765510098</c:v>
                </c:pt>
                <c:pt idx="34">
                  <c:v>50.922187123520402</c:v>
                </c:pt>
                <c:pt idx="35">
                  <c:v>51.127899110152399</c:v>
                </c:pt>
                <c:pt idx="36">
                  <c:v>51.258137189368803</c:v>
                </c:pt>
                <c:pt idx="37">
                  <c:v>51.318582258495198</c:v>
                </c:pt>
                <c:pt idx="38">
                  <c:v>51.340924151923303</c:v>
                </c:pt>
                <c:pt idx="39">
                  <c:v>51.393338926204201</c:v>
                </c:pt>
                <c:pt idx="40">
                  <c:v>51.532119266791497</c:v>
                </c:pt>
                <c:pt idx="41">
                  <c:v>51.766875220400102</c:v>
                </c:pt>
                <c:pt idx="42">
                  <c:v>52.0683442388627</c:v>
                </c:pt>
                <c:pt idx="43">
                  <c:v>52.357782316473099</c:v>
                </c:pt>
                <c:pt idx="44">
                  <c:v>52.558780206902902</c:v>
                </c:pt>
                <c:pt idx="45">
                  <c:v>52.637720789230102</c:v>
                </c:pt>
                <c:pt idx="46">
                  <c:v>52.625519256334798</c:v>
                </c:pt>
                <c:pt idx="47">
                  <c:v>52.614223209863702</c:v>
                </c:pt>
                <c:pt idx="48">
                  <c:v>52.675493613227701</c:v>
                </c:pt>
                <c:pt idx="49">
                  <c:v>52.820409809715102</c:v>
                </c:pt>
                <c:pt idx="50">
                  <c:v>52.990020214569</c:v>
                </c:pt>
                <c:pt idx="51">
                  <c:v>53.116938184509898</c:v>
                </c:pt>
              </c:numCache>
            </c:numRef>
          </c:val>
          <c:smooth val="0"/>
          <c:extLst>
            <c:ext xmlns:c16="http://schemas.microsoft.com/office/drawing/2014/chart" uri="{C3380CC4-5D6E-409C-BE32-E72D297353CC}">
              <c16:uniqueId val="{00000001-03E5-4355-B882-B92875C3581F}"/>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Tendencia-Ciclo.xlsx]Datos'!$E$173:$E$232</c:f>
              <c:numCache>
                <c:formatCode>0.0_)</c:formatCode>
                <c:ptCount val="52"/>
                <c:pt idx="0">
                  <c:v>52.997276638764298</c:v>
                </c:pt>
                <c:pt idx="1">
                  <c:v>53.132693129555904</c:v>
                </c:pt>
                <c:pt idx="2">
                  <c:v>53.380950053543401</c:v>
                </c:pt>
                <c:pt idx="3">
                  <c:v>52.639379059609901</c:v>
                </c:pt>
                <c:pt idx="4">
                  <c:v>52.339581187378002</c:v>
                </c:pt>
                <c:pt idx="5">
                  <c:v>53.759800218043402</c:v>
                </c:pt>
                <c:pt idx="6">
                  <c:v>53.3979703988784</c:v>
                </c:pt>
                <c:pt idx="7">
                  <c:v>52.928539985397101</c:v>
                </c:pt>
                <c:pt idx="8">
                  <c:v>53.404320238292598</c:v>
                </c:pt>
                <c:pt idx="9">
                  <c:v>52.935668703569803</c:v>
                </c:pt>
                <c:pt idx="10">
                  <c:v>52.142446808085502</c:v>
                </c:pt>
                <c:pt idx="11">
                  <c:v>52.980862535514298</c:v>
                </c:pt>
                <c:pt idx="12">
                  <c:v>52.223486384972901</c:v>
                </c:pt>
                <c:pt idx="13">
                  <c:v>53.0475021955139</c:v>
                </c:pt>
                <c:pt idx="14">
                  <c:v>52.469277095281299</c:v>
                </c:pt>
                <c:pt idx="15">
                  <c:v>53.898061237533497</c:v>
                </c:pt>
                <c:pt idx="16">
                  <c:v>54.051211200707399</c:v>
                </c:pt>
                <c:pt idx="17">
                  <c:v>53.139987182733002</c:v>
                </c:pt>
                <c:pt idx="18">
                  <c:v>51.6331287384888</c:v>
                </c:pt>
                <c:pt idx="19">
                  <c:v>51.702153459038797</c:v>
                </c:pt>
                <c:pt idx="20">
                  <c:v>52.154810634739398</c:v>
                </c:pt>
                <c:pt idx="21">
                  <c:v>51.3189069058649</c:v>
                </c:pt>
                <c:pt idx="22">
                  <c:v>51.133599932746101</c:v>
                </c:pt>
                <c:pt idx="23">
                  <c:v>49.979186471433501</c:v>
                </c:pt>
                <c:pt idx="24">
                  <c:v>51.069252369897498</c:v>
                </c:pt>
                <c:pt idx="25">
                  <c:v>51.757887021603999</c:v>
                </c:pt>
                <c:pt idx="26">
                  <c:v>46.686061734937802</c:v>
                </c:pt>
                <c:pt idx="27">
                  <c:v>36.216604934914997</c:v>
                </c:pt>
                <c:pt idx="28">
                  <c:v>31.5776926689406</c:v>
                </c:pt>
                <c:pt idx="29">
                  <c:v>50.263838068784104</c:v>
                </c:pt>
                <c:pt idx="30">
                  <c:v>51.364066081133998</c:v>
                </c:pt>
                <c:pt idx="31">
                  <c:v>51.284885400448999</c:v>
                </c:pt>
                <c:pt idx="32">
                  <c:v>50.913533625463103</c:v>
                </c:pt>
                <c:pt idx="33">
                  <c:v>51.919694479024997</c:v>
                </c:pt>
                <c:pt idx="34">
                  <c:v>52.283675330106597</c:v>
                </c:pt>
                <c:pt idx="35">
                  <c:v>52.686024622163103</c:v>
                </c:pt>
                <c:pt idx="36">
                  <c:v>53.098287501055196</c:v>
                </c:pt>
                <c:pt idx="37">
                  <c:v>50.7163084458575</c:v>
                </c:pt>
                <c:pt idx="38">
                  <c:v>53.294758702112702</c:v>
                </c:pt>
                <c:pt idx="39">
                  <c:v>50.512141976443601</c:v>
                </c:pt>
                <c:pt idx="40">
                  <c:v>52.247496714855103</c:v>
                </c:pt>
                <c:pt idx="41">
                  <c:v>52.2186827531267</c:v>
                </c:pt>
                <c:pt idx="42">
                  <c:v>52.996862061868001</c:v>
                </c:pt>
                <c:pt idx="43">
                  <c:v>53.754666006272203</c:v>
                </c:pt>
                <c:pt idx="44">
                  <c:v>53.684116531641898</c:v>
                </c:pt>
                <c:pt idx="45">
                  <c:v>53.826009389642202</c:v>
                </c:pt>
                <c:pt idx="46">
                  <c:v>54.107643937682397</c:v>
                </c:pt>
                <c:pt idx="47">
                  <c:v>54.504339694724699</c:v>
                </c:pt>
                <c:pt idx="48">
                  <c:v>51.980235317425098</c:v>
                </c:pt>
                <c:pt idx="49">
                  <c:v>54.270800971883602</c:v>
                </c:pt>
                <c:pt idx="50">
                  <c:v>55.459709131506202</c:v>
                </c:pt>
                <c:pt idx="51">
                  <c:v>54.7040953015456</c:v>
                </c:pt>
              </c:numCache>
            </c:numRef>
          </c:val>
          <c:smooth val="0"/>
          <c:extLst>
            <c:ext xmlns:c16="http://schemas.microsoft.com/office/drawing/2014/chart" uri="{C3380CC4-5D6E-409C-BE32-E72D297353CC}">
              <c16:uniqueId val="{00000000-AAA9-4540-A8F3-C2EA2952D62D}"/>
            </c:ext>
          </c:extLst>
        </c:ser>
        <c:ser>
          <c:idx val="1"/>
          <c:order val="1"/>
          <c:tx>
            <c:strRef>
              <c:f>'[IPM_Gráficas Desest y Tendencia-Ciclo.xlsx]Datos'!$F$4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Tendencia-Ciclo.xlsx]Datos'!$F$173:$F$232</c:f>
              <c:numCache>
                <c:formatCode>0.0_)</c:formatCode>
                <c:ptCount val="52"/>
                <c:pt idx="0">
                  <c:v>52.977938235040199</c:v>
                </c:pt>
                <c:pt idx="1">
                  <c:v>52.973471507728</c:v>
                </c:pt>
                <c:pt idx="2">
                  <c:v>52.977066829957998</c:v>
                </c:pt>
                <c:pt idx="3">
                  <c:v>52.997651122202001</c:v>
                </c:pt>
                <c:pt idx="4">
                  <c:v>53.066587484538303</c:v>
                </c:pt>
                <c:pt idx="5">
                  <c:v>53.141043404617001</c:v>
                </c:pt>
                <c:pt idx="6">
                  <c:v>53.189417594351497</c:v>
                </c:pt>
                <c:pt idx="7">
                  <c:v>53.165408201778199</c:v>
                </c:pt>
                <c:pt idx="8">
                  <c:v>53.0603624581126</c:v>
                </c:pt>
                <c:pt idx="9">
                  <c:v>52.872061056703402</c:v>
                </c:pt>
                <c:pt idx="10">
                  <c:v>52.666077583659799</c:v>
                </c:pt>
                <c:pt idx="11">
                  <c:v>52.576616717462997</c:v>
                </c:pt>
                <c:pt idx="12">
                  <c:v>52.686541545464898</c:v>
                </c:pt>
                <c:pt idx="13">
                  <c:v>52.926728747238499</c:v>
                </c:pt>
                <c:pt idx="14">
                  <c:v>53.170144469870202</c:v>
                </c:pt>
                <c:pt idx="15">
                  <c:v>53.295618008213602</c:v>
                </c:pt>
                <c:pt idx="16">
                  <c:v>53.213415470556399</c:v>
                </c:pt>
                <c:pt idx="17">
                  <c:v>52.949389596033299</c:v>
                </c:pt>
                <c:pt idx="18">
                  <c:v>52.540714189693297</c:v>
                </c:pt>
                <c:pt idx="19">
                  <c:v>52.063773633540798</c:v>
                </c:pt>
                <c:pt idx="20">
                  <c:v>51.627171581914098</c:v>
                </c:pt>
                <c:pt idx="21">
                  <c:v>51.265671636079901</c:v>
                </c:pt>
                <c:pt idx="22">
                  <c:v>50.968547328636703</c:v>
                </c:pt>
                <c:pt idx="23">
                  <c:v>50.648804102716198</c:v>
                </c:pt>
                <c:pt idx="24">
                  <c:v>50.281001264363397</c:v>
                </c:pt>
                <c:pt idx="25">
                  <c:v>49.953976038198597</c:v>
                </c:pt>
                <c:pt idx="26">
                  <c:v>49.791824868557399</c:v>
                </c:pt>
                <c:pt idx="27">
                  <c:v>49.812000708046</c:v>
                </c:pt>
                <c:pt idx="28">
                  <c:v>49.988486594501502</c:v>
                </c:pt>
                <c:pt idx="29">
                  <c:v>50.295104873584101</c:v>
                </c:pt>
                <c:pt idx="30">
                  <c:v>50.680715772417102</c:v>
                </c:pt>
                <c:pt idx="31">
                  <c:v>51.115999970227499</c:v>
                </c:pt>
                <c:pt idx="32">
                  <c:v>51.528086574915001</c:v>
                </c:pt>
                <c:pt idx="33">
                  <c:v>51.916366885051303</c:v>
                </c:pt>
                <c:pt idx="34">
                  <c:v>52.267184930077399</c:v>
                </c:pt>
                <c:pt idx="35">
                  <c:v>52.5526844808346</c:v>
                </c:pt>
                <c:pt idx="36">
                  <c:v>52.718350762382997</c:v>
                </c:pt>
                <c:pt idx="37">
                  <c:v>52.718062942669299</c:v>
                </c:pt>
                <c:pt idx="38">
                  <c:v>52.595172668325098</c:v>
                </c:pt>
                <c:pt idx="39">
                  <c:v>52.4800354452371</c:v>
                </c:pt>
                <c:pt idx="40">
                  <c:v>52.486805503316504</c:v>
                </c:pt>
                <c:pt idx="41">
                  <c:v>52.642600125894603</c:v>
                </c:pt>
                <c:pt idx="42">
                  <c:v>52.941771717012898</c:v>
                </c:pt>
                <c:pt idx="43">
                  <c:v>53.314858100830598</c:v>
                </c:pt>
                <c:pt idx="44">
                  <c:v>53.650840689326202</c:v>
                </c:pt>
                <c:pt idx="45">
                  <c:v>53.916149342200299</c:v>
                </c:pt>
                <c:pt idx="46">
                  <c:v>54.093390512023298</c:v>
                </c:pt>
                <c:pt idx="47">
                  <c:v>54.244098717426503</c:v>
                </c:pt>
                <c:pt idx="48">
                  <c:v>54.424177378003499</c:v>
                </c:pt>
                <c:pt idx="49">
                  <c:v>54.652043219123897</c:v>
                </c:pt>
                <c:pt idx="50">
                  <c:v>54.869002621285802</c:v>
                </c:pt>
                <c:pt idx="51">
                  <c:v>55.011505944285702</c:v>
                </c:pt>
              </c:numCache>
            </c:numRef>
          </c:val>
          <c:smooth val="0"/>
          <c:extLst>
            <c:ext xmlns:c16="http://schemas.microsoft.com/office/drawing/2014/chart" uri="{C3380CC4-5D6E-409C-BE32-E72D297353CC}">
              <c16:uniqueId val="{00000001-AAA9-4540-A8F3-C2EA2952D62D}"/>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Tendencia-Ciclo.xlsx]Datos'!$G$173:$G$232</c:f>
              <c:numCache>
                <c:formatCode>0.0_)</c:formatCode>
                <c:ptCount val="52"/>
                <c:pt idx="0">
                  <c:v>50.765057730272801</c:v>
                </c:pt>
                <c:pt idx="1">
                  <c:v>52.226527520567203</c:v>
                </c:pt>
                <c:pt idx="2">
                  <c:v>55.7039082708704</c:v>
                </c:pt>
                <c:pt idx="3">
                  <c:v>52.646822326918198</c:v>
                </c:pt>
                <c:pt idx="4">
                  <c:v>52.555374819734602</c:v>
                </c:pt>
                <c:pt idx="5">
                  <c:v>52.551308003853102</c:v>
                </c:pt>
                <c:pt idx="6">
                  <c:v>53.881695429416901</c:v>
                </c:pt>
                <c:pt idx="7">
                  <c:v>51.881069328034499</c:v>
                </c:pt>
                <c:pt idx="8">
                  <c:v>52.273315660479597</c:v>
                </c:pt>
                <c:pt idx="9">
                  <c:v>51.737940283653998</c:v>
                </c:pt>
                <c:pt idx="10">
                  <c:v>52.677651669757097</c:v>
                </c:pt>
                <c:pt idx="11">
                  <c:v>52.390576940067298</c:v>
                </c:pt>
                <c:pt idx="12">
                  <c:v>52.750975823054603</c:v>
                </c:pt>
                <c:pt idx="13">
                  <c:v>53.3648109176441</c:v>
                </c:pt>
                <c:pt idx="14">
                  <c:v>53.086330140315397</c:v>
                </c:pt>
                <c:pt idx="15">
                  <c:v>54.883920392182603</c:v>
                </c:pt>
                <c:pt idx="16">
                  <c:v>53.682653694146197</c:v>
                </c:pt>
                <c:pt idx="17">
                  <c:v>53.184223364999603</c:v>
                </c:pt>
                <c:pt idx="18">
                  <c:v>50.256045133411803</c:v>
                </c:pt>
                <c:pt idx="19">
                  <c:v>51.587169355028102</c:v>
                </c:pt>
                <c:pt idx="20">
                  <c:v>50.731065013496597</c:v>
                </c:pt>
                <c:pt idx="21">
                  <c:v>51.259868375646803</c:v>
                </c:pt>
                <c:pt idx="22">
                  <c:v>49.7238735216458</c:v>
                </c:pt>
                <c:pt idx="23">
                  <c:v>50.443399951835502</c:v>
                </c:pt>
                <c:pt idx="24">
                  <c:v>50.1513710608222</c:v>
                </c:pt>
                <c:pt idx="25">
                  <c:v>50.811117710459698</c:v>
                </c:pt>
                <c:pt idx="26">
                  <c:v>46.395873877701199</c:v>
                </c:pt>
                <c:pt idx="27">
                  <c:v>38.886672269376298</c:v>
                </c:pt>
                <c:pt idx="28">
                  <c:v>35.058450205209503</c:v>
                </c:pt>
                <c:pt idx="29">
                  <c:v>50.668934296489503</c:v>
                </c:pt>
                <c:pt idx="30">
                  <c:v>49.907729034568398</c:v>
                </c:pt>
                <c:pt idx="31">
                  <c:v>50.787906246537098</c:v>
                </c:pt>
                <c:pt idx="32">
                  <c:v>50.479016638180298</c:v>
                </c:pt>
                <c:pt idx="33">
                  <c:v>52.137511105353198</c:v>
                </c:pt>
                <c:pt idx="34">
                  <c:v>51.564504594896697</c:v>
                </c:pt>
                <c:pt idx="35">
                  <c:v>51.078927758416</c:v>
                </c:pt>
                <c:pt idx="36">
                  <c:v>52.636809015843802</c:v>
                </c:pt>
                <c:pt idx="37">
                  <c:v>50.430927621155497</c:v>
                </c:pt>
                <c:pt idx="38">
                  <c:v>52.882981625771698</c:v>
                </c:pt>
                <c:pt idx="39">
                  <c:v>50.129447324932002</c:v>
                </c:pt>
                <c:pt idx="40">
                  <c:v>50.722959903983501</c:v>
                </c:pt>
                <c:pt idx="41">
                  <c:v>50.999311843211601</c:v>
                </c:pt>
                <c:pt idx="42">
                  <c:v>55.230548016118298</c:v>
                </c:pt>
                <c:pt idx="43">
                  <c:v>53.658848745212303</c:v>
                </c:pt>
                <c:pt idx="44">
                  <c:v>54.355852709470902</c:v>
                </c:pt>
                <c:pt idx="45">
                  <c:v>52.8799313968589</c:v>
                </c:pt>
                <c:pt idx="46">
                  <c:v>54.671376174743401</c:v>
                </c:pt>
                <c:pt idx="47">
                  <c:v>53.748731769559697</c:v>
                </c:pt>
                <c:pt idx="48">
                  <c:v>51.243555033953598</c:v>
                </c:pt>
                <c:pt idx="49">
                  <c:v>53.7923712742977</c:v>
                </c:pt>
                <c:pt idx="50">
                  <c:v>55.834946726747603</c:v>
                </c:pt>
                <c:pt idx="51">
                  <c:v>54.486800782866801</c:v>
                </c:pt>
              </c:numCache>
            </c:numRef>
          </c:val>
          <c:smooth val="0"/>
          <c:extLst>
            <c:ext xmlns:c16="http://schemas.microsoft.com/office/drawing/2014/chart" uri="{C3380CC4-5D6E-409C-BE32-E72D297353CC}">
              <c16:uniqueId val="{00000000-6A73-47BF-A5FF-D8F78F19FCC2}"/>
            </c:ext>
          </c:extLst>
        </c:ser>
        <c:ser>
          <c:idx val="1"/>
          <c:order val="1"/>
          <c:tx>
            <c:strRef>
              <c:f>'[IPM_Gráficas Desest y Tendencia-Ciclo.xlsx]Datos'!$H$4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Tendencia-Ciclo.xlsx]Datos'!$H$173:$H$232</c:f>
              <c:numCache>
                <c:formatCode>0.0_)</c:formatCode>
                <c:ptCount val="52"/>
                <c:pt idx="0">
                  <c:v>52.833126474031097</c:v>
                </c:pt>
                <c:pt idx="1">
                  <c:v>52.758307771282801</c:v>
                </c:pt>
                <c:pt idx="2">
                  <c:v>52.6796947035157</c:v>
                </c:pt>
                <c:pt idx="3">
                  <c:v>52.620242547009397</c:v>
                </c:pt>
                <c:pt idx="4">
                  <c:v>52.566989345889603</c:v>
                </c:pt>
                <c:pt idx="5">
                  <c:v>52.504848360076402</c:v>
                </c:pt>
                <c:pt idx="6">
                  <c:v>52.401890747939397</c:v>
                </c:pt>
                <c:pt idx="7">
                  <c:v>52.2680911741096</c:v>
                </c:pt>
                <c:pt idx="8">
                  <c:v>52.182676015364599</c:v>
                </c:pt>
                <c:pt idx="9">
                  <c:v>52.175031324958297</c:v>
                </c:pt>
                <c:pt idx="10">
                  <c:v>52.2861684919136</c:v>
                </c:pt>
                <c:pt idx="11">
                  <c:v>52.546678012930201</c:v>
                </c:pt>
                <c:pt idx="12">
                  <c:v>52.931310468098403</c:v>
                </c:pt>
                <c:pt idx="13">
                  <c:v>53.341799652879203</c:v>
                </c:pt>
                <c:pt idx="14">
                  <c:v>53.6524859992088</c:v>
                </c:pt>
                <c:pt idx="15">
                  <c:v>53.740725935655199</c:v>
                </c:pt>
                <c:pt idx="16">
                  <c:v>53.554595079313202</c:v>
                </c:pt>
                <c:pt idx="17">
                  <c:v>53.0992778264131</c:v>
                </c:pt>
                <c:pt idx="18">
                  <c:v>52.443569048807198</c:v>
                </c:pt>
                <c:pt idx="19">
                  <c:v>51.724649247477799</c:v>
                </c:pt>
                <c:pt idx="20">
                  <c:v>51.102861083743903</c:v>
                </c:pt>
                <c:pt idx="21">
                  <c:v>50.677150992829098</c:v>
                </c:pt>
                <c:pt idx="22">
                  <c:v>50.4361133311847</c:v>
                </c:pt>
                <c:pt idx="23">
                  <c:v>50.269285157321796</c:v>
                </c:pt>
                <c:pt idx="24">
                  <c:v>50.155647396705199</c:v>
                </c:pt>
                <c:pt idx="25">
                  <c:v>50.060414548560601</c:v>
                </c:pt>
                <c:pt idx="26">
                  <c:v>49.996666885306901</c:v>
                </c:pt>
                <c:pt idx="27">
                  <c:v>49.954959685571701</c:v>
                </c:pt>
                <c:pt idx="28">
                  <c:v>49.977661736461698</c:v>
                </c:pt>
                <c:pt idx="29">
                  <c:v>50.112012003058297</c:v>
                </c:pt>
                <c:pt idx="30">
                  <c:v>50.361168022899101</c:v>
                </c:pt>
                <c:pt idx="31">
                  <c:v>50.701661953368699</c:v>
                </c:pt>
                <c:pt idx="32">
                  <c:v>51.0622671834508</c:v>
                </c:pt>
                <c:pt idx="33">
                  <c:v>51.3638653006645</c:v>
                </c:pt>
                <c:pt idx="34">
                  <c:v>51.544190577423798</c:v>
                </c:pt>
                <c:pt idx="35">
                  <c:v>51.546388613536799</c:v>
                </c:pt>
                <c:pt idx="36">
                  <c:v>51.340251416676203</c:v>
                </c:pt>
                <c:pt idx="37">
                  <c:v>50.996504838556902</c:v>
                </c:pt>
                <c:pt idx="38">
                  <c:v>50.6995746221803</c:v>
                </c:pt>
                <c:pt idx="39">
                  <c:v>50.660954035704201</c:v>
                </c:pt>
                <c:pt idx="40">
                  <c:v>50.954571561121</c:v>
                </c:pt>
                <c:pt idx="41">
                  <c:v>51.535292486430698</c:v>
                </c:pt>
                <c:pt idx="42">
                  <c:v>52.297071118478101</c:v>
                </c:pt>
                <c:pt idx="43">
                  <c:v>53.050750906043902</c:v>
                </c:pt>
                <c:pt idx="44">
                  <c:v>53.579900637379701</c:v>
                </c:pt>
                <c:pt idx="45">
                  <c:v>53.870849170895802</c:v>
                </c:pt>
                <c:pt idx="46">
                  <c:v>53.975701969016001</c:v>
                </c:pt>
                <c:pt idx="47">
                  <c:v>54.025474214096</c:v>
                </c:pt>
                <c:pt idx="48">
                  <c:v>54.105152585218399</c:v>
                </c:pt>
                <c:pt idx="49">
                  <c:v>54.250658060535997</c:v>
                </c:pt>
                <c:pt idx="50">
                  <c:v>54.411167039540302</c:v>
                </c:pt>
                <c:pt idx="51">
                  <c:v>54.525513112886898</c:v>
                </c:pt>
              </c:numCache>
            </c:numRef>
          </c:val>
          <c:smooth val="0"/>
          <c:extLst>
            <c:ext xmlns:c16="http://schemas.microsoft.com/office/drawing/2014/chart" uri="{C3380CC4-5D6E-409C-BE32-E72D297353CC}">
              <c16:uniqueId val="{00000001-6A73-47BF-A5FF-D8F78F19FCC2}"/>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Tendencia-Ciclo.xlsx]Datos'!$I$173:$I$232</c:f>
              <c:numCache>
                <c:formatCode>0.0_)</c:formatCode>
                <c:ptCount val="52"/>
                <c:pt idx="0">
                  <c:v>51.121834108897801</c:v>
                </c:pt>
                <c:pt idx="1">
                  <c:v>52.102375248557699</c:v>
                </c:pt>
                <c:pt idx="2">
                  <c:v>51.651250191960102</c:v>
                </c:pt>
                <c:pt idx="3">
                  <c:v>51.3871401888427</c:v>
                </c:pt>
                <c:pt idx="4">
                  <c:v>51.513649546244402</c:v>
                </c:pt>
                <c:pt idx="5">
                  <c:v>50.3014114788839</c:v>
                </c:pt>
                <c:pt idx="6">
                  <c:v>51.953293773105599</c:v>
                </c:pt>
                <c:pt idx="7">
                  <c:v>51.014467457163001</c:v>
                </c:pt>
                <c:pt idx="8">
                  <c:v>51.266019888042798</c:v>
                </c:pt>
                <c:pt idx="9">
                  <c:v>51.026697405158501</c:v>
                </c:pt>
                <c:pt idx="10">
                  <c:v>51.062389923801902</c:v>
                </c:pt>
                <c:pt idx="11">
                  <c:v>50.036237866340898</c:v>
                </c:pt>
                <c:pt idx="12">
                  <c:v>51.303461893722599</c:v>
                </c:pt>
                <c:pt idx="13">
                  <c:v>50.2190359552242</c:v>
                </c:pt>
                <c:pt idx="14">
                  <c:v>50.813055889638598</c:v>
                </c:pt>
                <c:pt idx="15">
                  <c:v>50.5954056511072</c:v>
                </c:pt>
                <c:pt idx="16">
                  <c:v>50.453149741691597</c:v>
                </c:pt>
                <c:pt idx="17">
                  <c:v>50.4203433169574</c:v>
                </c:pt>
                <c:pt idx="18">
                  <c:v>50.0700494721981</c:v>
                </c:pt>
                <c:pt idx="19">
                  <c:v>49.985904423414297</c:v>
                </c:pt>
                <c:pt idx="20">
                  <c:v>49.864280336654403</c:v>
                </c:pt>
                <c:pt idx="21">
                  <c:v>50.142275092825599</c:v>
                </c:pt>
                <c:pt idx="22">
                  <c:v>50.013753174068199</c:v>
                </c:pt>
                <c:pt idx="23">
                  <c:v>49.498676808471402</c:v>
                </c:pt>
                <c:pt idx="24">
                  <c:v>49.736212998453901</c:v>
                </c:pt>
                <c:pt idx="25">
                  <c:v>49.597261467424502</c:v>
                </c:pt>
                <c:pt idx="26">
                  <c:v>49.077423977870801</c:v>
                </c:pt>
                <c:pt idx="27">
                  <c:v>46.000895342942897</c:v>
                </c:pt>
                <c:pt idx="28">
                  <c:v>43.493727144932897</c:v>
                </c:pt>
                <c:pt idx="29">
                  <c:v>45.7261724983695</c:v>
                </c:pt>
                <c:pt idx="30">
                  <c:v>49.010286795366099</c:v>
                </c:pt>
                <c:pt idx="31">
                  <c:v>49.566865487508203</c:v>
                </c:pt>
                <c:pt idx="32">
                  <c:v>49.487896153582497</c:v>
                </c:pt>
                <c:pt idx="33">
                  <c:v>50.202759336946301</c:v>
                </c:pt>
                <c:pt idx="34">
                  <c:v>50.131177402413698</c:v>
                </c:pt>
                <c:pt idx="35">
                  <c:v>50.828833065774397</c:v>
                </c:pt>
                <c:pt idx="36">
                  <c:v>50.709697148784002</c:v>
                </c:pt>
                <c:pt idx="37">
                  <c:v>49.817621641252998</c:v>
                </c:pt>
                <c:pt idx="38">
                  <c:v>50.489059731172503</c:v>
                </c:pt>
                <c:pt idx="39">
                  <c:v>50.572486224957402</c:v>
                </c:pt>
                <c:pt idx="40">
                  <c:v>50.857509837930699</c:v>
                </c:pt>
                <c:pt idx="41">
                  <c:v>51.370844021779298</c:v>
                </c:pt>
                <c:pt idx="42">
                  <c:v>51.596238619970599</c:v>
                </c:pt>
                <c:pt idx="43">
                  <c:v>51.264483125460899</c:v>
                </c:pt>
                <c:pt idx="44">
                  <c:v>51.246740807671998</c:v>
                </c:pt>
                <c:pt idx="45">
                  <c:v>50.325876598318096</c:v>
                </c:pt>
                <c:pt idx="46">
                  <c:v>50.853695339166798</c:v>
                </c:pt>
                <c:pt idx="47">
                  <c:v>50.575446962451998</c:v>
                </c:pt>
                <c:pt idx="48">
                  <c:v>50.209024864719503</c:v>
                </c:pt>
                <c:pt idx="49">
                  <c:v>51.727910734177499</c:v>
                </c:pt>
                <c:pt idx="50">
                  <c:v>50.915907702633397</c:v>
                </c:pt>
                <c:pt idx="51">
                  <c:v>51.150386526762396</c:v>
                </c:pt>
              </c:numCache>
            </c:numRef>
          </c:val>
          <c:smooth val="0"/>
          <c:extLst>
            <c:ext xmlns:c16="http://schemas.microsoft.com/office/drawing/2014/chart" uri="{C3380CC4-5D6E-409C-BE32-E72D297353CC}">
              <c16:uniqueId val="{00000000-B4E9-4CA8-B417-55C19A255167}"/>
            </c:ext>
          </c:extLst>
        </c:ser>
        <c:ser>
          <c:idx val="1"/>
          <c:order val="1"/>
          <c:tx>
            <c:strRef>
              <c:f>'[IPM_Gráficas Desest y Tendencia-Ciclo.xlsx]Datos'!$J$4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Tendencia-Ciclo.xlsx]Datos'!$J$173:$J$232</c:f>
              <c:numCache>
                <c:formatCode>0.0_)</c:formatCode>
                <c:ptCount val="52"/>
                <c:pt idx="0">
                  <c:v>51.223367844175101</c:v>
                </c:pt>
                <c:pt idx="1">
                  <c:v>51.382243091062001</c:v>
                </c:pt>
                <c:pt idx="2">
                  <c:v>51.486690453314502</c:v>
                </c:pt>
                <c:pt idx="3">
                  <c:v>51.502037892493398</c:v>
                </c:pt>
                <c:pt idx="4">
                  <c:v>51.439244181928501</c:v>
                </c:pt>
                <c:pt idx="5">
                  <c:v>51.343554561633802</c:v>
                </c:pt>
                <c:pt idx="6">
                  <c:v>51.246691183597001</c:v>
                </c:pt>
                <c:pt idx="7">
                  <c:v>51.176329796337797</c:v>
                </c:pt>
                <c:pt idx="8">
                  <c:v>51.1177383745353</c:v>
                </c:pt>
                <c:pt idx="9">
                  <c:v>51.0466293090983</c:v>
                </c:pt>
                <c:pt idx="10">
                  <c:v>50.960485807772102</c:v>
                </c:pt>
                <c:pt idx="11">
                  <c:v>50.865519617475201</c:v>
                </c:pt>
                <c:pt idx="12">
                  <c:v>50.771864994323302</c:v>
                </c:pt>
                <c:pt idx="13">
                  <c:v>50.690651917876302</c:v>
                </c:pt>
                <c:pt idx="14">
                  <c:v>50.619758626695102</c:v>
                </c:pt>
                <c:pt idx="15">
                  <c:v>50.538375023873101</c:v>
                </c:pt>
                <c:pt idx="16">
                  <c:v>50.429859189207498</c:v>
                </c:pt>
                <c:pt idx="17">
                  <c:v>50.312124677505999</c:v>
                </c:pt>
                <c:pt idx="18">
                  <c:v>50.191801586677798</c:v>
                </c:pt>
                <c:pt idx="19">
                  <c:v>50.082268041454803</c:v>
                </c:pt>
                <c:pt idx="20">
                  <c:v>49.998689217368501</c:v>
                </c:pt>
                <c:pt idx="21">
                  <c:v>49.934823739915601</c:v>
                </c:pt>
                <c:pt idx="22">
                  <c:v>49.859518304072203</c:v>
                </c:pt>
                <c:pt idx="23">
                  <c:v>49.757687837790598</c:v>
                </c:pt>
                <c:pt idx="24">
                  <c:v>49.619509601957397</c:v>
                </c:pt>
                <c:pt idx="25">
                  <c:v>49.443207599376201</c:v>
                </c:pt>
                <c:pt idx="26">
                  <c:v>49.265729310988597</c:v>
                </c:pt>
                <c:pt idx="27">
                  <c:v>49.117285720927399</c:v>
                </c:pt>
                <c:pt idx="28">
                  <c:v>49.038153142655297</c:v>
                </c:pt>
                <c:pt idx="29">
                  <c:v>49.0449819072346</c:v>
                </c:pt>
                <c:pt idx="30">
                  <c:v>49.160274346159397</c:v>
                </c:pt>
                <c:pt idx="31">
                  <c:v>49.389381896469402</c:v>
                </c:pt>
                <c:pt idx="32">
                  <c:v>49.691762463471498</c:v>
                </c:pt>
                <c:pt idx="33">
                  <c:v>50.0120211314145</c:v>
                </c:pt>
                <c:pt idx="34">
                  <c:v>50.2894125433399</c:v>
                </c:pt>
                <c:pt idx="35">
                  <c:v>50.468653098463101</c:v>
                </c:pt>
                <c:pt idx="36">
                  <c:v>50.555682941587698</c:v>
                </c:pt>
                <c:pt idx="37">
                  <c:v>50.6056449732678</c:v>
                </c:pt>
                <c:pt idx="38">
                  <c:v>50.6762026093731</c:v>
                </c:pt>
                <c:pt idx="39">
                  <c:v>50.807019175598903</c:v>
                </c:pt>
                <c:pt idx="40">
                  <c:v>50.990513156466001</c:v>
                </c:pt>
                <c:pt idx="41">
                  <c:v>51.170313094757297</c:v>
                </c:pt>
                <c:pt idx="42">
                  <c:v>51.284486758834902</c:v>
                </c:pt>
                <c:pt idx="43">
                  <c:v>51.272449138952702</c:v>
                </c:pt>
                <c:pt idx="44">
                  <c:v>51.141331614221698</c:v>
                </c:pt>
                <c:pt idx="45">
                  <c:v>50.948531823947199</c:v>
                </c:pt>
                <c:pt idx="46">
                  <c:v>50.7788628122495</c:v>
                </c:pt>
                <c:pt idx="47">
                  <c:v>50.700250688555499</c:v>
                </c:pt>
                <c:pt idx="48">
                  <c:v>50.716369157239399</c:v>
                </c:pt>
                <c:pt idx="49">
                  <c:v>50.791114298375099</c:v>
                </c:pt>
                <c:pt idx="50">
                  <c:v>50.880502125029899</c:v>
                </c:pt>
                <c:pt idx="51">
                  <c:v>50.962228044866897</c:v>
                </c:pt>
              </c:numCache>
            </c:numRef>
          </c:val>
          <c:smooth val="0"/>
          <c:extLst>
            <c:ext xmlns:c16="http://schemas.microsoft.com/office/drawing/2014/chart" uri="{C3380CC4-5D6E-409C-BE32-E72D297353CC}">
              <c16:uniqueId val="{00000001-B4E9-4CA8-B417-55C19A255167}"/>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Tendencia-Ciclo.xlsx]Datos'!$K$173:$K$232</c:f>
              <c:numCache>
                <c:formatCode>0.0_)</c:formatCode>
                <c:ptCount val="52"/>
                <c:pt idx="0">
                  <c:v>48.431052731469102</c:v>
                </c:pt>
                <c:pt idx="1">
                  <c:v>47.814938023669299</c:v>
                </c:pt>
                <c:pt idx="2">
                  <c:v>48.381986067008199</c:v>
                </c:pt>
                <c:pt idx="3">
                  <c:v>47.800389092285897</c:v>
                </c:pt>
                <c:pt idx="4">
                  <c:v>47.921996214269797</c:v>
                </c:pt>
                <c:pt idx="5">
                  <c:v>47.596397436892502</c:v>
                </c:pt>
                <c:pt idx="6">
                  <c:v>47.446987430374897</c:v>
                </c:pt>
                <c:pt idx="7">
                  <c:v>47.438026090719802</c:v>
                </c:pt>
                <c:pt idx="8">
                  <c:v>47.847995407446298</c:v>
                </c:pt>
                <c:pt idx="9">
                  <c:v>47.024047573862703</c:v>
                </c:pt>
                <c:pt idx="10">
                  <c:v>47.7717539511372</c:v>
                </c:pt>
                <c:pt idx="11">
                  <c:v>47.673797221884101</c:v>
                </c:pt>
                <c:pt idx="12">
                  <c:v>48.113277787745503</c:v>
                </c:pt>
                <c:pt idx="13">
                  <c:v>48.850188544150299</c:v>
                </c:pt>
                <c:pt idx="14">
                  <c:v>47.476677208255701</c:v>
                </c:pt>
                <c:pt idx="15">
                  <c:v>48.244338532094403</c:v>
                </c:pt>
                <c:pt idx="16">
                  <c:v>45.376719784666903</c:v>
                </c:pt>
                <c:pt idx="17">
                  <c:v>49.018427244790701</c:v>
                </c:pt>
                <c:pt idx="18">
                  <c:v>47.644385781258499</c:v>
                </c:pt>
                <c:pt idx="19">
                  <c:v>47.718655466497403</c:v>
                </c:pt>
                <c:pt idx="20">
                  <c:v>47.157100384309999</c:v>
                </c:pt>
                <c:pt idx="21">
                  <c:v>47.645155175478301</c:v>
                </c:pt>
                <c:pt idx="22">
                  <c:v>48.118364265733597</c:v>
                </c:pt>
                <c:pt idx="23">
                  <c:v>47.1851000973206</c:v>
                </c:pt>
                <c:pt idx="24">
                  <c:v>47.821265487365501</c:v>
                </c:pt>
                <c:pt idx="25">
                  <c:v>48.311987356265</c:v>
                </c:pt>
                <c:pt idx="26">
                  <c:v>49.045372628110798</c:v>
                </c:pt>
                <c:pt idx="27">
                  <c:v>52.2302229019867</c:v>
                </c:pt>
                <c:pt idx="28">
                  <c:v>49.807404016051599</c:v>
                </c:pt>
                <c:pt idx="29">
                  <c:v>48.391464415093502</c:v>
                </c:pt>
                <c:pt idx="30">
                  <c:v>49.616162165086401</c:v>
                </c:pt>
                <c:pt idx="31">
                  <c:v>48.610879933452999</c:v>
                </c:pt>
                <c:pt idx="32">
                  <c:v>48.400308047102001</c:v>
                </c:pt>
                <c:pt idx="33">
                  <c:v>48.237633134803602</c:v>
                </c:pt>
                <c:pt idx="34">
                  <c:v>47.488458510966304</c:v>
                </c:pt>
                <c:pt idx="35">
                  <c:v>48.800446318303202</c:v>
                </c:pt>
                <c:pt idx="36">
                  <c:v>47.727744602437802</c:v>
                </c:pt>
                <c:pt idx="37">
                  <c:v>48.420218913058797</c:v>
                </c:pt>
                <c:pt idx="38">
                  <c:v>47.575959909539002</c:v>
                </c:pt>
                <c:pt idx="39">
                  <c:v>48.418860136284898</c:v>
                </c:pt>
                <c:pt idx="40">
                  <c:v>47.491833098780397</c:v>
                </c:pt>
                <c:pt idx="41">
                  <c:v>48.994133324093298</c:v>
                </c:pt>
                <c:pt idx="42">
                  <c:v>48.440969092901902</c:v>
                </c:pt>
                <c:pt idx="43">
                  <c:v>49.4908332879832</c:v>
                </c:pt>
                <c:pt idx="44">
                  <c:v>51.359005703071297</c:v>
                </c:pt>
                <c:pt idx="45">
                  <c:v>52.513694741927601</c:v>
                </c:pt>
                <c:pt idx="46">
                  <c:v>50.954765320075502</c:v>
                </c:pt>
                <c:pt idx="47">
                  <c:v>48.432077868222997</c:v>
                </c:pt>
                <c:pt idx="48">
                  <c:v>50.368673576651503</c:v>
                </c:pt>
                <c:pt idx="49">
                  <c:v>49.3261941867449</c:v>
                </c:pt>
                <c:pt idx="50">
                  <c:v>50.640468056866503</c:v>
                </c:pt>
                <c:pt idx="51">
                  <c:v>49.543549339404798</c:v>
                </c:pt>
              </c:numCache>
            </c:numRef>
          </c:val>
          <c:smooth val="0"/>
          <c:extLst>
            <c:ext xmlns:c16="http://schemas.microsoft.com/office/drawing/2014/chart" uri="{C3380CC4-5D6E-409C-BE32-E72D297353CC}">
              <c16:uniqueId val="{00000000-D2AE-4120-BDCA-4E915911BA75}"/>
            </c:ext>
          </c:extLst>
        </c:ser>
        <c:ser>
          <c:idx val="1"/>
          <c:order val="1"/>
          <c:tx>
            <c:strRef>
              <c:f>'[IPM_Gráficas Desest y Tendencia-Ciclo.xlsx]Datos'!$L$4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Tendencia-Ciclo.xlsx]Datos'!$L$173:$L$232</c:f>
              <c:numCache>
                <c:formatCode>0.0_)</c:formatCode>
                <c:ptCount val="52"/>
                <c:pt idx="0">
                  <c:v>48.186728017533298</c:v>
                </c:pt>
                <c:pt idx="1">
                  <c:v>48.1860477016386</c:v>
                </c:pt>
                <c:pt idx="2">
                  <c:v>48.0946844760159</c:v>
                </c:pt>
                <c:pt idx="3">
                  <c:v>47.957277826378203</c:v>
                </c:pt>
                <c:pt idx="4">
                  <c:v>47.803435613188597</c:v>
                </c:pt>
                <c:pt idx="5">
                  <c:v>47.662869787140203</c:v>
                </c:pt>
                <c:pt idx="6">
                  <c:v>47.553116938647499</c:v>
                </c:pt>
                <c:pt idx="7">
                  <c:v>47.476221412041298</c:v>
                </c:pt>
                <c:pt idx="8">
                  <c:v>47.473205929983401</c:v>
                </c:pt>
                <c:pt idx="9">
                  <c:v>47.540426072140797</c:v>
                </c:pt>
                <c:pt idx="10">
                  <c:v>47.650396263361699</c:v>
                </c:pt>
                <c:pt idx="11">
                  <c:v>47.780543904299101</c:v>
                </c:pt>
                <c:pt idx="12">
                  <c:v>47.888126362633699</c:v>
                </c:pt>
                <c:pt idx="13">
                  <c:v>47.945190655622703</c:v>
                </c:pt>
                <c:pt idx="14">
                  <c:v>47.9493805352487</c:v>
                </c:pt>
                <c:pt idx="15">
                  <c:v>47.893054049622499</c:v>
                </c:pt>
                <c:pt idx="16">
                  <c:v>47.782325197153902</c:v>
                </c:pt>
                <c:pt idx="17">
                  <c:v>47.686874762698999</c:v>
                </c:pt>
                <c:pt idx="18">
                  <c:v>47.615198827697199</c:v>
                </c:pt>
                <c:pt idx="19">
                  <c:v>47.5662944800264</c:v>
                </c:pt>
                <c:pt idx="20">
                  <c:v>47.524431563383999</c:v>
                </c:pt>
                <c:pt idx="21">
                  <c:v>47.522649041377797</c:v>
                </c:pt>
                <c:pt idx="22">
                  <c:v>47.587477815332697</c:v>
                </c:pt>
                <c:pt idx="23">
                  <c:v>47.750457787570397</c:v>
                </c:pt>
                <c:pt idx="24">
                  <c:v>48.014776687202897</c:v>
                </c:pt>
                <c:pt idx="25">
                  <c:v>48.360942839119502</c:v>
                </c:pt>
                <c:pt idx="26">
                  <c:v>48.731812668663601</c:v>
                </c:pt>
                <c:pt idx="27">
                  <c:v>49.0469283830937</c:v>
                </c:pt>
                <c:pt idx="28">
                  <c:v>49.245748377017698</c:v>
                </c:pt>
                <c:pt idx="29">
                  <c:v>49.243170043251503</c:v>
                </c:pt>
                <c:pt idx="30">
                  <c:v>49.058602824017797</c:v>
                </c:pt>
                <c:pt idx="31">
                  <c:v>48.771532122932598</c:v>
                </c:pt>
                <c:pt idx="32">
                  <c:v>48.473505284445501</c:v>
                </c:pt>
                <c:pt idx="33">
                  <c:v>48.219139314775099</c:v>
                </c:pt>
                <c:pt idx="34">
                  <c:v>48.0581096730007</c:v>
                </c:pt>
                <c:pt idx="35">
                  <c:v>47.975475565194103</c:v>
                </c:pt>
                <c:pt idx="36">
                  <c:v>47.942997593309798</c:v>
                </c:pt>
                <c:pt idx="37">
                  <c:v>47.951882333202803</c:v>
                </c:pt>
                <c:pt idx="38">
                  <c:v>47.964077644900698</c:v>
                </c:pt>
                <c:pt idx="39">
                  <c:v>48.040377317369398</c:v>
                </c:pt>
                <c:pt idx="40">
                  <c:v>48.236575235538403</c:v>
                </c:pt>
                <c:pt idx="41">
                  <c:v>48.601178714278603</c:v>
                </c:pt>
                <c:pt idx="42">
                  <c:v>49.118420128069602</c:v>
                </c:pt>
                <c:pt idx="43">
                  <c:v>49.696404587196</c:v>
                </c:pt>
                <c:pt idx="44">
                  <c:v>50.197874937290699</c:v>
                </c:pt>
                <c:pt idx="45">
                  <c:v>50.521065386420503</c:v>
                </c:pt>
                <c:pt idx="46">
                  <c:v>50.627369457356899</c:v>
                </c:pt>
                <c:pt idx="47">
                  <c:v>50.536041039485703</c:v>
                </c:pt>
                <c:pt idx="48">
                  <c:v>50.339669735201703</c:v>
                </c:pt>
                <c:pt idx="49">
                  <c:v>50.1306369691277</c:v>
                </c:pt>
                <c:pt idx="50">
                  <c:v>50.013089991290698</c:v>
                </c:pt>
                <c:pt idx="51">
                  <c:v>50.0103751242805</c:v>
                </c:pt>
              </c:numCache>
            </c:numRef>
          </c:val>
          <c:smooth val="0"/>
          <c:extLst>
            <c:ext xmlns:c16="http://schemas.microsoft.com/office/drawing/2014/chart" uri="{C3380CC4-5D6E-409C-BE32-E72D297353CC}">
              <c16:uniqueId val="{00000001-D2AE-4120-BDCA-4E915911BA75}"/>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Tendencia-Ciclo.xlsx]Datos'!$M$173:$M$232</c:f>
              <c:numCache>
                <c:formatCode>0.0_)</c:formatCode>
                <c:ptCount val="52"/>
                <c:pt idx="0">
                  <c:v>51.005414180271799</c:v>
                </c:pt>
                <c:pt idx="1">
                  <c:v>51.8789292540106</c:v>
                </c:pt>
                <c:pt idx="2">
                  <c:v>50.551623750289998</c:v>
                </c:pt>
                <c:pt idx="3">
                  <c:v>51.477119256161203</c:v>
                </c:pt>
                <c:pt idx="4">
                  <c:v>51.962389495900403</c:v>
                </c:pt>
                <c:pt idx="5">
                  <c:v>49.578581162962998</c:v>
                </c:pt>
                <c:pt idx="6">
                  <c:v>51.847025899592097</c:v>
                </c:pt>
                <c:pt idx="7">
                  <c:v>53.146400985264101</c:v>
                </c:pt>
                <c:pt idx="8">
                  <c:v>50.622367626012</c:v>
                </c:pt>
                <c:pt idx="9">
                  <c:v>51.437053873216698</c:v>
                </c:pt>
                <c:pt idx="10">
                  <c:v>50.921121599526202</c:v>
                </c:pt>
                <c:pt idx="11">
                  <c:v>52.000275289064597</c:v>
                </c:pt>
                <c:pt idx="12">
                  <c:v>51.9492199194436</c:v>
                </c:pt>
                <c:pt idx="13">
                  <c:v>53.303433226541898</c:v>
                </c:pt>
                <c:pt idx="14">
                  <c:v>53.4545766611297</c:v>
                </c:pt>
                <c:pt idx="15">
                  <c:v>53.583964295218799</c:v>
                </c:pt>
                <c:pt idx="16">
                  <c:v>50.584589871374902</c:v>
                </c:pt>
                <c:pt idx="17">
                  <c:v>52.2119639140506</c:v>
                </c:pt>
                <c:pt idx="18">
                  <c:v>51.862586247960401</c:v>
                </c:pt>
                <c:pt idx="19">
                  <c:v>51.115493600168399</c:v>
                </c:pt>
                <c:pt idx="20">
                  <c:v>51.896506956203503</c:v>
                </c:pt>
                <c:pt idx="21">
                  <c:v>49.048448748924898</c:v>
                </c:pt>
                <c:pt idx="22">
                  <c:v>51.497812744343697</c:v>
                </c:pt>
                <c:pt idx="23">
                  <c:v>50.974639509572199</c:v>
                </c:pt>
                <c:pt idx="24">
                  <c:v>49.398568745927797</c:v>
                </c:pt>
                <c:pt idx="25">
                  <c:v>48.546292469428003</c:v>
                </c:pt>
                <c:pt idx="26">
                  <c:v>48.173709731853002</c:v>
                </c:pt>
                <c:pt idx="27">
                  <c:v>45.345817031871803</c:v>
                </c:pt>
                <c:pt idx="28">
                  <c:v>45.934162751305003</c:v>
                </c:pt>
                <c:pt idx="29">
                  <c:v>49.970891715864397</c:v>
                </c:pt>
                <c:pt idx="30">
                  <c:v>50.4608415776896</c:v>
                </c:pt>
                <c:pt idx="31">
                  <c:v>51.037124372095697</c:v>
                </c:pt>
                <c:pt idx="32">
                  <c:v>50.832173196818303</c:v>
                </c:pt>
                <c:pt idx="33">
                  <c:v>51.552278985166701</c:v>
                </c:pt>
                <c:pt idx="34">
                  <c:v>51.281029461231597</c:v>
                </c:pt>
                <c:pt idx="35">
                  <c:v>52.449769704037799</c:v>
                </c:pt>
                <c:pt idx="36">
                  <c:v>53.437343733456501</c:v>
                </c:pt>
                <c:pt idx="37">
                  <c:v>51.003605422361197</c:v>
                </c:pt>
                <c:pt idx="38">
                  <c:v>52.641053251034002</c:v>
                </c:pt>
                <c:pt idx="39">
                  <c:v>52.789362453024602</c:v>
                </c:pt>
                <c:pt idx="40">
                  <c:v>52.358540322838898</c:v>
                </c:pt>
                <c:pt idx="41">
                  <c:v>53.834001750962699</c:v>
                </c:pt>
                <c:pt idx="42">
                  <c:v>53.144446171525203</c:v>
                </c:pt>
                <c:pt idx="43">
                  <c:v>53.520207947402099</c:v>
                </c:pt>
                <c:pt idx="44">
                  <c:v>54.779136606392697</c:v>
                </c:pt>
                <c:pt idx="45">
                  <c:v>53.6380761445564</c:v>
                </c:pt>
                <c:pt idx="46">
                  <c:v>55.125332627816903</c:v>
                </c:pt>
                <c:pt idx="47">
                  <c:v>50.972301914388098</c:v>
                </c:pt>
                <c:pt idx="48">
                  <c:v>51.437818886741098</c:v>
                </c:pt>
                <c:pt idx="49">
                  <c:v>50.2663712401555</c:v>
                </c:pt>
                <c:pt idx="50">
                  <c:v>55.627573504867499</c:v>
                </c:pt>
                <c:pt idx="51">
                  <c:v>53.2575974210894</c:v>
                </c:pt>
              </c:numCache>
            </c:numRef>
          </c:val>
          <c:smooth val="0"/>
          <c:extLst>
            <c:ext xmlns:c16="http://schemas.microsoft.com/office/drawing/2014/chart" uri="{C3380CC4-5D6E-409C-BE32-E72D297353CC}">
              <c16:uniqueId val="{00000000-AE64-4887-90FD-42A55D7CCB49}"/>
            </c:ext>
          </c:extLst>
        </c:ser>
        <c:ser>
          <c:idx val="1"/>
          <c:order val="1"/>
          <c:tx>
            <c:strRef>
              <c:f>'[IPM_Gráficas Desest y Tendencia-Ciclo.xlsx]Datos'!$N$4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'[IPM_Gráficas Desest y Tendencia-Ciclo.xlsx]Datos'!$N$173:$N$232</c:f>
              <c:numCache>
                <c:formatCode>0.0_)</c:formatCode>
                <c:ptCount val="52"/>
                <c:pt idx="0">
                  <c:v>51.281968108354803</c:v>
                </c:pt>
                <c:pt idx="1">
                  <c:v>51.305450812901597</c:v>
                </c:pt>
                <c:pt idx="2">
                  <c:v>51.3475910736542</c:v>
                </c:pt>
                <c:pt idx="3">
                  <c:v>51.426958101318903</c:v>
                </c:pt>
                <c:pt idx="4">
                  <c:v>51.536626847993901</c:v>
                </c:pt>
                <c:pt idx="5">
                  <c:v>51.591520568209802</c:v>
                </c:pt>
                <c:pt idx="6">
                  <c:v>51.545643130349703</c:v>
                </c:pt>
                <c:pt idx="7">
                  <c:v>51.423734784927298</c:v>
                </c:pt>
                <c:pt idx="8">
                  <c:v>51.295985065664503</c:v>
                </c:pt>
                <c:pt idx="9">
                  <c:v>51.265118522785201</c:v>
                </c:pt>
                <c:pt idx="10">
                  <c:v>51.4724482714755</c:v>
                </c:pt>
                <c:pt idx="11">
                  <c:v>51.886142228634903</c:v>
                </c:pt>
                <c:pt idx="12">
                  <c:v>52.389167139338902</c:v>
                </c:pt>
                <c:pt idx="13">
                  <c:v>52.837562702038902</c:v>
                </c:pt>
                <c:pt idx="14">
                  <c:v>53.047225530253399</c:v>
                </c:pt>
                <c:pt idx="15">
                  <c:v>52.984185899396302</c:v>
                </c:pt>
                <c:pt idx="16">
                  <c:v>52.689093077643399</c:v>
                </c:pt>
                <c:pt idx="17">
                  <c:v>52.253697878033499</c:v>
                </c:pt>
                <c:pt idx="18">
                  <c:v>51.850751145771099</c:v>
                </c:pt>
                <c:pt idx="19">
                  <c:v>51.566770864897201</c:v>
                </c:pt>
                <c:pt idx="20">
                  <c:v>51.382819822810397</c:v>
                </c:pt>
                <c:pt idx="21">
                  <c:v>51.167557561657702</c:v>
                </c:pt>
                <c:pt idx="22">
                  <c:v>50.803876259752997</c:v>
                </c:pt>
                <c:pt idx="23">
                  <c:v>50.224241442414097</c:v>
                </c:pt>
                <c:pt idx="24">
                  <c:v>49.517529198045303</c:v>
                </c:pt>
                <c:pt idx="25">
                  <c:v>48.844100509921397</c:v>
                </c:pt>
                <c:pt idx="26">
                  <c:v>48.425972475726198</c:v>
                </c:pt>
                <c:pt idx="27">
                  <c:v>48.400051104849901</c:v>
                </c:pt>
                <c:pt idx="28">
                  <c:v>48.768839251748702</c:v>
                </c:pt>
                <c:pt idx="29">
                  <c:v>49.406132434258701</c:v>
                </c:pt>
                <c:pt idx="30">
                  <c:v>50.068956930117402</c:v>
                </c:pt>
                <c:pt idx="31">
                  <c:v>50.678045103760901</c:v>
                </c:pt>
                <c:pt idx="32">
                  <c:v>51.179800777431304</c:v>
                </c:pt>
                <c:pt idx="33">
                  <c:v>51.556986355062897</c:v>
                </c:pt>
                <c:pt idx="34">
                  <c:v>51.849262397090499</c:v>
                </c:pt>
                <c:pt idx="35">
                  <c:v>52.0715063541003</c:v>
                </c:pt>
                <c:pt idx="36">
                  <c:v>52.251507331957797</c:v>
                </c:pt>
                <c:pt idx="37">
                  <c:v>52.388031986161899</c:v>
                </c:pt>
                <c:pt idx="38">
                  <c:v>52.4920228112261</c:v>
                </c:pt>
                <c:pt idx="39">
                  <c:v>52.636007005834401</c:v>
                </c:pt>
                <c:pt idx="40">
                  <c:v>52.890699486675999</c:v>
                </c:pt>
                <c:pt idx="41">
                  <c:v>53.2619505226982</c:v>
                </c:pt>
                <c:pt idx="42">
                  <c:v>53.639927009238001</c:v>
                </c:pt>
                <c:pt idx="43">
                  <c:v>53.814437658255201</c:v>
                </c:pt>
                <c:pt idx="44">
                  <c:v>53.678269901504997</c:v>
                </c:pt>
                <c:pt idx="45">
                  <c:v>53.300945866189799</c:v>
                </c:pt>
                <c:pt idx="46">
                  <c:v>52.784122039850701</c:v>
                </c:pt>
                <c:pt idx="47">
                  <c:v>52.373858652275203</c:v>
                </c:pt>
                <c:pt idx="48">
                  <c:v>52.220206752669803</c:v>
                </c:pt>
                <c:pt idx="49">
                  <c:v>52.316083084373801</c:v>
                </c:pt>
                <c:pt idx="50">
                  <c:v>52.595540745665502</c:v>
                </c:pt>
                <c:pt idx="51">
                  <c:v>52.841354363514697</c:v>
                </c:pt>
              </c:numCache>
            </c:numRef>
          </c:val>
          <c:smooth val="0"/>
          <c:extLst>
            <c:ext xmlns:c16="http://schemas.microsoft.com/office/drawing/2014/chart" uri="{C3380CC4-5D6E-409C-BE32-E72D297353CC}">
              <c16:uniqueId val="{00000001-AE64-4887-90FD-42A55D7CCB49}"/>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5750-45B3-8281-CF605B76C18A}"/>
              </c:ext>
            </c:extLst>
          </c:dPt>
          <c:dPt>
            <c:idx val="1"/>
            <c:invertIfNegative val="0"/>
            <c:bubble3D val="0"/>
            <c:extLst>
              <c:ext xmlns:c16="http://schemas.microsoft.com/office/drawing/2014/chart" uri="{C3380CC4-5D6E-409C-BE32-E72D297353CC}">
                <c16:uniqueId val="{00000001-5750-45B3-8281-CF605B76C18A}"/>
              </c:ext>
            </c:extLst>
          </c:dPt>
          <c:dPt>
            <c:idx val="2"/>
            <c:invertIfNegative val="0"/>
            <c:bubble3D val="0"/>
            <c:extLst>
              <c:ext xmlns:c16="http://schemas.microsoft.com/office/drawing/2014/chart" uri="{C3380CC4-5D6E-409C-BE32-E72D297353CC}">
                <c16:uniqueId val="{00000002-5750-45B3-8281-CF605B76C18A}"/>
              </c:ext>
            </c:extLst>
          </c:dPt>
          <c:dPt>
            <c:idx val="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4-5750-45B3-8281-CF605B76C18A}"/>
              </c:ext>
            </c:extLst>
          </c:dPt>
          <c:dPt>
            <c:idx val="4"/>
            <c:invertIfNegative val="0"/>
            <c:bubble3D val="0"/>
            <c:extLst>
              <c:ext xmlns:c16="http://schemas.microsoft.com/office/drawing/2014/chart" uri="{C3380CC4-5D6E-409C-BE32-E72D297353CC}">
                <c16:uniqueId val="{00000005-5750-45B3-8281-CF605B76C18A}"/>
              </c:ext>
            </c:extLst>
          </c:dPt>
          <c:dPt>
            <c:idx val="5"/>
            <c:invertIfNegative val="0"/>
            <c:bubble3D val="0"/>
            <c:extLst>
              <c:ext xmlns:c16="http://schemas.microsoft.com/office/drawing/2014/chart" uri="{C3380CC4-5D6E-409C-BE32-E72D297353CC}">
                <c16:uniqueId val="{00000006-5750-45B3-8281-CF605B76C18A}"/>
              </c:ext>
            </c:extLst>
          </c:dPt>
          <c:dPt>
            <c:idx val="6"/>
            <c:invertIfNegative val="0"/>
            <c:bubble3D val="0"/>
            <c:extLst>
              <c:ext xmlns:c16="http://schemas.microsoft.com/office/drawing/2014/chart" uri="{C3380CC4-5D6E-409C-BE32-E72D297353CC}">
                <c16:uniqueId val="{00000007-5750-45B3-8281-CF605B76C18A}"/>
              </c:ext>
            </c:extLst>
          </c:dPt>
          <c:dPt>
            <c:idx val="7"/>
            <c:invertIfNegative val="0"/>
            <c:bubble3D val="0"/>
            <c:extLst>
              <c:ext xmlns:c16="http://schemas.microsoft.com/office/drawing/2014/chart" uri="{C3380CC4-5D6E-409C-BE32-E72D297353CC}">
                <c16:uniqueId val="{00000008-5750-45B3-8281-CF605B76C18A}"/>
              </c:ext>
            </c:extLst>
          </c:dPt>
          <c:dPt>
            <c:idx val="8"/>
            <c:invertIfNegative val="0"/>
            <c:bubble3D val="0"/>
            <c:extLst>
              <c:ext xmlns:c16="http://schemas.microsoft.com/office/drawing/2014/chart" uri="{C3380CC4-5D6E-409C-BE32-E72D297353CC}">
                <c16:uniqueId val="{00000009-5750-45B3-8281-CF605B76C18A}"/>
              </c:ext>
            </c:extLst>
          </c:dPt>
          <c:dPt>
            <c:idx val="9"/>
            <c:invertIfNegative val="0"/>
            <c:bubble3D val="0"/>
            <c:extLst>
              <c:ext xmlns:c16="http://schemas.microsoft.com/office/drawing/2014/chart" uri="{C3380CC4-5D6E-409C-BE32-E72D297353CC}">
                <c16:uniqueId val="{0000000A-5750-45B3-8281-CF605B76C18A}"/>
              </c:ext>
            </c:extLst>
          </c:dPt>
          <c:dPt>
            <c:idx val="10"/>
            <c:invertIfNegative val="0"/>
            <c:bubble3D val="0"/>
            <c:extLst>
              <c:ext xmlns:c16="http://schemas.microsoft.com/office/drawing/2014/chart" uri="{C3380CC4-5D6E-409C-BE32-E72D297353CC}">
                <c16:uniqueId val="{0000000B-5750-45B3-8281-CF605B76C18A}"/>
              </c:ext>
            </c:extLst>
          </c:dPt>
          <c:dPt>
            <c:idx val="11"/>
            <c:invertIfNegative val="0"/>
            <c:bubble3D val="0"/>
            <c:extLst>
              <c:ext xmlns:c16="http://schemas.microsoft.com/office/drawing/2014/chart" uri="{C3380CC4-5D6E-409C-BE32-E72D297353CC}">
                <c16:uniqueId val="{0000000C-5750-45B3-8281-CF605B76C18A}"/>
              </c:ext>
            </c:extLst>
          </c:dPt>
          <c:dPt>
            <c:idx val="12"/>
            <c:invertIfNegative val="0"/>
            <c:bubble3D val="0"/>
            <c:extLst>
              <c:ext xmlns:c16="http://schemas.microsoft.com/office/drawing/2014/chart" uri="{C3380CC4-5D6E-409C-BE32-E72D297353CC}">
                <c16:uniqueId val="{0000000D-5750-45B3-8281-CF605B76C18A}"/>
              </c:ext>
            </c:extLst>
          </c:dPt>
          <c:dPt>
            <c:idx val="13"/>
            <c:invertIfNegative val="0"/>
            <c:bubble3D val="0"/>
            <c:extLst>
              <c:ext xmlns:c16="http://schemas.microsoft.com/office/drawing/2014/chart" uri="{C3380CC4-5D6E-409C-BE32-E72D297353CC}">
                <c16:uniqueId val="{0000000E-5750-45B3-8281-CF605B76C18A}"/>
              </c:ext>
            </c:extLst>
          </c:dPt>
          <c:dPt>
            <c:idx val="14"/>
            <c:invertIfNegative val="0"/>
            <c:bubble3D val="0"/>
            <c:extLst>
              <c:ext xmlns:c16="http://schemas.microsoft.com/office/drawing/2014/chart" uri="{C3380CC4-5D6E-409C-BE32-E72D297353CC}">
                <c16:uniqueId val="{0000000F-5750-45B3-8281-CF605B76C18A}"/>
              </c:ext>
            </c:extLst>
          </c:dPt>
          <c:dPt>
            <c:idx val="1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1-5750-45B3-8281-CF605B76C18A}"/>
              </c:ext>
            </c:extLst>
          </c:dPt>
          <c:dPt>
            <c:idx val="16"/>
            <c:invertIfNegative val="0"/>
            <c:bubble3D val="0"/>
            <c:extLst>
              <c:ext xmlns:c16="http://schemas.microsoft.com/office/drawing/2014/chart" uri="{C3380CC4-5D6E-409C-BE32-E72D297353CC}">
                <c16:uniqueId val="{00000012-5750-45B3-8281-CF605B76C18A}"/>
              </c:ext>
            </c:extLst>
          </c:dPt>
          <c:dPt>
            <c:idx val="17"/>
            <c:invertIfNegative val="0"/>
            <c:bubble3D val="0"/>
            <c:extLst>
              <c:ext xmlns:c16="http://schemas.microsoft.com/office/drawing/2014/chart" uri="{C3380CC4-5D6E-409C-BE32-E72D297353CC}">
                <c16:uniqueId val="{00000013-5750-45B3-8281-CF605B76C18A}"/>
              </c:ext>
            </c:extLst>
          </c:dPt>
          <c:dPt>
            <c:idx val="18"/>
            <c:invertIfNegative val="0"/>
            <c:bubble3D val="0"/>
            <c:extLst>
              <c:ext xmlns:c16="http://schemas.microsoft.com/office/drawing/2014/chart" uri="{C3380CC4-5D6E-409C-BE32-E72D297353CC}">
                <c16:uniqueId val="{00000014-5750-45B3-8281-CF605B76C18A}"/>
              </c:ext>
            </c:extLst>
          </c:dPt>
          <c:dPt>
            <c:idx val="19"/>
            <c:invertIfNegative val="0"/>
            <c:bubble3D val="0"/>
            <c:extLst>
              <c:ext xmlns:c16="http://schemas.microsoft.com/office/drawing/2014/chart" uri="{C3380CC4-5D6E-409C-BE32-E72D297353CC}">
                <c16:uniqueId val="{00000015-5750-45B3-8281-CF605B76C18A}"/>
              </c:ext>
            </c:extLst>
          </c:dPt>
          <c:dPt>
            <c:idx val="20"/>
            <c:invertIfNegative val="0"/>
            <c:bubble3D val="0"/>
            <c:extLst>
              <c:ext xmlns:c16="http://schemas.microsoft.com/office/drawing/2014/chart" uri="{C3380CC4-5D6E-409C-BE32-E72D297353CC}">
                <c16:uniqueId val="{00000016-5750-45B3-8281-CF605B76C18A}"/>
              </c:ext>
            </c:extLst>
          </c:dPt>
          <c:dPt>
            <c:idx val="21"/>
            <c:invertIfNegative val="0"/>
            <c:bubble3D val="0"/>
            <c:extLst>
              <c:ext xmlns:c16="http://schemas.microsoft.com/office/drawing/2014/chart" uri="{C3380CC4-5D6E-409C-BE32-E72D297353CC}">
                <c16:uniqueId val="{00000017-5750-45B3-8281-CF605B76C18A}"/>
              </c:ext>
            </c:extLst>
          </c:dPt>
          <c:dPt>
            <c:idx val="22"/>
            <c:invertIfNegative val="0"/>
            <c:bubble3D val="0"/>
            <c:extLst>
              <c:ext xmlns:c16="http://schemas.microsoft.com/office/drawing/2014/chart" uri="{C3380CC4-5D6E-409C-BE32-E72D297353CC}">
                <c16:uniqueId val="{00000018-5750-45B3-8281-CF605B76C18A}"/>
              </c:ext>
            </c:extLst>
          </c:dPt>
          <c:dPt>
            <c:idx val="23"/>
            <c:invertIfNegative val="0"/>
            <c:bubble3D val="0"/>
            <c:extLst>
              <c:ext xmlns:c16="http://schemas.microsoft.com/office/drawing/2014/chart" uri="{C3380CC4-5D6E-409C-BE32-E72D297353CC}">
                <c16:uniqueId val="{00000019-5750-45B3-8281-CF605B76C18A}"/>
              </c:ext>
            </c:extLst>
          </c:dPt>
          <c:dPt>
            <c:idx val="24"/>
            <c:invertIfNegative val="0"/>
            <c:bubble3D val="0"/>
            <c:extLst>
              <c:ext xmlns:c16="http://schemas.microsoft.com/office/drawing/2014/chart" uri="{C3380CC4-5D6E-409C-BE32-E72D297353CC}">
                <c16:uniqueId val="{0000001A-5750-45B3-8281-CF605B76C18A}"/>
              </c:ext>
            </c:extLst>
          </c:dPt>
          <c:dPt>
            <c:idx val="25"/>
            <c:invertIfNegative val="0"/>
            <c:bubble3D val="0"/>
            <c:extLst>
              <c:ext xmlns:c16="http://schemas.microsoft.com/office/drawing/2014/chart" uri="{C3380CC4-5D6E-409C-BE32-E72D297353CC}">
                <c16:uniqueId val="{0000001B-5750-45B3-8281-CF605B76C18A}"/>
              </c:ext>
            </c:extLst>
          </c:dPt>
          <c:dPt>
            <c:idx val="26"/>
            <c:invertIfNegative val="0"/>
            <c:bubble3D val="0"/>
            <c:extLst>
              <c:ext xmlns:c16="http://schemas.microsoft.com/office/drawing/2014/chart" uri="{C3380CC4-5D6E-409C-BE32-E72D297353CC}">
                <c16:uniqueId val="{0000001C-5750-45B3-8281-CF605B76C18A}"/>
              </c:ext>
            </c:extLst>
          </c:dPt>
          <c:dPt>
            <c:idx val="27"/>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E-5750-45B3-8281-CF605B76C18A}"/>
              </c:ext>
            </c:extLst>
          </c:dPt>
          <c:dPt>
            <c:idx val="28"/>
            <c:invertIfNegative val="0"/>
            <c:bubble3D val="0"/>
            <c:extLst>
              <c:ext xmlns:c16="http://schemas.microsoft.com/office/drawing/2014/chart" uri="{C3380CC4-5D6E-409C-BE32-E72D297353CC}">
                <c16:uniqueId val="{0000001F-5750-45B3-8281-CF605B76C18A}"/>
              </c:ext>
            </c:extLst>
          </c:dPt>
          <c:dPt>
            <c:idx val="29"/>
            <c:invertIfNegative val="0"/>
            <c:bubble3D val="0"/>
            <c:extLst>
              <c:ext xmlns:c16="http://schemas.microsoft.com/office/drawing/2014/chart" uri="{C3380CC4-5D6E-409C-BE32-E72D297353CC}">
                <c16:uniqueId val="{00000020-5750-45B3-8281-CF605B76C18A}"/>
              </c:ext>
            </c:extLst>
          </c:dPt>
          <c:dPt>
            <c:idx val="30"/>
            <c:invertIfNegative val="0"/>
            <c:bubble3D val="0"/>
            <c:extLst>
              <c:ext xmlns:c16="http://schemas.microsoft.com/office/drawing/2014/chart" uri="{C3380CC4-5D6E-409C-BE32-E72D297353CC}">
                <c16:uniqueId val="{00000021-5750-45B3-8281-CF605B76C18A}"/>
              </c:ext>
            </c:extLst>
          </c:dPt>
          <c:dPt>
            <c:idx val="31"/>
            <c:invertIfNegative val="0"/>
            <c:bubble3D val="0"/>
            <c:extLst>
              <c:ext xmlns:c16="http://schemas.microsoft.com/office/drawing/2014/chart" uri="{C3380CC4-5D6E-409C-BE32-E72D297353CC}">
                <c16:uniqueId val="{00000022-5750-45B3-8281-CF605B76C18A}"/>
              </c:ext>
            </c:extLst>
          </c:dPt>
          <c:dPt>
            <c:idx val="32"/>
            <c:invertIfNegative val="0"/>
            <c:bubble3D val="0"/>
            <c:extLst>
              <c:ext xmlns:c16="http://schemas.microsoft.com/office/drawing/2014/chart" uri="{C3380CC4-5D6E-409C-BE32-E72D297353CC}">
                <c16:uniqueId val="{00000023-5750-45B3-8281-CF605B76C18A}"/>
              </c:ext>
            </c:extLst>
          </c:dPt>
          <c:dPt>
            <c:idx val="33"/>
            <c:invertIfNegative val="0"/>
            <c:bubble3D val="0"/>
            <c:extLst>
              <c:ext xmlns:c16="http://schemas.microsoft.com/office/drawing/2014/chart" uri="{C3380CC4-5D6E-409C-BE32-E72D297353CC}">
                <c16:uniqueId val="{00000024-5750-45B3-8281-CF605B76C18A}"/>
              </c:ext>
            </c:extLst>
          </c:dPt>
          <c:dPt>
            <c:idx val="34"/>
            <c:invertIfNegative val="0"/>
            <c:bubble3D val="0"/>
            <c:extLst>
              <c:ext xmlns:c16="http://schemas.microsoft.com/office/drawing/2014/chart" uri="{C3380CC4-5D6E-409C-BE32-E72D297353CC}">
                <c16:uniqueId val="{00000025-5750-45B3-8281-CF605B76C18A}"/>
              </c:ext>
            </c:extLst>
          </c:dPt>
          <c:dPt>
            <c:idx val="35"/>
            <c:invertIfNegative val="0"/>
            <c:bubble3D val="0"/>
            <c:extLst>
              <c:ext xmlns:c16="http://schemas.microsoft.com/office/drawing/2014/chart" uri="{C3380CC4-5D6E-409C-BE32-E72D297353CC}">
                <c16:uniqueId val="{00000026-5750-45B3-8281-CF605B76C18A}"/>
              </c:ext>
            </c:extLst>
          </c:dPt>
          <c:dPt>
            <c:idx val="36"/>
            <c:invertIfNegative val="0"/>
            <c:bubble3D val="0"/>
            <c:extLst>
              <c:ext xmlns:c16="http://schemas.microsoft.com/office/drawing/2014/chart" uri="{C3380CC4-5D6E-409C-BE32-E72D297353CC}">
                <c16:uniqueId val="{00000027-5750-45B3-8281-CF605B76C18A}"/>
              </c:ext>
            </c:extLst>
          </c:dPt>
          <c:dPt>
            <c:idx val="37"/>
            <c:invertIfNegative val="0"/>
            <c:bubble3D val="0"/>
            <c:extLst>
              <c:ext xmlns:c16="http://schemas.microsoft.com/office/drawing/2014/chart" uri="{C3380CC4-5D6E-409C-BE32-E72D297353CC}">
                <c16:uniqueId val="{00000028-5750-45B3-8281-CF605B76C18A}"/>
              </c:ext>
            </c:extLst>
          </c:dPt>
          <c:dPt>
            <c:idx val="38"/>
            <c:invertIfNegative val="0"/>
            <c:bubble3D val="0"/>
            <c:extLst>
              <c:ext xmlns:c16="http://schemas.microsoft.com/office/drawing/2014/chart" uri="{C3380CC4-5D6E-409C-BE32-E72D297353CC}">
                <c16:uniqueId val="{00000029-5750-45B3-8281-CF605B76C18A}"/>
              </c:ext>
            </c:extLst>
          </c:dPt>
          <c:dPt>
            <c:idx val="39"/>
            <c:invertIfNegative val="0"/>
            <c:bubble3D val="0"/>
            <c:extLst>
              <c:ext xmlns:c16="http://schemas.microsoft.com/office/drawing/2014/chart" uri="{C3380CC4-5D6E-409C-BE32-E72D297353CC}">
                <c16:uniqueId val="{0000002A-5750-45B3-8281-CF605B76C18A}"/>
              </c:ext>
            </c:extLst>
          </c:dPt>
          <c:dPt>
            <c:idx val="40"/>
            <c:invertIfNegative val="0"/>
            <c:bubble3D val="0"/>
            <c:extLst>
              <c:ext xmlns:c16="http://schemas.microsoft.com/office/drawing/2014/chart" uri="{C3380CC4-5D6E-409C-BE32-E72D297353CC}">
                <c16:uniqueId val="{0000002B-5750-45B3-8281-CF605B76C18A}"/>
              </c:ext>
            </c:extLst>
          </c:dPt>
          <c:dPt>
            <c:idx val="41"/>
            <c:invertIfNegative val="0"/>
            <c:bubble3D val="0"/>
            <c:extLst>
              <c:ext xmlns:c16="http://schemas.microsoft.com/office/drawing/2014/chart" uri="{C3380CC4-5D6E-409C-BE32-E72D297353CC}">
                <c16:uniqueId val="{0000002C-5750-45B3-8281-CF605B76C18A}"/>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Original.xlsx]Datos'!$A$197:$B$232</c:f>
              <c:multiLvlStrCache>
                <c:ptCount val="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Ap/</c:v>
                  </c:pt>
                </c:lvl>
                <c:lvl>
                  <c:pt idx="0">
                    <c:v>2020</c:v>
                  </c:pt>
                  <c:pt idx="12">
                    <c:v>2021</c:v>
                  </c:pt>
                  <c:pt idx="24">
                    <c:v>2022</c:v>
                  </c:pt>
                </c:lvl>
              </c:multiLvlStrCache>
            </c:multiLvlStrRef>
          </c:cat>
          <c:val>
            <c:numRef>
              <c:f>'[IPM_Gráfica Original.xlsx]Datos'!$C$197:$C$232</c:f>
              <c:numCache>
                <c:formatCode>0.0</c:formatCode>
                <c:ptCount val="28"/>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51.466000000000001</c:v>
                </c:pt>
                <c:pt idx="25">
                  <c:v>51.744999999999997</c:v>
                </c:pt>
                <c:pt idx="26">
                  <c:v>55.420999999999999</c:v>
                </c:pt>
                <c:pt idx="27">
                  <c:v>51.188000000000002</c:v>
                </c:pt>
              </c:numCache>
            </c:numRef>
          </c:val>
          <c:extLst>
            <c:ext xmlns:c16="http://schemas.microsoft.com/office/drawing/2014/chart" uri="{C3380CC4-5D6E-409C-BE32-E72D297353CC}">
              <c16:uniqueId val="{0000002D-5750-45B3-8281-CF605B76C18A}"/>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A7DF-4C9F-4C87-A1C8-57ED5933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14</TotalTime>
  <Pages>10</Pages>
  <Words>2493</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14</cp:revision>
  <cp:lastPrinted>2021-06-29T22:15:00Z</cp:lastPrinted>
  <dcterms:created xsi:type="dcterms:W3CDTF">2022-05-02T19:46:00Z</dcterms:created>
  <dcterms:modified xsi:type="dcterms:W3CDTF">2022-05-03T01:07:00Z</dcterms:modified>
  <cp:category>Encuesta Mensual de Opinión Empresarial (EMOE)</cp:category>
  <cp:version>1</cp:version>
</cp:coreProperties>
</file>