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CD64" w14:textId="77777777" w:rsidR="00344C8E" w:rsidRPr="00FC3C74" w:rsidRDefault="00344C8E" w:rsidP="00344C8E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CD1F6" wp14:editId="195FAB1A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63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E3E8" w14:textId="77777777" w:rsidR="00344C8E" w:rsidRPr="003D4E37" w:rsidRDefault="00344C8E" w:rsidP="00344C8E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agosto</w:t>
                            </w:r>
                          </w:p>
                          <w:p w14:paraId="04FA0A09" w14:textId="77777777" w:rsidR="00344C8E" w:rsidRPr="003D4E37" w:rsidRDefault="00344C8E" w:rsidP="00344C8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D1F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1E7EE3E8" w14:textId="77777777" w:rsidR="00344C8E" w:rsidRPr="003D4E37" w:rsidRDefault="00344C8E" w:rsidP="00344C8E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agosto</w:t>
                      </w:r>
                    </w:p>
                    <w:p w14:paraId="04FA0A09" w14:textId="77777777" w:rsidR="00344C8E" w:rsidRPr="003D4E37" w:rsidRDefault="00344C8E" w:rsidP="00344C8E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3FE7F32" w14:textId="77777777" w:rsidR="00344C8E" w:rsidRDefault="00344C8E" w:rsidP="00344C8E">
      <w:pPr>
        <w:jc w:val="center"/>
        <w:rPr>
          <w:b/>
          <w:bCs/>
          <w:caps/>
          <w:sz w:val="28"/>
          <w:szCs w:val="28"/>
          <w:lang w:val="es-MX"/>
        </w:rPr>
      </w:pPr>
    </w:p>
    <w:p w14:paraId="15628366" w14:textId="77777777" w:rsidR="00344C8E" w:rsidRDefault="00344C8E" w:rsidP="00344C8E">
      <w:pPr>
        <w:pStyle w:val="Subttulo"/>
        <w:rPr>
          <w:spacing w:val="20"/>
        </w:rPr>
      </w:pPr>
    </w:p>
    <w:p w14:paraId="7F57988C" w14:textId="1710B41D" w:rsidR="00344C8E" w:rsidRPr="00372EAE" w:rsidRDefault="00344C8E" w:rsidP="00344C8E">
      <w:pPr>
        <w:pStyle w:val="Subttulo"/>
        <w:rPr>
          <w:spacing w:val="20"/>
        </w:rPr>
      </w:pPr>
      <w:bookmarkStart w:id="1" w:name="_GoBack"/>
      <w:bookmarkEnd w:id="1"/>
      <w:r w:rsidRPr="00372EAE">
        <w:rPr>
          <w:spacing w:val="20"/>
        </w:rPr>
        <w:t>INDICADOR DE PEDIDOS MANUFACTUREROS</w:t>
      </w:r>
    </w:p>
    <w:p w14:paraId="5E843169" w14:textId="77777777" w:rsidR="00344C8E" w:rsidRPr="00372EAE" w:rsidRDefault="00344C8E" w:rsidP="00344C8E">
      <w:pPr>
        <w:spacing w:before="40"/>
        <w:contextualSpacing/>
        <w:jc w:val="center"/>
        <w:rPr>
          <w:b/>
          <w:bCs/>
          <w:kern w:val="28"/>
        </w:rPr>
      </w:pPr>
      <w:r w:rsidRPr="00372EAE">
        <w:rPr>
          <w:b/>
          <w:bCs/>
          <w:kern w:val="28"/>
        </w:rPr>
        <w:t>JUNIO DE 2022</w:t>
      </w:r>
    </w:p>
    <w:p w14:paraId="10688168" w14:textId="77777777" w:rsidR="00344C8E" w:rsidRPr="00372EAE" w:rsidRDefault="00344C8E" w:rsidP="00344C8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de junio de 2022. El IPM incorpora variables similares a las del </w:t>
      </w:r>
      <w:proofErr w:type="spellStart"/>
      <w:r w:rsidRPr="00372EAE">
        <w:t>Purchasing</w:t>
      </w:r>
      <w:proofErr w:type="spellEnd"/>
      <w:r w:rsidRPr="00372EAE">
        <w:t xml:space="preserve"> Managers </w:t>
      </w:r>
      <w:proofErr w:type="spellStart"/>
      <w:r w:rsidRPr="00372EAE">
        <w:t>Index</w:t>
      </w:r>
      <w:proofErr w:type="spellEnd"/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 xml:space="preserve"> (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PMI) que elabora el </w:t>
      </w:r>
      <w:proofErr w:type="spellStart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Institute</w:t>
      </w:r>
      <w:proofErr w:type="spellEnd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for</w:t>
      </w:r>
      <w:proofErr w:type="spellEnd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Supply</w:t>
      </w:r>
      <w:proofErr w:type="spellEnd"/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Management (ISM) en Estados Unidos de América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14393AB7" w14:textId="77777777" w:rsidR="00344C8E" w:rsidRPr="00372EAE" w:rsidRDefault="00344C8E" w:rsidP="00344C8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El IPM se construye con los resultados de la Encuesta Mensual de Opinión Empresarial (EMOE) que permiten conocer, casi inmediatamente después de terminado el mes de referencia, las expectativas y la percepción de los directivos empresariales sobre el comportamiento del sector manufacturero en México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728E4057" w14:textId="77777777" w:rsidR="00344C8E" w:rsidRPr="00372EAE" w:rsidRDefault="00344C8E" w:rsidP="00344C8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En junio de 2022 y con datos ajustados por estacionalidad, el IPM presentó un retroceso mensual de 1.51 puntos, al situarse en 52 puntos y permaneció, por vigésimo tercer mes consecutivo, por arriba del umbral de los 50 puntos. A su interior, hubo reducciones mensuales en los componentes relativos a los pedidos esperados, a la producción esperada, al personal ocupado y a los inventarios de insumos. El relativo a la oportunidad en la entrega de insumos por parte de las y los proveedores incrementó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56473CD8" w14:textId="77777777" w:rsidR="00344C8E" w:rsidRDefault="00344C8E" w:rsidP="00344C8E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05F61266" w14:textId="77777777" w:rsidR="00344C8E" w:rsidRDefault="00344C8E" w:rsidP="00344C8E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4C2C840F" w14:textId="77777777" w:rsidR="00344C8E" w:rsidRPr="00C46F19" w:rsidRDefault="00344C8E" w:rsidP="00344C8E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62D30558" w14:textId="77777777" w:rsidR="00344C8E" w:rsidRPr="005B0949" w:rsidRDefault="00344C8E" w:rsidP="00344C8E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  <w:lang w:val="es-MX" w:eastAsia="es-MX"/>
        </w:rPr>
        <w:drawing>
          <wp:inline distT="0" distB="0" distL="0" distR="0" wp14:anchorId="0633CB08" wp14:editId="0C00A96E">
            <wp:extent cx="4351816" cy="2548815"/>
            <wp:effectExtent l="0" t="0" r="10795" b="444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80EF43" w14:textId="77777777" w:rsidR="00344C8E" w:rsidRPr="005B0949" w:rsidRDefault="00344C8E" w:rsidP="00344C8E">
      <w:pPr>
        <w:widowControl w:val="0"/>
        <w:spacing w:before="20"/>
        <w:ind w:left="1701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México.</w:t>
      </w:r>
    </w:p>
    <w:p w14:paraId="7167C590" w14:textId="77777777" w:rsidR="00344C8E" w:rsidRDefault="00344C8E" w:rsidP="00344C8E">
      <w:pPr>
        <w:widowControl w:val="0"/>
        <w:spacing w:before="240"/>
        <w:jc w:val="center"/>
        <w:outlineLvl w:val="0"/>
        <w:rPr>
          <w:b/>
          <w:bCs/>
          <w:smallCaps/>
          <w:kern w:val="32"/>
          <w:sz w:val="22"/>
        </w:rPr>
      </w:pPr>
    </w:p>
    <w:p w14:paraId="3513188E" w14:textId="77777777" w:rsidR="00344C8E" w:rsidRPr="00372EAE" w:rsidRDefault="00344C8E" w:rsidP="00344C8E">
      <w:pPr>
        <w:spacing w:before="240"/>
        <w:ind w:left="851" w:right="851"/>
        <w:rPr>
          <w:b/>
          <w:snapToGrid w:val="0"/>
          <w:color w:val="000000" w:themeColor="text1"/>
          <w:spacing w:val="4"/>
          <w:sz w:val="22"/>
          <w:szCs w:val="22"/>
          <w:bdr w:val="none" w:sz="0" w:space="0" w:color="auto" w:frame="1"/>
        </w:rPr>
      </w:pPr>
    </w:p>
    <w:p w14:paraId="38A1C126" w14:textId="77777777" w:rsidR="00344C8E" w:rsidRPr="00372EAE" w:rsidRDefault="00344C8E" w:rsidP="00344C8E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lastRenderedPageBreak/>
        <w:t>Con datos originales, en el mes que se reporta, el IPM mostró una disminución anual de 0.1 puntos y se ubicó en 51.7 puntos. Respecto a sus componentes, tres de los cinco agregados que conforman el IPM tuvieron descensos anuales, mientras que dos avanzaron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bookmarkEnd w:id="0"/>
    <w:p w14:paraId="307BA62C" w14:textId="77777777" w:rsidR="00344C8E" w:rsidRDefault="00344C8E" w:rsidP="00344C8E">
      <w:pPr>
        <w:keepNext/>
        <w:keepLines/>
        <w:jc w:val="center"/>
        <w:outlineLvl w:val="0"/>
        <w:rPr>
          <w:b/>
          <w:smallCaps/>
          <w:sz w:val="22"/>
        </w:rPr>
      </w:pPr>
    </w:p>
    <w:p w14:paraId="12A2B7E2" w14:textId="77777777" w:rsidR="00344C8E" w:rsidRPr="00C46F19" w:rsidRDefault="00344C8E" w:rsidP="00344C8E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07752109" w14:textId="77777777" w:rsidR="00344C8E" w:rsidRPr="00C46F19" w:rsidRDefault="00344C8E" w:rsidP="00344C8E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Pr="00C46F19">
        <w:rPr>
          <w:b/>
          <w:smallCaps/>
          <w:sz w:val="22"/>
        </w:rPr>
        <w:t>ifras originales</w:t>
      </w:r>
    </w:p>
    <w:tbl>
      <w:tblPr>
        <w:tblW w:w="501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1022"/>
        <w:gridCol w:w="1022"/>
        <w:gridCol w:w="1264"/>
      </w:tblGrid>
      <w:tr w:rsidR="00344C8E" w:rsidRPr="005B0949" w14:paraId="1CF8CB57" w14:textId="77777777" w:rsidTr="008D067A">
        <w:trPr>
          <w:cantSplit/>
          <w:trHeight w:val="300"/>
          <w:jc w:val="center"/>
        </w:trPr>
        <w:tc>
          <w:tcPr>
            <w:tcW w:w="3343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3811822" w14:textId="77777777" w:rsidR="00344C8E" w:rsidRPr="005B0949" w:rsidRDefault="00344C8E" w:rsidP="00A00FF0">
            <w:pPr>
              <w:keepNext/>
              <w:keepLines/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24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A879D3A" w14:textId="77777777" w:rsidR="00344C8E" w:rsidRPr="005B0949" w:rsidRDefault="00344C8E" w:rsidP="00A00FF0">
            <w:pPr>
              <w:keepNext/>
              <w:keepLines/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633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FA7A1D9" w14:textId="77777777" w:rsidR="00344C8E" w:rsidRPr="005B0949" w:rsidRDefault="00344C8E" w:rsidP="00A00FF0">
            <w:pPr>
              <w:keepNext/>
              <w:keepLines/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344C8E" w:rsidRPr="005B0949" w14:paraId="44E4A9A3" w14:textId="77777777" w:rsidTr="008D067A">
        <w:trPr>
          <w:cantSplit/>
          <w:trHeight w:val="300"/>
          <w:jc w:val="center"/>
        </w:trPr>
        <w:tc>
          <w:tcPr>
            <w:tcW w:w="3343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F9D835A" w14:textId="77777777" w:rsidR="00344C8E" w:rsidRPr="005B0949" w:rsidRDefault="00344C8E" w:rsidP="00A00FF0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28C4D6C2" w14:textId="77777777" w:rsidR="00344C8E" w:rsidRPr="005B0949" w:rsidRDefault="00344C8E" w:rsidP="00A00FF0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12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226F99C2" w14:textId="77777777" w:rsidR="00344C8E" w:rsidRPr="005B0949" w:rsidRDefault="00344C8E" w:rsidP="00A00FF0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33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2E6A73AE" w14:textId="77777777" w:rsidR="00344C8E" w:rsidRPr="005B0949" w:rsidRDefault="00344C8E" w:rsidP="00A00FF0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344C8E" w:rsidRPr="005B0949" w14:paraId="77A2BCEA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34C9A60" w14:textId="77777777" w:rsidR="00344C8E" w:rsidRPr="005B0949" w:rsidRDefault="00344C8E" w:rsidP="00A00FF0">
            <w:pPr>
              <w:keepNext/>
              <w:keepLines/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12" w:type="pct"/>
            <w:tcBorders>
              <w:top w:val="single" w:sz="6" w:space="0" w:color="404040"/>
            </w:tcBorders>
            <w:vAlign w:val="center"/>
          </w:tcPr>
          <w:p w14:paraId="7CCB0546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51.9</w:t>
            </w:r>
          </w:p>
        </w:tc>
        <w:tc>
          <w:tcPr>
            <w:tcW w:w="512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3965BAC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51.7</w:t>
            </w:r>
          </w:p>
        </w:tc>
        <w:tc>
          <w:tcPr>
            <w:tcW w:w="633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A479819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</w:tr>
      <w:tr w:rsidR="00344C8E" w:rsidRPr="005B0949" w14:paraId="1D96F76A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393641F0" w14:textId="77777777" w:rsidR="00344C8E" w:rsidRPr="005B0949" w:rsidRDefault="00344C8E" w:rsidP="00A00FF0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12" w:type="pct"/>
            <w:vAlign w:val="center"/>
          </w:tcPr>
          <w:p w14:paraId="718C6170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3182E9F1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06559DE4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344C8E" w:rsidRPr="005B0949" w14:paraId="66D39119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39E7134" w14:textId="77777777" w:rsidR="00344C8E" w:rsidRPr="005B0949" w:rsidRDefault="00344C8E" w:rsidP="00A00FF0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12" w:type="pct"/>
            <w:vAlign w:val="center"/>
          </w:tcPr>
          <w:p w14:paraId="3069AD9C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61360BB7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716C67B5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</w:t>
            </w:r>
          </w:p>
        </w:tc>
      </w:tr>
      <w:tr w:rsidR="00344C8E" w:rsidRPr="005B0949" w14:paraId="4827CB85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D726025" w14:textId="77777777" w:rsidR="00344C8E" w:rsidRPr="005B0949" w:rsidRDefault="00344C8E" w:rsidP="00A00F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512" w:type="pct"/>
            <w:vAlign w:val="center"/>
          </w:tcPr>
          <w:p w14:paraId="07DF5325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1D8574E8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23E2A02E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</w:tr>
      <w:tr w:rsidR="00344C8E" w:rsidRPr="005B0949" w14:paraId="2D14274E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39B779BE" w14:textId="77777777" w:rsidR="00344C8E" w:rsidRPr="005B0949" w:rsidRDefault="00344C8E" w:rsidP="00A00F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12" w:type="pct"/>
            <w:vAlign w:val="center"/>
          </w:tcPr>
          <w:p w14:paraId="4EC6525A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295228DA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4FF60B16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</w:tr>
      <w:tr w:rsidR="00344C8E" w:rsidRPr="005B0949" w14:paraId="3392CDC3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934ACC8" w14:textId="77777777" w:rsidR="00344C8E" w:rsidRPr="005B0949" w:rsidRDefault="00344C8E" w:rsidP="00A00F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12" w:type="pct"/>
            <w:vAlign w:val="center"/>
          </w:tcPr>
          <w:p w14:paraId="74D55F80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38BDB29A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60799695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344C8E" w:rsidRPr="005B0949" w14:paraId="39272867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1EC8071" w14:textId="77777777" w:rsidR="00344C8E" w:rsidRPr="005B0949" w:rsidRDefault="00344C8E" w:rsidP="00A00F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12" w:type="pct"/>
            <w:vAlign w:val="center"/>
          </w:tcPr>
          <w:p w14:paraId="09083749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512" w:type="pct"/>
            <w:tcBorders>
              <w:right w:val="single" w:sz="6" w:space="0" w:color="404040"/>
            </w:tcBorders>
            <w:vAlign w:val="center"/>
          </w:tcPr>
          <w:p w14:paraId="1B3DA2E5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33" w:type="pct"/>
            <w:tcBorders>
              <w:right w:val="single" w:sz="6" w:space="0" w:color="404040"/>
            </w:tcBorders>
            <w:vAlign w:val="center"/>
          </w:tcPr>
          <w:p w14:paraId="269EE796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344C8E" w:rsidRPr="005B0949" w14:paraId="2FBE0954" w14:textId="77777777" w:rsidTr="008D067A">
        <w:trPr>
          <w:cantSplit/>
          <w:trHeight w:val="20"/>
          <w:jc w:val="center"/>
        </w:trPr>
        <w:tc>
          <w:tcPr>
            <w:tcW w:w="3343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2E45D920" w14:textId="77777777" w:rsidR="00344C8E" w:rsidRPr="005B0949" w:rsidRDefault="00344C8E" w:rsidP="00A00FF0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12" w:type="pct"/>
            <w:tcBorders>
              <w:bottom w:val="single" w:sz="6" w:space="0" w:color="404040"/>
            </w:tcBorders>
            <w:vAlign w:val="center"/>
          </w:tcPr>
          <w:p w14:paraId="48A77512" w14:textId="77777777" w:rsidR="00344C8E" w:rsidRPr="000E7D75" w:rsidRDefault="00344C8E" w:rsidP="00A00FF0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512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5B430236" w14:textId="77777777" w:rsidR="00344C8E" w:rsidRPr="000E7D75" w:rsidRDefault="00344C8E" w:rsidP="00A00FF0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33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4B8C72E" w14:textId="77777777" w:rsidR="00344C8E" w:rsidRPr="000E7D75" w:rsidRDefault="00344C8E" w:rsidP="00A00FF0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</w:tbl>
    <w:p w14:paraId="28789849" w14:textId="77777777" w:rsidR="00344C8E" w:rsidRPr="005B0949" w:rsidRDefault="00344C8E" w:rsidP="00344C8E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3576E7E9" w14:textId="77777777" w:rsidR="00344C8E" w:rsidRPr="005B0949" w:rsidRDefault="00344C8E" w:rsidP="00344C8E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2DABA2BF" w14:textId="77777777" w:rsidR="00344C8E" w:rsidRPr="005B0949" w:rsidRDefault="00344C8E" w:rsidP="00344C8E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preliminar.</w:t>
      </w:r>
    </w:p>
    <w:p w14:paraId="2C8F4FB5" w14:textId="77777777" w:rsidR="00344C8E" w:rsidRPr="005B0949" w:rsidRDefault="00344C8E" w:rsidP="00344C8E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  <w:t>INEGI y Banco de México.</w:t>
      </w:r>
    </w:p>
    <w:p w14:paraId="10F18FD3" w14:textId="77777777" w:rsidR="00344C8E" w:rsidRDefault="00344C8E" w:rsidP="00344C8E">
      <w:pPr>
        <w:ind w:left="-284" w:right="-547"/>
        <w:jc w:val="center"/>
        <w:rPr>
          <w:b/>
          <w:color w:val="000000"/>
        </w:rPr>
      </w:pPr>
    </w:p>
    <w:p w14:paraId="1E27468E" w14:textId="77777777" w:rsidR="00344C8E" w:rsidRPr="00372EAE" w:rsidRDefault="00344C8E" w:rsidP="00344C8E">
      <w:pPr>
        <w:spacing w:before="36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372EAE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Por grupos de subsectores de actividad económica, en el sexto mes de 2022 y con cifras sin ajuste estacional, cuatro de los siete rubros que integran el IPM presentaron caídas anuales y los tres restantes crecieron</w:t>
      </w:r>
      <w:r w:rsidRPr="00372EAE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63CA7233" w14:textId="77777777" w:rsidR="00344C8E" w:rsidRPr="00372EAE" w:rsidRDefault="00344C8E" w:rsidP="00344C8E">
      <w:pPr>
        <w:widowControl w:val="0"/>
        <w:tabs>
          <w:tab w:val="left" w:pos="9432"/>
        </w:tabs>
        <w:spacing w:before="720"/>
        <w:rPr>
          <w:b/>
          <w:i/>
          <w:smallCaps/>
        </w:rPr>
      </w:pPr>
      <w:r w:rsidRPr="00372EAE">
        <w:rPr>
          <w:b/>
          <w:i/>
          <w:smallCaps/>
        </w:rPr>
        <w:t>Nota al usuario</w:t>
      </w:r>
    </w:p>
    <w:p w14:paraId="688C0CB4" w14:textId="77777777" w:rsidR="00344C8E" w:rsidRPr="00E5424C" w:rsidRDefault="00344C8E" w:rsidP="00344C8E">
      <w:pPr>
        <w:spacing w:before="240"/>
      </w:pPr>
      <w:r w:rsidRPr="001D03EF">
        <w:rPr>
          <w:spacing w:val="-2"/>
        </w:rPr>
        <w:t>La tasa de no r</w:t>
      </w:r>
      <w:r>
        <w:rPr>
          <w:spacing w:val="-2"/>
        </w:rPr>
        <w:t>espuesta de la EMOE</w:t>
      </w:r>
      <w:r w:rsidRPr="001D03EF">
        <w:rPr>
          <w:spacing w:val="-2"/>
        </w:rPr>
        <w:t>, correspondiente</w:t>
      </w:r>
      <w:r w:rsidRPr="002246E2">
        <w:t xml:space="preserve"> a</w:t>
      </w:r>
      <w:r>
        <w:t xml:space="preserve"> junio</w:t>
      </w:r>
      <w:r w:rsidRPr="002246E2">
        <w:t xml:space="preserve"> de </w:t>
      </w:r>
      <w:r>
        <w:t>2022,</w:t>
      </w:r>
      <w:r w:rsidRPr="002246E2">
        <w:t xml:space="preserve"> registró porcentajes apropiados conforme al diseño est</w:t>
      </w:r>
      <w:r>
        <w:t>adístico de la encuesta. Esto permitió generar estadísticas con niveles alt</w:t>
      </w:r>
      <w:r w:rsidRPr="002246E2">
        <w:t>os de precisión</w:t>
      </w:r>
      <w:r>
        <w:t xml:space="preserve"> </w:t>
      </w:r>
      <w:r w:rsidRPr="0014427E">
        <w:t xml:space="preserve">en todos los grupos de subsectores de actividad </w:t>
      </w:r>
      <w:r w:rsidRPr="00996EC1">
        <w:t>de la industria manufacturera</w:t>
      </w:r>
      <w:r>
        <w:t>.</w:t>
      </w:r>
    </w:p>
    <w:p w14:paraId="5FD05118" w14:textId="77777777" w:rsidR="00344C8E" w:rsidRDefault="00344C8E" w:rsidP="00344C8E">
      <w:pPr>
        <w:widowControl w:val="0"/>
        <w:tabs>
          <w:tab w:val="left" w:pos="9432"/>
        </w:tabs>
        <w:spacing w:before="120"/>
        <w:rPr>
          <w:b/>
          <w:i/>
          <w:smallCaps/>
        </w:rPr>
      </w:pPr>
    </w:p>
    <w:p w14:paraId="55C401A6" w14:textId="77777777" w:rsidR="00344C8E" w:rsidRPr="00DF03BB" w:rsidRDefault="00344C8E" w:rsidP="00344C8E">
      <w:pPr>
        <w:pStyle w:val="NormalWeb"/>
        <w:spacing w:before="36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DF03B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F03BB">
        <w:rPr>
          <w:rFonts w:ascii="Arial" w:hAnsi="Arial" w:cs="Arial"/>
          <w:sz w:val="22"/>
          <w:szCs w:val="22"/>
        </w:rPr>
        <w:t xml:space="preserve"> </w:t>
      </w:r>
    </w:p>
    <w:p w14:paraId="5B8027C7" w14:textId="77777777" w:rsidR="00344C8E" w:rsidRPr="00DF03BB" w:rsidRDefault="00344C8E" w:rsidP="00344C8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F03BB">
        <w:rPr>
          <w:rFonts w:ascii="Arial" w:hAnsi="Arial" w:cs="Arial"/>
          <w:sz w:val="22"/>
          <w:szCs w:val="22"/>
        </w:rPr>
        <w:t>exts</w:t>
      </w:r>
      <w:proofErr w:type="spellEnd"/>
      <w:r w:rsidRPr="00DF03BB">
        <w:rPr>
          <w:rFonts w:ascii="Arial" w:hAnsi="Arial" w:cs="Arial"/>
          <w:sz w:val="22"/>
          <w:szCs w:val="22"/>
        </w:rPr>
        <w:t>. 1134, 1260 y 1241.</w:t>
      </w:r>
    </w:p>
    <w:p w14:paraId="5E82DB67" w14:textId="77777777" w:rsidR="00344C8E" w:rsidRPr="00372EAE" w:rsidRDefault="00344C8E" w:rsidP="00344C8E">
      <w:pPr>
        <w:ind w:left="-426" w:right="-518"/>
        <w:contextualSpacing/>
        <w:jc w:val="center"/>
      </w:pPr>
    </w:p>
    <w:p w14:paraId="5D27DDA6" w14:textId="77777777" w:rsidR="00344C8E" w:rsidRPr="00DF03BB" w:rsidRDefault="00344C8E" w:rsidP="00344C8E">
      <w:pPr>
        <w:ind w:left="-426" w:right="-518"/>
        <w:contextualSpacing/>
        <w:jc w:val="center"/>
        <w:rPr>
          <w:sz w:val="22"/>
          <w:szCs w:val="22"/>
        </w:rPr>
      </w:pPr>
      <w:r w:rsidRPr="00DF03BB">
        <w:rPr>
          <w:sz w:val="22"/>
          <w:szCs w:val="22"/>
        </w:rPr>
        <w:t xml:space="preserve">Dirección de Atención a Medios / Dirección General Adjunta de Comunicación </w:t>
      </w:r>
    </w:p>
    <w:p w14:paraId="5D6F2456" w14:textId="77777777" w:rsidR="00344C8E" w:rsidRPr="00372EAE" w:rsidRDefault="00344C8E" w:rsidP="00344C8E">
      <w:pPr>
        <w:ind w:left="-426" w:right="-518"/>
        <w:contextualSpacing/>
        <w:jc w:val="center"/>
      </w:pPr>
    </w:p>
    <w:p w14:paraId="0BD1DAD3" w14:textId="77777777" w:rsidR="00344C8E" w:rsidRDefault="00344C8E" w:rsidP="00344C8E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1070AB4B" wp14:editId="4D6816EA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D43F177" wp14:editId="22932FA2">
            <wp:extent cx="365760" cy="365760"/>
            <wp:effectExtent l="0" t="0" r="0" b="0"/>
            <wp:docPr id="31" name="Imagen 3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39725AF" wp14:editId="588D5728">
            <wp:extent cx="365760" cy="365760"/>
            <wp:effectExtent l="0" t="0" r="0" b="0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155764B" wp14:editId="06A7F025">
            <wp:extent cx="365760" cy="365760"/>
            <wp:effectExtent l="0" t="0" r="0" b="0"/>
            <wp:docPr id="192" name="Imagen 19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3B46732" wp14:editId="6AE7EC5C">
            <wp:extent cx="2286000" cy="274320"/>
            <wp:effectExtent l="0" t="0" r="0" b="0"/>
            <wp:docPr id="193" name="Imagen 19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4937E" w14:textId="77777777" w:rsidR="00344C8E" w:rsidRDefault="00344C8E" w:rsidP="00344C8E">
      <w:pPr>
        <w:ind w:left="-567"/>
        <w:jc w:val="center"/>
        <w:rPr>
          <w:noProof/>
          <w:lang w:eastAsia="es-MX"/>
        </w:rPr>
        <w:sectPr w:rsidR="00344C8E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6C5AFD25" w14:textId="77777777" w:rsidR="00344C8E" w:rsidRPr="002A470D" w:rsidRDefault="00344C8E" w:rsidP="00344C8E">
      <w:pPr>
        <w:pStyle w:val="Profesin"/>
        <w:spacing w:before="100" w:beforeAutospacing="1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79AE735E" w14:textId="77777777" w:rsidR="00344C8E" w:rsidRPr="002A470D" w:rsidRDefault="00344C8E" w:rsidP="00344C8E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5D5D0D96" w14:textId="3FA1C7D3" w:rsidR="000A7D02" w:rsidRPr="00E8398E" w:rsidRDefault="00B81C09" w:rsidP="00344C8E">
      <w:pPr>
        <w:pStyle w:val="p0"/>
        <w:keepNext/>
        <w:spacing w:before="360"/>
        <w:rPr>
          <w:rFonts w:ascii="Arial" w:hAnsi="Arial"/>
          <w:snapToGrid/>
          <w:color w:val="auto"/>
          <w:lang w:val="es-MX"/>
        </w:rPr>
      </w:pPr>
      <w:r w:rsidRPr="00B81C09">
        <w:rPr>
          <w:rFonts w:ascii="Arial" w:hAnsi="Arial"/>
          <w:snapToGrid/>
          <w:color w:val="auto"/>
          <w:lang w:val="es-MX"/>
        </w:rPr>
        <w:t xml:space="preserve">El Instituto Nacional de Estadística y Geografía (INEGI) y el Banco de México informan los resultados del Indicador de Pedidos Manufactureros (IPM) de </w:t>
      </w:r>
      <w:r w:rsidR="00673BCF">
        <w:rPr>
          <w:rFonts w:ascii="Arial" w:hAnsi="Arial"/>
          <w:snapToGrid/>
          <w:color w:val="auto"/>
          <w:lang w:val="es-MX"/>
        </w:rPr>
        <w:t>juni</w:t>
      </w:r>
      <w:r w:rsidR="00746A9B">
        <w:rPr>
          <w:rFonts w:ascii="Arial" w:hAnsi="Arial"/>
          <w:snapToGrid/>
          <w:color w:val="auto"/>
          <w:lang w:val="es-MX"/>
        </w:rPr>
        <w:t>o</w:t>
      </w:r>
      <w:r w:rsidRPr="00B81C09">
        <w:rPr>
          <w:rFonts w:ascii="Arial" w:hAnsi="Arial"/>
          <w:snapToGrid/>
          <w:color w:val="auto"/>
          <w:lang w:val="es-MX"/>
        </w:rPr>
        <w:t xml:space="preserve"> de 2022. El IPM se elabora considerando las expectativas de </w:t>
      </w:r>
      <w:r w:rsidR="002A0CB3">
        <w:rPr>
          <w:rFonts w:ascii="Arial" w:hAnsi="Arial"/>
          <w:snapToGrid/>
          <w:color w:val="auto"/>
          <w:lang w:val="es-MX"/>
        </w:rPr>
        <w:t xml:space="preserve">las y </w:t>
      </w:r>
      <w:r w:rsidRPr="00B81C09">
        <w:rPr>
          <w:rFonts w:ascii="Arial" w:hAnsi="Arial"/>
          <w:snapToGrid/>
          <w:color w:val="auto"/>
          <w:lang w:val="es-MX"/>
        </w:rPr>
        <w:t xml:space="preserve">los directivos empresariales de dicho sector que capta la Encuesta Mensual de Opinión Empresarial (EMOE) para las siguientes variables: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edidos,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roducción,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ersonal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cupado,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portunidad en la </w:t>
      </w:r>
      <w:r w:rsidR="000D7439">
        <w:rPr>
          <w:rFonts w:ascii="Arial" w:hAnsi="Arial"/>
          <w:snapToGrid/>
          <w:color w:val="auto"/>
          <w:lang w:val="es-MX"/>
        </w:rPr>
        <w:t>e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ntrega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nsumos por parte de los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roveedores 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nventarios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>nsumos.</w:t>
      </w:r>
    </w:p>
    <w:p w14:paraId="655860B4" w14:textId="7A57FDF6" w:rsidR="00E379BD" w:rsidRPr="007F632F" w:rsidRDefault="00E379BD" w:rsidP="00ED5D88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  <w:r w:rsidRPr="007F632F">
        <w:rPr>
          <w:b/>
          <w:i/>
          <w:color w:val="auto"/>
          <w:szCs w:val="22"/>
        </w:rPr>
        <w:t>Cifras desestacionalizadas</w:t>
      </w:r>
    </w:p>
    <w:p w14:paraId="55DF2C0D" w14:textId="42B99A11" w:rsidR="0007670F" w:rsidRPr="007F632F" w:rsidRDefault="0007670F" w:rsidP="00ED5D88">
      <w:pPr>
        <w:keepNext/>
        <w:keepLines/>
        <w:widowControl w:val="0"/>
        <w:spacing w:before="480"/>
        <w:ind w:left="284"/>
        <w:rPr>
          <w:b/>
          <w:i/>
        </w:rPr>
      </w:pPr>
      <w:r w:rsidRPr="007F632F">
        <w:rPr>
          <w:b/>
          <w:i/>
        </w:rPr>
        <w:t>Indicador de Pedidos Manufactureros por componentes</w:t>
      </w:r>
    </w:p>
    <w:p w14:paraId="6DA9D286" w14:textId="080281A5" w:rsidR="001C61B8" w:rsidRPr="00E8398E" w:rsidRDefault="00F05618" w:rsidP="00E01C56">
      <w:pPr>
        <w:spacing w:before="480"/>
        <w:rPr>
          <w:lang w:val="es-MX"/>
        </w:rPr>
      </w:pPr>
      <w:r w:rsidRPr="00F05618">
        <w:rPr>
          <w:lang w:val="es-MX"/>
        </w:rPr>
        <w:t xml:space="preserve">En junio de 2022, el IPM registró un retroceso mensual de 1.51 puntos y se situó en 52 puntos. </w:t>
      </w:r>
      <w:r w:rsidR="00BA35C1">
        <w:rPr>
          <w:lang w:val="es-MX"/>
        </w:rPr>
        <w:t>Así</w:t>
      </w:r>
      <w:r w:rsidRPr="00F05618">
        <w:rPr>
          <w:lang w:val="es-MX"/>
        </w:rPr>
        <w:t xml:space="preserve">, el IPM hiló </w:t>
      </w:r>
      <w:r w:rsidR="00BA35C1">
        <w:rPr>
          <w:lang w:val="es-MX"/>
        </w:rPr>
        <w:t xml:space="preserve">23 </w:t>
      </w:r>
      <w:r w:rsidRPr="00F05618">
        <w:rPr>
          <w:lang w:val="es-MX"/>
        </w:rPr>
        <w:t>meses consecutivos sobre el umbral de 50 puntos</w:t>
      </w:r>
      <w:r w:rsidR="00B81C09" w:rsidRPr="00B81C09">
        <w:rPr>
          <w:lang w:val="es-MX"/>
        </w:rPr>
        <w:t>.</w:t>
      </w:r>
    </w:p>
    <w:p w14:paraId="464F5240" w14:textId="36536F9C" w:rsidR="007F632F" w:rsidRPr="007F632F" w:rsidRDefault="007F632F" w:rsidP="007F632F">
      <w:pPr>
        <w:widowControl w:val="0"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073A5979" w14:textId="457F78EF" w:rsidR="0007670F" w:rsidRPr="00C46F19" w:rsidRDefault="0007670F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0372A59D" w14:textId="5BB9C696" w:rsidR="00537DFB" w:rsidRPr="005B0949" w:rsidRDefault="00673BCF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  <w:lang w:val="es-MX" w:eastAsia="es-MX"/>
        </w:rPr>
        <w:drawing>
          <wp:inline distT="0" distB="0" distL="0" distR="0" wp14:anchorId="01044A34" wp14:editId="2871D122">
            <wp:extent cx="4351816" cy="2548815"/>
            <wp:effectExtent l="0" t="0" r="10795" b="444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794A3B" w14:textId="77777777" w:rsidR="00AB6F59" w:rsidRPr="005B0949" w:rsidRDefault="00AB6F59" w:rsidP="0019515D">
      <w:pPr>
        <w:widowControl w:val="0"/>
        <w:spacing w:before="20"/>
        <w:ind w:left="1418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México.</w:t>
      </w:r>
    </w:p>
    <w:p w14:paraId="2D8519F1" w14:textId="4D0CBF53" w:rsidR="00CF4BCC" w:rsidRPr="00B81C09" w:rsidRDefault="00BA35C1" w:rsidP="003D1A04">
      <w:pPr>
        <w:keepNext/>
        <w:keepLines/>
        <w:widowControl w:val="0"/>
        <w:tabs>
          <w:tab w:val="left" w:pos="708"/>
          <w:tab w:val="center" w:pos="3348"/>
        </w:tabs>
        <w:spacing w:before="240"/>
      </w:pPr>
      <w:r>
        <w:rPr>
          <w:spacing w:val="4"/>
          <w:lang w:val="es-ES"/>
        </w:rPr>
        <w:lastRenderedPageBreak/>
        <w:t xml:space="preserve">En </w:t>
      </w:r>
      <w:r w:rsidR="00F05618" w:rsidRPr="00F05618">
        <w:rPr>
          <w:spacing w:val="4"/>
          <w:lang w:val="es-ES"/>
        </w:rPr>
        <w:t xml:space="preserve">junio del año en curso </w:t>
      </w:r>
      <w:r>
        <w:rPr>
          <w:spacing w:val="4"/>
          <w:lang w:val="es-ES"/>
        </w:rPr>
        <w:t>y con</w:t>
      </w:r>
      <w:r w:rsidRPr="00F05618">
        <w:rPr>
          <w:spacing w:val="4"/>
          <w:lang w:val="es-MX"/>
        </w:rPr>
        <w:t xml:space="preserve"> datos desestacionalizados</w:t>
      </w:r>
      <w:r w:rsidRPr="00F05618">
        <w:rPr>
          <w:spacing w:val="4"/>
          <w:lang w:val="es-ES"/>
        </w:rPr>
        <w:t xml:space="preserve">, </w:t>
      </w:r>
      <w:r w:rsidR="00F05618" w:rsidRPr="00F05618">
        <w:rPr>
          <w:spacing w:val="4"/>
          <w:lang w:val="es-ES"/>
        </w:rPr>
        <w:t xml:space="preserve">el componente del IPM </w:t>
      </w:r>
      <w:r>
        <w:rPr>
          <w:spacing w:val="4"/>
          <w:lang w:val="es-ES"/>
        </w:rPr>
        <w:t xml:space="preserve">que </w:t>
      </w:r>
      <w:r w:rsidR="00F05618" w:rsidRPr="00F05618">
        <w:rPr>
          <w:spacing w:val="4"/>
          <w:lang w:val="es-ES"/>
        </w:rPr>
        <w:t xml:space="preserve">corresponde al </w:t>
      </w:r>
      <w:r w:rsidR="00F05618" w:rsidRPr="00F05618">
        <w:rPr>
          <w:b/>
          <w:spacing w:val="4"/>
          <w:lang w:val="es-ES"/>
        </w:rPr>
        <w:t>volumen esperado de pedidos</w:t>
      </w:r>
      <w:r w:rsidR="00F05618" w:rsidRPr="00F05618">
        <w:rPr>
          <w:spacing w:val="4"/>
          <w:lang w:val="es-ES"/>
        </w:rPr>
        <w:t xml:space="preserve"> re</w:t>
      </w:r>
      <w:r>
        <w:rPr>
          <w:spacing w:val="4"/>
          <w:lang w:val="es-ES"/>
        </w:rPr>
        <w:t xml:space="preserve">trocedió </w:t>
      </w:r>
      <w:r w:rsidR="00F05618" w:rsidRPr="00F05618">
        <w:rPr>
          <w:spacing w:val="4"/>
          <w:lang w:val="es-ES"/>
        </w:rPr>
        <w:t>1.21 puntos</w:t>
      </w:r>
      <w:r>
        <w:rPr>
          <w:spacing w:val="4"/>
          <w:lang w:val="es-ES"/>
        </w:rPr>
        <w:t xml:space="preserve"> en términos mensuales</w:t>
      </w:r>
      <w:r w:rsidR="00F05618" w:rsidRPr="00F05618">
        <w:rPr>
          <w:spacing w:val="4"/>
          <w:lang w:val="es-ES"/>
        </w:rPr>
        <w:t xml:space="preserve">, el del </w:t>
      </w:r>
      <w:r w:rsidR="00F05618" w:rsidRPr="00F05618">
        <w:rPr>
          <w:b/>
          <w:spacing w:val="4"/>
          <w:lang w:val="es-ES"/>
        </w:rPr>
        <w:t>volumen esperado de la producción</w:t>
      </w:r>
      <w:r w:rsidR="0075553E">
        <w:rPr>
          <w:b/>
          <w:spacing w:val="4"/>
          <w:lang w:val="es-ES"/>
        </w:rPr>
        <w:t>,</w:t>
      </w:r>
      <w:r w:rsidR="00F05618" w:rsidRPr="00F05618">
        <w:rPr>
          <w:spacing w:val="4"/>
          <w:lang w:val="es-MX"/>
        </w:rPr>
        <w:t xml:space="preserve"> </w:t>
      </w:r>
      <w:r w:rsidR="00F05618" w:rsidRPr="00F05618">
        <w:rPr>
          <w:spacing w:val="4"/>
          <w:lang w:val="es-ES"/>
        </w:rPr>
        <w:t>4.88 puntos</w:t>
      </w:r>
      <w:r w:rsidR="0075553E">
        <w:rPr>
          <w:spacing w:val="4"/>
          <w:lang w:val="es-ES"/>
        </w:rPr>
        <w:t xml:space="preserve"> y</w:t>
      </w:r>
      <w:r w:rsidR="00F05618" w:rsidRPr="00F05618">
        <w:rPr>
          <w:spacing w:val="4"/>
          <w:lang w:val="es-ES"/>
        </w:rPr>
        <w:t xml:space="preserve"> el del </w:t>
      </w:r>
      <w:r w:rsidR="00F05618" w:rsidRPr="00F05618">
        <w:rPr>
          <w:b/>
          <w:spacing w:val="4"/>
          <w:lang w:val="es-ES"/>
        </w:rPr>
        <w:t>nivel esperado del personal ocupado</w:t>
      </w:r>
      <w:r w:rsidR="0075553E">
        <w:rPr>
          <w:b/>
          <w:spacing w:val="4"/>
          <w:lang w:val="es-ES"/>
        </w:rPr>
        <w:t>,</w:t>
      </w:r>
      <w:r w:rsidR="00F05618" w:rsidRPr="00F05618">
        <w:rPr>
          <w:spacing w:val="4"/>
          <w:lang w:val="es-MX"/>
        </w:rPr>
        <w:t xml:space="preserve"> 0.34</w:t>
      </w:r>
      <w:r w:rsidR="00F05618" w:rsidRPr="00F05618">
        <w:rPr>
          <w:spacing w:val="4"/>
          <w:lang w:val="es-ES"/>
        </w:rPr>
        <w:t xml:space="preserve"> puntos</w:t>
      </w:r>
      <w:r>
        <w:rPr>
          <w:spacing w:val="4"/>
          <w:lang w:val="es-ES"/>
        </w:rPr>
        <w:t>.</w:t>
      </w:r>
      <w:r w:rsidR="00F05618" w:rsidRPr="00F05618">
        <w:rPr>
          <w:spacing w:val="4"/>
          <w:lang w:val="es-ES"/>
        </w:rPr>
        <w:t xml:space="preserve"> </w:t>
      </w:r>
      <w:r>
        <w:rPr>
          <w:spacing w:val="4"/>
          <w:lang w:val="es-ES"/>
        </w:rPr>
        <w:t>E</w:t>
      </w:r>
      <w:r w:rsidR="00F05618" w:rsidRPr="00F05618">
        <w:rPr>
          <w:spacing w:val="4"/>
          <w:lang w:val="es-ES"/>
        </w:rPr>
        <w:t xml:space="preserve">l de la </w:t>
      </w:r>
      <w:r w:rsidR="00F05618" w:rsidRPr="00F05618">
        <w:rPr>
          <w:b/>
          <w:spacing w:val="4"/>
          <w:lang w:val="es-ES"/>
        </w:rPr>
        <w:t>oportunidad en la entrega de insumos por parte de los proveedores</w:t>
      </w:r>
      <w:r w:rsidR="00F05618" w:rsidRPr="00F05618">
        <w:rPr>
          <w:spacing w:val="4"/>
          <w:lang w:val="es-MX"/>
        </w:rPr>
        <w:t xml:space="preserve"> aumentó </w:t>
      </w:r>
      <w:r w:rsidR="00F05618" w:rsidRPr="00F05618">
        <w:rPr>
          <w:spacing w:val="4"/>
          <w:lang w:val="es-ES"/>
        </w:rPr>
        <w:t xml:space="preserve">0.29 puntos y el de </w:t>
      </w:r>
      <w:r w:rsidR="00F05618" w:rsidRPr="00F05618">
        <w:rPr>
          <w:b/>
          <w:spacing w:val="4"/>
          <w:lang w:val="es-ES"/>
        </w:rPr>
        <w:t>inventarios de insumos</w:t>
      </w:r>
      <w:r w:rsidR="00F05618" w:rsidRPr="00F05618">
        <w:rPr>
          <w:spacing w:val="4"/>
          <w:lang w:val="es-MX"/>
        </w:rPr>
        <w:t xml:space="preserve"> cayó </w:t>
      </w:r>
      <w:r w:rsidR="00F05618" w:rsidRPr="00F05618">
        <w:rPr>
          <w:spacing w:val="4"/>
          <w:lang w:val="es-ES"/>
        </w:rPr>
        <w:t>0.54 puntos</w:t>
      </w:r>
      <w:r w:rsidR="00B81C09" w:rsidRPr="00B81C09">
        <w:rPr>
          <w:spacing w:val="4"/>
        </w:rPr>
        <w:t>.</w:t>
      </w:r>
    </w:p>
    <w:p w14:paraId="2F1E7A81" w14:textId="6948B825" w:rsidR="007F632F" w:rsidRPr="007F632F" w:rsidRDefault="007F632F" w:rsidP="007F632F">
      <w:pPr>
        <w:keepNext/>
        <w:keepLines/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>Cuadro 1</w:t>
      </w:r>
    </w:p>
    <w:p w14:paraId="3F954A38" w14:textId="257FB3B9" w:rsidR="0007670F" w:rsidRPr="00C46F19" w:rsidRDefault="0007670F" w:rsidP="00C82775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C46F19" w:rsidRDefault="007F632F" w:rsidP="00C82775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desestacionalizadas</w:t>
      </w:r>
    </w:p>
    <w:tbl>
      <w:tblPr>
        <w:tblW w:w="9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972"/>
        <w:gridCol w:w="972"/>
        <w:gridCol w:w="972"/>
        <w:gridCol w:w="458"/>
        <w:gridCol w:w="1208"/>
      </w:tblGrid>
      <w:tr w:rsidR="005B0949" w:rsidRPr="005B0949" w14:paraId="5F8972AA" w14:textId="77777777" w:rsidTr="00EA3893">
        <w:trPr>
          <w:cantSplit/>
          <w:trHeight w:val="635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4738A40" w14:textId="77777777" w:rsidR="00FB2B2D" w:rsidRPr="005B0949" w:rsidRDefault="00FB2B2D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8BAB25" w14:textId="237A98EE" w:rsidR="00FB2B2D" w:rsidRPr="005B0949" w:rsidRDefault="005744AE" w:rsidP="005744AE">
            <w:pPr>
              <w:keepNext/>
              <w:keepLines/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</w:t>
            </w:r>
            <w:r w:rsidR="00FB2B2D" w:rsidRPr="005B0949">
              <w:rPr>
                <w:sz w:val="18"/>
                <w:szCs w:val="18"/>
              </w:rPr>
              <w:br/>
              <w:t xml:space="preserve">de </w:t>
            </w:r>
            <w:r w:rsidR="0086235D">
              <w:rPr>
                <w:sz w:val="18"/>
                <w:szCs w:val="18"/>
              </w:rPr>
              <w:t>20</w:t>
            </w:r>
            <w:r w:rsidR="00C074F1">
              <w:rPr>
                <w:sz w:val="18"/>
                <w:szCs w:val="18"/>
              </w:rPr>
              <w:t>2</w:t>
            </w:r>
            <w:r w:rsidR="00CF100F"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C316183" w14:textId="3C8E0A07" w:rsidR="00FB2B2D" w:rsidRPr="005B0949" w:rsidRDefault="005744AE" w:rsidP="00A57C9A">
            <w:pPr>
              <w:keepNext/>
              <w:keepLines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  <w:r w:rsidR="00746A9B">
              <w:rPr>
                <w:sz w:val="18"/>
                <w:szCs w:val="18"/>
              </w:rPr>
              <w:t>o</w:t>
            </w:r>
            <w:r w:rsidR="00A90459">
              <w:rPr>
                <w:sz w:val="18"/>
                <w:szCs w:val="18"/>
              </w:rPr>
              <w:t xml:space="preserve"> </w:t>
            </w:r>
            <w:r w:rsidR="00C643D2">
              <w:rPr>
                <w:sz w:val="18"/>
                <w:szCs w:val="18"/>
              </w:rPr>
              <w:br/>
            </w:r>
            <w:r w:rsidR="00FB2B2D" w:rsidRPr="005B0949">
              <w:rPr>
                <w:sz w:val="18"/>
                <w:szCs w:val="18"/>
              </w:rPr>
              <w:t xml:space="preserve">de </w:t>
            </w:r>
            <w:r w:rsidR="007F632F">
              <w:rPr>
                <w:sz w:val="18"/>
                <w:szCs w:val="18"/>
              </w:rPr>
              <w:t>2022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D76CBD7" w14:textId="77777777" w:rsidR="00FB2B2D" w:rsidRPr="005B0949" w:rsidRDefault="00FB2B2D" w:rsidP="009874D5">
            <w:pPr>
              <w:keepNext/>
              <w:keepLines/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6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176A44A" w14:textId="056F4BF3" w:rsidR="00FB2B2D" w:rsidRPr="005B0949" w:rsidRDefault="00FB2B2D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5744AE" w:rsidRPr="005B0949" w14:paraId="73EB741D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3700BE0C" w14:textId="77777777" w:rsidR="005744AE" w:rsidRPr="005B0949" w:rsidRDefault="005744AE" w:rsidP="005744AE">
            <w:pPr>
              <w:keepNext/>
              <w:keepLines/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287A77B" w14:textId="3F9B3EE6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930DA59" w14:textId="513B4C84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23558CF" w14:textId="142E3D09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458" w:type="dxa"/>
            <w:tcBorders>
              <w:top w:val="single" w:sz="6" w:space="0" w:color="404040"/>
            </w:tcBorders>
            <w:vAlign w:val="center"/>
          </w:tcPr>
          <w:p w14:paraId="6EE0267E" w14:textId="67EF543B" w:rsidR="005744AE" w:rsidRPr="00C72B8E" w:rsidRDefault="005744AE" w:rsidP="00F05618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F0561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DAB6917" w14:textId="5DDD3228" w:rsidR="005744AE" w:rsidRPr="00C72B8E" w:rsidRDefault="005744AE" w:rsidP="005744AE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5744AE" w:rsidRPr="005B0949" w14:paraId="56F87F6A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AD277CB" w14:textId="77777777" w:rsidR="005744AE" w:rsidRPr="005B0949" w:rsidRDefault="005744AE" w:rsidP="005744AE">
            <w:pPr>
              <w:keepNext/>
              <w:keepLines/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74A78F1" w14:textId="06EF0932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F0E995B" w14:textId="13538068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5E1E0FCC" w14:textId="7CDA9143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-1.21</w:t>
            </w:r>
          </w:p>
        </w:tc>
        <w:tc>
          <w:tcPr>
            <w:tcW w:w="458" w:type="dxa"/>
            <w:vAlign w:val="center"/>
          </w:tcPr>
          <w:p w14:paraId="4250F9D9" w14:textId="1CBB9EBE" w:rsidR="005744AE" w:rsidRPr="00C72B8E" w:rsidRDefault="005744AE" w:rsidP="001D1A7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D1A7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378DD386" w14:textId="1D21C943" w:rsidR="005744AE" w:rsidRPr="00C72B8E" w:rsidRDefault="005744AE" w:rsidP="005744AE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744AE" w:rsidRPr="005B0949" w14:paraId="42EB17DF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63CE724" w14:textId="77777777" w:rsidR="005744AE" w:rsidRPr="005B0949" w:rsidRDefault="005744AE" w:rsidP="005744AE">
            <w:pPr>
              <w:keepNext/>
              <w:keepLines/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97C1D8E" w14:textId="6F6BFAD9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986A361" w14:textId="7275CB0E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50.6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D36B56C" w14:textId="769A0CBB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-4.88</w:t>
            </w:r>
          </w:p>
        </w:tc>
        <w:tc>
          <w:tcPr>
            <w:tcW w:w="458" w:type="dxa"/>
            <w:vAlign w:val="center"/>
          </w:tcPr>
          <w:p w14:paraId="66DAF3BB" w14:textId="07CFE77C" w:rsidR="005744AE" w:rsidRPr="00C72B8E" w:rsidRDefault="00F05618" w:rsidP="001D1A7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D1A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78C544BE" w14:textId="28DD41F7" w:rsidR="005744AE" w:rsidRPr="00C72B8E" w:rsidRDefault="005744AE" w:rsidP="005744AE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744AE" w:rsidRPr="005B0949" w14:paraId="36E5C68A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FFFA0C0" w14:textId="77777777" w:rsidR="005744AE" w:rsidRPr="005B0949" w:rsidRDefault="005744AE" w:rsidP="005744AE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1CC6BE51" w14:textId="59E3F61E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51.0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F7FF7BB" w14:textId="714DBDBB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B4F6D4B" w14:textId="6B111EAC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-0.34</w:t>
            </w:r>
          </w:p>
        </w:tc>
        <w:tc>
          <w:tcPr>
            <w:tcW w:w="458" w:type="dxa"/>
            <w:vAlign w:val="center"/>
          </w:tcPr>
          <w:p w14:paraId="71209E1A" w14:textId="094200B6" w:rsidR="005744AE" w:rsidRPr="00C72B8E" w:rsidRDefault="005744AE" w:rsidP="001D1A7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D1A7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0B5E2CB5" w14:textId="1CE20539" w:rsidR="005744AE" w:rsidRPr="00C72B8E" w:rsidRDefault="005744AE" w:rsidP="005744AE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744AE" w:rsidRPr="005B0949" w14:paraId="5328C6FB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7FE6B1C" w14:textId="77777777" w:rsidR="005744AE" w:rsidRPr="005B0949" w:rsidRDefault="005744AE" w:rsidP="005744AE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65FD5E1" w14:textId="4D3AE4A6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59D083C" w14:textId="4D0D7AEE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7451A40F" w14:textId="2764803E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458" w:type="dxa"/>
            <w:vAlign w:val="center"/>
          </w:tcPr>
          <w:p w14:paraId="7B0FD17A" w14:textId="696ACB9E" w:rsidR="005744AE" w:rsidRPr="00C72B8E" w:rsidRDefault="001D1A72" w:rsidP="005744A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28E4233E" w14:textId="383877F7" w:rsidR="005744AE" w:rsidRPr="00C72B8E" w:rsidRDefault="005744AE" w:rsidP="005744AE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5744AE" w:rsidRPr="005B0949" w14:paraId="1AD423F4" w14:textId="77777777" w:rsidTr="005744AE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6673A2" w14:textId="77777777" w:rsidR="005744AE" w:rsidRPr="005B0949" w:rsidRDefault="005744AE" w:rsidP="005744AE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1B6EEFA3" w14:textId="58D598C3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97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EBF545" w14:textId="12D69210" w:rsidR="005744AE" w:rsidRPr="00C72B8E" w:rsidRDefault="005744AE" w:rsidP="005744AE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C2CFC42" w14:textId="538911A5" w:rsidR="005744AE" w:rsidRPr="00C72B8E" w:rsidRDefault="005744AE" w:rsidP="005744AE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-0.54</w:t>
            </w:r>
          </w:p>
        </w:tc>
        <w:tc>
          <w:tcPr>
            <w:tcW w:w="458" w:type="dxa"/>
            <w:tcBorders>
              <w:bottom w:val="single" w:sz="6" w:space="0" w:color="404040"/>
            </w:tcBorders>
            <w:vAlign w:val="center"/>
          </w:tcPr>
          <w:p w14:paraId="24D63F8D" w14:textId="26AF1C1D" w:rsidR="005744AE" w:rsidRPr="00C72B8E" w:rsidRDefault="005744AE" w:rsidP="005744AE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0561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4A50DA51" w14:textId="7A101D7F" w:rsidR="005744AE" w:rsidRPr="00C72B8E" w:rsidRDefault="005744AE" w:rsidP="005744AE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577408E7" w14:textId="7ECC8ED6" w:rsidR="0007670F" w:rsidRPr="005B0949" w:rsidRDefault="0007670F" w:rsidP="00580C8B">
      <w:pPr>
        <w:widowControl w:val="0"/>
        <w:tabs>
          <w:tab w:val="left" w:pos="490"/>
        </w:tabs>
        <w:spacing w:before="20"/>
        <w:ind w:left="-56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198667C7" w14:textId="1B97269A" w:rsidR="0007670F" w:rsidRPr="005B0949" w:rsidRDefault="0007670F" w:rsidP="00580C8B">
      <w:pPr>
        <w:widowControl w:val="0"/>
        <w:tabs>
          <w:tab w:val="left" w:pos="490"/>
        </w:tabs>
        <w:ind w:left="-56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5447F94F" w14:textId="0E1859B2" w:rsidR="00AB6F59" w:rsidRPr="005B0949" w:rsidRDefault="00AB6F59" w:rsidP="00580C8B">
      <w:pPr>
        <w:widowControl w:val="0"/>
        <w:tabs>
          <w:tab w:val="left" w:pos="490"/>
        </w:tabs>
        <w:spacing w:before="20"/>
        <w:ind w:left="-56" w:right="713"/>
        <w:outlineLvl w:val="0"/>
        <w:rPr>
          <w:b/>
          <w:bCs/>
          <w:smallCaps/>
          <w:kern w:val="32"/>
          <w:sz w:val="14"/>
          <w:szCs w:val="14"/>
        </w:rPr>
      </w:pPr>
      <w:r w:rsidRPr="005B0949">
        <w:rPr>
          <w:sz w:val="14"/>
          <w:szCs w:val="14"/>
        </w:rPr>
        <w:t>Fuente:</w:t>
      </w:r>
      <w:r w:rsidR="00580C8B" w:rsidRPr="005B0949">
        <w:rPr>
          <w:sz w:val="14"/>
          <w:szCs w:val="14"/>
        </w:rPr>
        <w:tab/>
      </w:r>
      <w:r w:rsidRPr="005B0949">
        <w:rPr>
          <w:sz w:val="14"/>
          <w:szCs w:val="14"/>
        </w:rPr>
        <w:t>INEGI y Banco de México.</w:t>
      </w:r>
    </w:p>
    <w:p w14:paraId="6834387E" w14:textId="5A670690" w:rsidR="00A47127" w:rsidRPr="005B0949" w:rsidRDefault="00B81C09" w:rsidP="001D725E">
      <w:pPr>
        <w:keepLines/>
        <w:widowControl w:val="0"/>
        <w:spacing w:before="720"/>
        <w:rPr>
          <w:spacing w:val="4"/>
        </w:rPr>
      </w:pPr>
      <w:r w:rsidRPr="00B81C09">
        <w:t>Las siguientes gráficas muestran la evolución en los últimos años de las series desestacionalizadas y de tendencia-ciclo de los componentes que integran el Indicador de Pedidos Manufactureros.</w:t>
      </w:r>
    </w:p>
    <w:p w14:paraId="1B2D8E1C" w14:textId="77777777" w:rsidR="00344C8E" w:rsidRDefault="00344C8E" w:rsidP="007F632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</w:p>
    <w:p w14:paraId="036123DD" w14:textId="69D7E9B4" w:rsidR="007F632F" w:rsidRPr="007F632F" w:rsidRDefault="007F632F" w:rsidP="007F632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 xml:space="preserve">Gráfica </w:t>
      </w:r>
      <w:r>
        <w:rPr>
          <w:bCs/>
          <w:kern w:val="32"/>
          <w:sz w:val="20"/>
        </w:rPr>
        <w:t>2</w:t>
      </w:r>
    </w:p>
    <w:p w14:paraId="36683016" w14:textId="56AD4084" w:rsidR="0007670F" w:rsidRPr="00C46F19" w:rsidRDefault="0007670F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0"/>
        <w:gridCol w:w="160"/>
        <w:gridCol w:w="5079"/>
      </w:tblGrid>
      <w:tr w:rsidR="005B0949" w:rsidRPr="005B0949" w14:paraId="3C102D18" w14:textId="77777777" w:rsidTr="00167073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56098E90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47AF0A9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213652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5B0949" w:rsidRPr="005B0949" w14:paraId="7485AD56" w14:textId="77777777" w:rsidTr="00167073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539EB9CD" w14:textId="084B198C" w:rsidR="00DC2949" w:rsidRPr="005B0949" w:rsidRDefault="001D1A72" w:rsidP="00152422">
            <w:pPr>
              <w:keepNext/>
              <w:keepLines/>
              <w:ind w:left="-75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41FCB34" wp14:editId="1D5EC1E9">
                  <wp:extent cx="3132000" cy="2067674"/>
                  <wp:effectExtent l="0" t="0" r="0" b="889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B4ABD46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D4BEB10" w14:textId="4A40C880" w:rsidR="0007670F" w:rsidRPr="005B0949" w:rsidRDefault="001D1A72" w:rsidP="00152422">
            <w:pPr>
              <w:keepNext/>
              <w:keepLines/>
              <w:ind w:left="-70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258BAC1" wp14:editId="7545838B">
                  <wp:extent cx="3130838" cy="2066400"/>
                  <wp:effectExtent l="0" t="0" r="0" b="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5B0949" w:rsidRPr="005B0949" w14:paraId="4451BE24" w14:textId="77777777" w:rsidTr="00167073">
        <w:trPr>
          <w:jc w:val="center"/>
        </w:trPr>
        <w:tc>
          <w:tcPr>
            <w:tcW w:w="5080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4757A4F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</w:t>
            </w:r>
            <w:r w:rsidR="00807D96" w:rsidRPr="005B0949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BE5F1"/>
          </w:tcPr>
          <w:p w14:paraId="08617B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  <w:shd w:val="clear" w:color="auto" w:fill="DBE5F1"/>
          </w:tcPr>
          <w:p w14:paraId="1ED3F459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los proveedores</w:t>
            </w:r>
          </w:p>
        </w:tc>
      </w:tr>
      <w:tr w:rsidR="005B0949" w:rsidRPr="005B0949" w14:paraId="7248E422" w14:textId="77777777" w:rsidTr="00167073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0EF853AE" w14:textId="30884064" w:rsidR="0007670F" w:rsidRPr="005B0949" w:rsidRDefault="00167073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61AFFC3" wp14:editId="377D6D77">
                  <wp:extent cx="3132000" cy="2066400"/>
                  <wp:effectExtent l="0" t="0" r="0" b="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7AF0390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028A4D9" w14:textId="4B731F50" w:rsidR="0007670F" w:rsidRPr="005B0949" w:rsidRDefault="00167073" w:rsidP="00152422">
            <w:pPr>
              <w:keepNext/>
              <w:keepLines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A8522BF" wp14:editId="72450254">
                  <wp:extent cx="3132000" cy="2066400"/>
                  <wp:effectExtent l="0" t="0" r="0" b="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5B0949" w:rsidRPr="005B0949" w14:paraId="453BD322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nil"/>
              <w:bottom w:val="nil"/>
            </w:tcBorders>
            <w:shd w:val="clear" w:color="auto" w:fill="DBE5F1"/>
          </w:tcPr>
          <w:p w14:paraId="7164DB3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5B0949" w:rsidRPr="005B0949" w14:paraId="0D254B69" w14:textId="77777777" w:rsidTr="00167073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10319" w:type="dxa"/>
            <w:gridSpan w:val="3"/>
            <w:tcBorders>
              <w:top w:val="nil"/>
              <w:bottom w:val="single" w:sz="4" w:space="0" w:color="auto"/>
            </w:tcBorders>
          </w:tcPr>
          <w:p w14:paraId="231F91B3" w14:textId="63B95C2D" w:rsidR="0007670F" w:rsidRPr="005B0949" w:rsidRDefault="00167073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9121891" wp14:editId="720F2431">
                  <wp:extent cx="3132000" cy="2066400"/>
                  <wp:effectExtent l="0" t="0" r="0" b="0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07670F" w:rsidRPr="005B0949" w14:paraId="7B0D2D47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A447" w14:textId="77777777" w:rsidR="0007670F" w:rsidRPr="005B0949" w:rsidRDefault="00AB6F59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lang w:eastAsia="es-MX"/>
              </w:rPr>
            </w:pPr>
            <w:r w:rsidRPr="005B0949">
              <w:rPr>
                <w:sz w:val="14"/>
                <w:szCs w:val="16"/>
              </w:rPr>
              <w:t>Fuente: INEGI y Banco de México.</w:t>
            </w:r>
          </w:p>
        </w:tc>
      </w:tr>
    </w:tbl>
    <w:p w14:paraId="61A14A45" w14:textId="77777777" w:rsidR="00344C8E" w:rsidRDefault="00344C8E" w:rsidP="00E379BD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</w:p>
    <w:p w14:paraId="5BB86E63" w14:textId="3DB19B58" w:rsidR="00E379BD" w:rsidRPr="007F632F" w:rsidRDefault="00E379BD" w:rsidP="00E379BD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  <w:r w:rsidRPr="007F632F">
        <w:rPr>
          <w:b/>
          <w:i/>
          <w:color w:val="auto"/>
          <w:szCs w:val="22"/>
        </w:rPr>
        <w:t>Cifras originales</w:t>
      </w:r>
    </w:p>
    <w:p w14:paraId="5E78A0CC" w14:textId="3C5F726A" w:rsidR="00A47127" w:rsidRPr="00E8398E" w:rsidRDefault="00F05618" w:rsidP="00B81C09">
      <w:pPr>
        <w:pStyle w:val="p0"/>
        <w:keepNext/>
        <w:spacing w:before="300" w:after="300"/>
        <w:rPr>
          <w:rFonts w:ascii="Arial" w:hAnsi="Arial"/>
          <w:snapToGrid/>
          <w:color w:val="auto"/>
          <w:lang w:val="es-ES"/>
        </w:rPr>
      </w:pPr>
      <w:r w:rsidRPr="00F05618">
        <w:rPr>
          <w:rFonts w:ascii="Arial" w:hAnsi="Arial"/>
          <w:snapToGrid/>
          <w:color w:val="auto"/>
          <w:lang w:val="es-ES"/>
        </w:rPr>
        <w:t>En junio de 2022, el IPM se ubicó en 51.7 puntos</w:t>
      </w:r>
      <w:r w:rsidRPr="00F05618">
        <w:rPr>
          <w:rFonts w:ascii="Arial" w:hAnsi="Arial"/>
          <w:snapToGrid/>
          <w:color w:val="auto"/>
          <w:lang w:val="es-MX"/>
        </w:rPr>
        <w:t>,</w:t>
      </w:r>
      <w:r w:rsidRPr="00F05618">
        <w:rPr>
          <w:rFonts w:ascii="Arial" w:hAnsi="Arial"/>
          <w:snapToGrid/>
          <w:color w:val="auto"/>
          <w:lang w:val="es-ES"/>
        </w:rPr>
        <w:t xml:space="preserve"> lo que significó un</w:t>
      </w:r>
      <w:r w:rsidRPr="00F05618">
        <w:rPr>
          <w:rFonts w:ascii="Arial" w:hAnsi="Arial"/>
          <w:snapToGrid/>
          <w:color w:val="auto"/>
          <w:lang w:val="es-MX"/>
        </w:rPr>
        <w:t xml:space="preserve"> retroceso </w:t>
      </w:r>
      <w:r w:rsidRPr="00F05618">
        <w:rPr>
          <w:rFonts w:ascii="Arial" w:hAnsi="Arial"/>
          <w:snapToGrid/>
          <w:color w:val="auto"/>
          <w:lang w:val="es-ES"/>
        </w:rPr>
        <w:t>anual de 0.1 puntos</w:t>
      </w:r>
      <w:r w:rsidR="00B81C09" w:rsidRPr="00B81C09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7F632F" w:rsidRDefault="007F632F" w:rsidP="0024171E">
      <w:pPr>
        <w:keepNext/>
        <w:keepLines/>
        <w:widowControl w:val="0"/>
        <w:spacing w:before="480"/>
        <w:jc w:val="center"/>
        <w:rPr>
          <w:sz w:val="20"/>
        </w:rPr>
      </w:pPr>
      <w:r w:rsidRPr="007F632F">
        <w:rPr>
          <w:sz w:val="20"/>
        </w:rPr>
        <w:t>Gráfica 3</w:t>
      </w:r>
    </w:p>
    <w:p w14:paraId="54BD9E74" w14:textId="512FF71D" w:rsidR="0007670F" w:rsidRPr="00C46F19" w:rsidRDefault="0007670F" w:rsidP="00C82775">
      <w:pPr>
        <w:keepNext/>
        <w:keepLines/>
        <w:widowControl w:val="0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</w:t>
      </w:r>
      <w:r w:rsidR="00FC2537" w:rsidRPr="00C46F19">
        <w:rPr>
          <w:b/>
          <w:smallCaps/>
          <w:sz w:val="22"/>
        </w:rPr>
        <w:t xml:space="preserve"> </w:t>
      </w:r>
    </w:p>
    <w:p w14:paraId="5E3700A9" w14:textId="7EE8E8F2" w:rsidR="0007670F" w:rsidRDefault="00167073" w:rsidP="001B5CA7">
      <w:pPr>
        <w:widowControl w:val="0"/>
        <w:spacing w:after="20"/>
        <w:jc w:val="center"/>
        <w:rPr>
          <w:b/>
          <w:smallCaps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483D8C6A" wp14:editId="58183DDC">
            <wp:extent cx="4320000" cy="2545767"/>
            <wp:effectExtent l="0" t="0" r="4445" b="698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F21316D" w14:textId="77777777" w:rsidR="0007670F" w:rsidRPr="005B0949" w:rsidRDefault="0007670F" w:rsidP="00580C8B">
      <w:pPr>
        <w:widowControl w:val="0"/>
        <w:tabs>
          <w:tab w:val="left" w:pos="1974"/>
        </w:tabs>
        <w:ind w:left="1456" w:hanging="8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preliminar.</w:t>
      </w:r>
    </w:p>
    <w:p w14:paraId="3772213A" w14:textId="77777777" w:rsidR="00AB6F59" w:rsidRPr="005B0949" w:rsidRDefault="002C553E" w:rsidP="00580C8B">
      <w:pPr>
        <w:widowControl w:val="0"/>
        <w:tabs>
          <w:tab w:val="left" w:pos="1974"/>
        </w:tabs>
        <w:ind w:left="1456" w:hanging="8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</w:r>
      <w:r w:rsidR="00AB6F59" w:rsidRPr="005B0949">
        <w:rPr>
          <w:sz w:val="14"/>
          <w:szCs w:val="16"/>
        </w:rPr>
        <w:t>INEGI y Banco de México.</w:t>
      </w:r>
    </w:p>
    <w:p w14:paraId="6A8A45CF" w14:textId="3E24D344" w:rsidR="00DC158A" w:rsidRDefault="00F05618" w:rsidP="00DC158A">
      <w:pPr>
        <w:widowControl w:val="0"/>
        <w:spacing w:before="360"/>
        <w:outlineLvl w:val="0"/>
        <w:rPr>
          <w:lang w:val="es-ES"/>
        </w:rPr>
      </w:pPr>
      <w:r w:rsidRPr="00F05618">
        <w:rPr>
          <w:lang w:val="es-ES"/>
        </w:rPr>
        <w:t>Con datos originales, en junio del año en curso</w:t>
      </w:r>
      <w:r w:rsidRPr="00F05618">
        <w:rPr>
          <w:lang w:val="es-MX"/>
        </w:rPr>
        <w:t xml:space="preserve"> tres de los cinco</w:t>
      </w:r>
      <w:r w:rsidRPr="00F05618">
        <w:rPr>
          <w:lang w:val="es-ES"/>
        </w:rPr>
        <w:t xml:space="preserve"> rubros que conforman el IPM registraron</w:t>
      </w:r>
      <w:r w:rsidRPr="00F05618">
        <w:rPr>
          <w:lang w:val="es-MX"/>
        </w:rPr>
        <w:t xml:space="preserve"> disminuciones </w:t>
      </w:r>
      <w:r w:rsidRPr="00F05618">
        <w:rPr>
          <w:lang w:val="es-ES"/>
        </w:rPr>
        <w:t>anuales, mientras que dos avanzaron</w:t>
      </w:r>
      <w:r w:rsidR="00B81C09" w:rsidRPr="00B81C09">
        <w:rPr>
          <w:lang w:val="es-ES"/>
        </w:rPr>
        <w:t>.</w:t>
      </w:r>
    </w:p>
    <w:p w14:paraId="1D39ABB3" w14:textId="7281250A" w:rsidR="007F632F" w:rsidRPr="007F632F" w:rsidRDefault="007F632F" w:rsidP="007F632F">
      <w:pPr>
        <w:keepNext/>
        <w:keepLines/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2</w:t>
      </w:r>
    </w:p>
    <w:p w14:paraId="0E5548DF" w14:textId="24945B96" w:rsidR="0007670F" w:rsidRPr="00C46F19" w:rsidRDefault="0007670F" w:rsidP="00C82775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78D95120" w14:textId="71CCAAE3" w:rsidR="0007670F" w:rsidRPr="00C46F19" w:rsidRDefault="007F632F" w:rsidP="00C82775">
      <w:pPr>
        <w:widowControl w:val="0"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87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5B0949" w14:paraId="286A9C26" w14:textId="77777777" w:rsidTr="00152422">
        <w:trPr>
          <w:cantSplit/>
          <w:trHeight w:val="300"/>
          <w:jc w:val="center"/>
        </w:trPr>
        <w:tc>
          <w:tcPr>
            <w:tcW w:w="509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40A28B8" w14:textId="77777777" w:rsidR="0007670F" w:rsidRPr="005B0949" w:rsidRDefault="0007670F" w:rsidP="001B5CA7">
            <w:pPr>
              <w:widowControl w:val="0"/>
              <w:spacing w:before="60" w:after="60" w:line="240" w:lineRule="atLeast"/>
              <w:ind w:firstLine="34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4C8EA7E" w14:textId="1BB83B8E" w:rsidR="0007670F" w:rsidRPr="005B0949" w:rsidRDefault="00167073" w:rsidP="00577712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  <w:r w:rsidR="00A61DBD">
              <w:rPr>
                <w:sz w:val="18"/>
                <w:szCs w:val="18"/>
              </w:rPr>
              <w:t>o</w:t>
            </w:r>
          </w:p>
        </w:tc>
        <w:tc>
          <w:tcPr>
            <w:tcW w:w="1225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C0D6" w14:textId="77777777" w:rsidR="0007670F" w:rsidRPr="005B0949" w:rsidRDefault="0007670F" w:rsidP="001B5CA7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501A7A39" w14:textId="77777777" w:rsidTr="00152422">
        <w:trPr>
          <w:cantSplit/>
          <w:trHeight w:val="300"/>
          <w:jc w:val="center"/>
        </w:trPr>
        <w:tc>
          <w:tcPr>
            <w:tcW w:w="509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CF51F72" w14:textId="77777777" w:rsidR="0007670F" w:rsidRPr="005B0949" w:rsidRDefault="0007670F" w:rsidP="001B5CA7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2C41064" w14:textId="5A86185B" w:rsidR="0007670F" w:rsidRPr="005B0949" w:rsidRDefault="007F632F" w:rsidP="00EE7AE5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6B573BE" w14:textId="2BBCC318" w:rsidR="0007670F" w:rsidRPr="005B0949" w:rsidRDefault="007F632F" w:rsidP="00EE7AE5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6A260854" w14:textId="77777777" w:rsidR="0007670F" w:rsidRPr="005B0949" w:rsidRDefault="0007670F" w:rsidP="001B5CA7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167073" w:rsidRPr="005B0949" w14:paraId="5C0AB6F6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22CFB247" w14:textId="77777777" w:rsidR="00167073" w:rsidRPr="005B0949" w:rsidRDefault="00167073" w:rsidP="00167073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top w:val="single" w:sz="6" w:space="0" w:color="404040"/>
            </w:tcBorders>
            <w:vAlign w:val="center"/>
          </w:tcPr>
          <w:p w14:paraId="14F711E8" w14:textId="54F87BE1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6576A907" w14:textId="572A1504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43F50C8" w14:textId="1EEDE100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</w:tr>
      <w:tr w:rsidR="00167073" w:rsidRPr="005B0949" w14:paraId="73010FEF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219DEF3" w14:textId="77777777" w:rsidR="00167073" w:rsidRPr="005B0949" w:rsidRDefault="00167073" w:rsidP="0016707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vAlign w:val="center"/>
          </w:tcPr>
          <w:p w14:paraId="558AD31D" w14:textId="1B332756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9D1DA46" w14:textId="78D1B452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2AF87FF" w14:textId="2EF0B8F4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167073" w:rsidRPr="005B0949" w14:paraId="3EFD7D1A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ACD3CE9" w14:textId="77777777" w:rsidR="00167073" w:rsidRPr="005B0949" w:rsidRDefault="00167073" w:rsidP="0016707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vAlign w:val="center"/>
          </w:tcPr>
          <w:p w14:paraId="7EA67E7F" w14:textId="297F7EB3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544FD5C2" w14:textId="0E7F9707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5C844A0" w14:textId="39AA642B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</w:tr>
      <w:tr w:rsidR="00167073" w:rsidRPr="005B0949" w14:paraId="7CE2533C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DB51328" w14:textId="77777777" w:rsidR="00167073" w:rsidRPr="005B0949" w:rsidRDefault="00167073" w:rsidP="0016707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vAlign w:val="center"/>
          </w:tcPr>
          <w:p w14:paraId="46ACAEA9" w14:textId="79C8C71A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9B56E05" w14:textId="4221614B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704AB3D8" w14:textId="776E31C1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</w:tr>
      <w:tr w:rsidR="00167073" w:rsidRPr="005B0949" w14:paraId="7C2F41D3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1A0290C" w14:textId="77777777" w:rsidR="00167073" w:rsidRPr="005B0949" w:rsidRDefault="00167073" w:rsidP="00167073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1224" w:type="dxa"/>
            <w:vAlign w:val="center"/>
          </w:tcPr>
          <w:p w14:paraId="48537BC3" w14:textId="5FC298F8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5BFCFD7" w14:textId="2CC61ADE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A954970" w14:textId="1D67F2C1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</w:tr>
      <w:tr w:rsidR="00167073" w:rsidRPr="005B0949" w14:paraId="624EBD59" w14:textId="77777777" w:rsidTr="00167073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FD2A52" w14:textId="77777777" w:rsidR="00167073" w:rsidRPr="005B0949" w:rsidRDefault="00167073" w:rsidP="0016707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bottom w:val="single" w:sz="6" w:space="0" w:color="404040"/>
            </w:tcBorders>
            <w:vAlign w:val="center"/>
          </w:tcPr>
          <w:p w14:paraId="7A4D7090" w14:textId="0C67B1E6" w:rsidR="00167073" w:rsidRPr="00CF100F" w:rsidRDefault="00167073" w:rsidP="00167073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E45048" w14:textId="541A0E8E" w:rsidR="00167073" w:rsidRPr="00CF100F" w:rsidRDefault="00167073" w:rsidP="00167073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5CE89952" w14:textId="3DBE5309" w:rsidR="00167073" w:rsidRPr="00CF100F" w:rsidRDefault="00167073" w:rsidP="0016707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</w:t>
            </w:r>
          </w:p>
        </w:tc>
      </w:tr>
    </w:tbl>
    <w:p w14:paraId="01C2E204" w14:textId="77777777" w:rsidR="0007670F" w:rsidRPr="005B0949" w:rsidRDefault="0007670F" w:rsidP="00580C8B">
      <w:pPr>
        <w:widowControl w:val="0"/>
        <w:tabs>
          <w:tab w:val="left" w:pos="896"/>
        </w:tabs>
        <w:spacing w:before="20"/>
        <w:ind w:left="392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2C656F66" w14:textId="77777777" w:rsidR="0007670F" w:rsidRPr="005B0949" w:rsidRDefault="0007670F" w:rsidP="00580C8B">
      <w:pPr>
        <w:widowControl w:val="0"/>
        <w:tabs>
          <w:tab w:val="left" w:pos="896"/>
        </w:tabs>
        <w:ind w:left="392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A6F5B85" w14:textId="77777777" w:rsidR="0007670F" w:rsidRPr="005B0949" w:rsidRDefault="0007670F" w:rsidP="00580C8B">
      <w:pPr>
        <w:widowControl w:val="0"/>
        <w:tabs>
          <w:tab w:val="left" w:pos="896"/>
        </w:tabs>
        <w:ind w:left="392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preliminar.</w:t>
      </w:r>
    </w:p>
    <w:p w14:paraId="2D16E864" w14:textId="77777777" w:rsidR="00AB6F59" w:rsidRPr="005B0949" w:rsidRDefault="00AB6F59" w:rsidP="00580C8B">
      <w:pPr>
        <w:widowControl w:val="0"/>
        <w:tabs>
          <w:tab w:val="left" w:pos="896"/>
        </w:tabs>
        <w:ind w:left="392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México.</w:t>
      </w:r>
    </w:p>
    <w:p w14:paraId="5828DB9D" w14:textId="77777777" w:rsidR="00344C8E" w:rsidRDefault="0007670F" w:rsidP="005F4639">
      <w:pPr>
        <w:keepNext/>
        <w:tabs>
          <w:tab w:val="center" w:pos="3348"/>
        </w:tabs>
        <w:spacing w:before="240"/>
        <w:ind w:left="284"/>
        <w:rPr>
          <w:sz w:val="20"/>
          <w:szCs w:val="20"/>
        </w:rPr>
      </w:pPr>
      <w:r w:rsidRPr="005B0949">
        <w:rPr>
          <w:sz w:val="20"/>
          <w:szCs w:val="20"/>
        </w:rPr>
        <w:br w:type="page"/>
      </w:r>
    </w:p>
    <w:p w14:paraId="2345E31C" w14:textId="77777777" w:rsidR="00344C8E" w:rsidRDefault="00344C8E" w:rsidP="005F4639">
      <w:pPr>
        <w:keepNext/>
        <w:tabs>
          <w:tab w:val="center" w:pos="3348"/>
        </w:tabs>
        <w:spacing w:before="240"/>
        <w:ind w:left="284"/>
        <w:rPr>
          <w:b/>
          <w:i/>
        </w:rPr>
      </w:pPr>
    </w:p>
    <w:p w14:paraId="62DE0D75" w14:textId="327DE84F" w:rsidR="0007670F" w:rsidRPr="007F632F" w:rsidRDefault="0007670F" w:rsidP="005F4639">
      <w:pPr>
        <w:keepNext/>
        <w:tabs>
          <w:tab w:val="center" w:pos="3348"/>
        </w:tabs>
        <w:spacing w:before="240"/>
        <w:ind w:left="284"/>
        <w:rPr>
          <w:b/>
          <w:i/>
        </w:rPr>
      </w:pPr>
      <w:r w:rsidRPr="007F632F">
        <w:rPr>
          <w:b/>
          <w:i/>
        </w:rPr>
        <w:t>Indicador de Pedidos Manufactureros por grupos de subsectores de actividad</w:t>
      </w:r>
    </w:p>
    <w:p w14:paraId="7BB72621" w14:textId="01966641" w:rsidR="00DC335D" w:rsidRPr="00E8398E" w:rsidRDefault="00281737" w:rsidP="003D1A04">
      <w:pPr>
        <w:pStyle w:val="p0"/>
        <w:rPr>
          <w:rFonts w:ascii="Arial" w:hAnsi="Arial"/>
          <w:snapToGrid/>
          <w:color w:val="auto"/>
          <w:lang w:val="es-ES"/>
        </w:rPr>
      </w:pPr>
      <w:r>
        <w:rPr>
          <w:rFonts w:ascii="Arial" w:hAnsi="Arial"/>
          <w:snapToGrid/>
          <w:color w:val="auto"/>
          <w:lang w:val="es-ES"/>
        </w:rPr>
        <w:t>E</w:t>
      </w:r>
      <w:r w:rsidR="00F05618" w:rsidRPr="00F05618">
        <w:rPr>
          <w:rFonts w:ascii="Arial" w:hAnsi="Arial"/>
          <w:snapToGrid/>
          <w:color w:val="auto"/>
          <w:lang w:val="es-ES"/>
        </w:rPr>
        <w:t>n junio de 2022</w:t>
      </w:r>
      <w:r>
        <w:rPr>
          <w:rFonts w:ascii="Arial" w:hAnsi="Arial"/>
          <w:snapToGrid/>
          <w:color w:val="auto"/>
          <w:lang w:val="es-ES"/>
        </w:rPr>
        <w:t>,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el agregado de Alimentos, bebidas y tabaco </w:t>
      </w:r>
      <w:r w:rsidR="00862694">
        <w:rPr>
          <w:rFonts w:ascii="Arial" w:hAnsi="Arial"/>
          <w:snapToGrid/>
          <w:color w:val="auto"/>
          <w:lang w:val="es-ES"/>
        </w:rPr>
        <w:t>presentó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un descenso anual de 0.7 puntos con cifras sin ajuste estacional; el de Derivados del petróleo y del carbón, industria química, del plástico y del hule</w:t>
      </w:r>
      <w:r w:rsidR="00F05618" w:rsidRPr="00F05618">
        <w:rPr>
          <w:rFonts w:ascii="Arial" w:hAnsi="Arial"/>
          <w:snapToGrid/>
          <w:color w:val="auto"/>
          <w:lang w:val="es-MX"/>
        </w:rPr>
        <w:t xml:space="preserve"> redujo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2.1 puntos; el de Minerales no metálicos y metálicas básicas</w:t>
      </w:r>
      <w:r w:rsidR="00F05618" w:rsidRPr="00F05618">
        <w:rPr>
          <w:rFonts w:ascii="Arial" w:hAnsi="Arial"/>
          <w:snapToGrid/>
          <w:color w:val="auto"/>
          <w:lang w:val="es-MX"/>
        </w:rPr>
        <w:t xml:space="preserve"> cayó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1.2 puntos; el de Equipo de computación, accesorios electrónicos y aparatos eléctricos</w:t>
      </w:r>
      <w:r w:rsidR="00F05618" w:rsidRPr="00F05618">
        <w:rPr>
          <w:rFonts w:ascii="Arial" w:hAnsi="Arial"/>
          <w:snapToGrid/>
          <w:color w:val="auto"/>
          <w:lang w:val="es-MX"/>
        </w:rPr>
        <w:t xml:space="preserve"> incrementó 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0.1 puntos; el de Equipo de transporte </w:t>
      </w:r>
      <w:r>
        <w:rPr>
          <w:rFonts w:ascii="Arial" w:hAnsi="Arial"/>
          <w:snapToGrid/>
          <w:color w:val="auto"/>
          <w:lang w:val="es-MX"/>
        </w:rPr>
        <w:t>crec</w:t>
      </w:r>
      <w:r w:rsidR="00F05618" w:rsidRPr="00F05618">
        <w:rPr>
          <w:rFonts w:ascii="Arial" w:hAnsi="Arial"/>
          <w:snapToGrid/>
          <w:color w:val="auto"/>
          <w:lang w:val="es-MX"/>
        </w:rPr>
        <w:t xml:space="preserve">ió </w:t>
      </w:r>
      <w:r w:rsidR="00F05618" w:rsidRPr="00F05618">
        <w:rPr>
          <w:rFonts w:ascii="Arial" w:hAnsi="Arial"/>
          <w:snapToGrid/>
          <w:color w:val="auto"/>
          <w:lang w:val="es-ES"/>
        </w:rPr>
        <w:t>3 puntos; el de Productos metálicos, maquinaria, equipo y muebles</w:t>
      </w:r>
      <w:r w:rsidR="00F05618" w:rsidRPr="00F05618">
        <w:rPr>
          <w:rFonts w:ascii="Arial" w:hAnsi="Arial"/>
          <w:snapToGrid/>
          <w:color w:val="auto"/>
          <w:lang w:val="es-MX"/>
        </w:rPr>
        <w:t xml:space="preserve"> retrocedió </w:t>
      </w:r>
      <w:r w:rsidR="00C34930">
        <w:rPr>
          <w:rFonts w:ascii="Arial" w:hAnsi="Arial"/>
          <w:snapToGrid/>
          <w:color w:val="auto"/>
          <w:lang w:val="es-MX"/>
        </w:rPr>
        <w:br/>
      </w:r>
      <w:r w:rsidR="00F05618" w:rsidRPr="00F05618">
        <w:rPr>
          <w:rFonts w:ascii="Arial" w:hAnsi="Arial"/>
          <w:snapToGrid/>
          <w:color w:val="auto"/>
          <w:lang w:val="es-MX"/>
        </w:rPr>
        <w:t>0.4 puntos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y el de Textiles, prendas de vestir, cuero y piel, madera, papel y otras </w:t>
      </w:r>
      <w:r w:rsidR="00F05618" w:rsidRPr="00F05618">
        <w:rPr>
          <w:rFonts w:ascii="Arial" w:hAnsi="Arial"/>
          <w:snapToGrid/>
          <w:color w:val="auto"/>
          <w:lang w:val="es-MX"/>
        </w:rPr>
        <w:t>aumentó 2.2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puntos</w:t>
      </w:r>
      <w:r w:rsidR="00B81C09" w:rsidRPr="00B81C09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7F632F" w:rsidRDefault="007F632F" w:rsidP="00C82775">
      <w:pPr>
        <w:keepNext/>
        <w:keepLines/>
        <w:spacing w:before="24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3</w:t>
      </w:r>
    </w:p>
    <w:p w14:paraId="3C3EBE05" w14:textId="77777777" w:rsidR="0007670F" w:rsidRPr="00C46F19" w:rsidRDefault="0007670F" w:rsidP="00C82775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E0C8D5F" w14:textId="3A6BD4E4" w:rsidR="0007670F" w:rsidRPr="00C46F19" w:rsidRDefault="007F632F" w:rsidP="00C82775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9"/>
        <w:gridCol w:w="964"/>
        <w:gridCol w:w="964"/>
        <w:gridCol w:w="1193"/>
      </w:tblGrid>
      <w:tr w:rsidR="005B0949" w:rsidRPr="005B0949" w14:paraId="2491F8D2" w14:textId="77777777" w:rsidTr="00164039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2986142" w14:textId="77777777" w:rsidR="00164039" w:rsidRPr="005B0949" w:rsidRDefault="00164039" w:rsidP="00152422">
            <w:pPr>
              <w:keepNext/>
              <w:keepLines/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0275" w14:textId="4635181D" w:rsidR="00164039" w:rsidRPr="005B0949" w:rsidRDefault="00167073" w:rsidP="00133C48">
            <w:pPr>
              <w:keepNext/>
              <w:keepLines/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  <w:r w:rsidR="00CF5CB5">
              <w:rPr>
                <w:sz w:val="18"/>
                <w:szCs w:val="18"/>
              </w:rPr>
              <w:t>o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BE32869" w14:textId="77777777" w:rsidR="00164039" w:rsidRPr="005B0949" w:rsidRDefault="00164039" w:rsidP="00216B9E">
            <w:pPr>
              <w:keepNext/>
              <w:keepLines/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1DCD25B6" w14:textId="77777777" w:rsidTr="00164039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F035E5E" w14:textId="77777777" w:rsidR="0007670F" w:rsidRPr="005B0949" w:rsidRDefault="0007670F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47F9F8" w14:textId="5E7EDE7B" w:rsidR="0007670F" w:rsidRPr="005B0949" w:rsidRDefault="007F632F" w:rsidP="00216B9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74D4CF3" w14:textId="0CA4B921" w:rsidR="0007670F" w:rsidRPr="005B0949" w:rsidRDefault="007F632F" w:rsidP="00216B9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4B8DE669" w14:textId="77777777" w:rsidR="0007670F" w:rsidRPr="005B0949" w:rsidRDefault="0007670F" w:rsidP="00152422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167073" w:rsidRPr="005B0949" w14:paraId="0D2B584E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622C693E" w14:textId="77777777" w:rsidR="00167073" w:rsidRPr="005B0949" w:rsidRDefault="00167073" w:rsidP="00167073">
            <w:pPr>
              <w:keepNext/>
              <w:keepLines/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5CCE5D38" w14:textId="5B3E6D58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51.9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73DB042F" w14:textId="6278C292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51.7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43C6CEC" w14:textId="57804A3B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</w:tr>
      <w:tr w:rsidR="00167073" w:rsidRPr="005B0949" w14:paraId="66F8C639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2E74F26" w14:textId="77777777" w:rsidR="00167073" w:rsidRPr="005B0949" w:rsidRDefault="00167073" w:rsidP="00167073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0ED44218" w14:textId="4F074326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7FF84BA9" w14:textId="15C03BDC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737B9464" w14:textId="493EADF2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167073" w:rsidRPr="005B0949" w14:paraId="25039AF4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0D96952" w14:textId="77777777" w:rsidR="00167073" w:rsidRPr="005B0949" w:rsidRDefault="00167073" w:rsidP="00167073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5FAA6F37" w14:textId="23AAFFDA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87977B5" w14:textId="3B9E812B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56F235B7" w14:textId="60D39578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</w:t>
            </w:r>
          </w:p>
        </w:tc>
      </w:tr>
      <w:tr w:rsidR="00167073" w:rsidRPr="005B0949" w14:paraId="1D6AAD26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65C4495" w14:textId="77777777" w:rsidR="00167073" w:rsidRPr="005B0949" w:rsidRDefault="00167073" w:rsidP="0016707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2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2"/>
          </w:p>
        </w:tc>
        <w:tc>
          <w:tcPr>
            <w:tcW w:w="505" w:type="pct"/>
            <w:vAlign w:val="center"/>
          </w:tcPr>
          <w:p w14:paraId="6CBFB59C" w14:textId="7342E1A0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1A70554" w14:textId="322FEFAE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4F843178" w14:textId="587CC6AA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</w:tr>
      <w:tr w:rsidR="00167073" w:rsidRPr="005B0949" w14:paraId="6FEF3963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0815B81" w14:textId="77777777" w:rsidR="00167073" w:rsidRPr="005B0949" w:rsidRDefault="00167073" w:rsidP="0016707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1DA02F65" w14:textId="7D27FDFD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546ECC4" w14:textId="17A05B1D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CF5E216" w14:textId="4F08B4A6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</w:tr>
      <w:tr w:rsidR="00167073" w:rsidRPr="005B0949" w14:paraId="5625FF51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7796B2C" w14:textId="77777777" w:rsidR="00167073" w:rsidRPr="005B0949" w:rsidRDefault="00167073" w:rsidP="0016707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18115985" w14:textId="5A4FA9C4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6CA3F152" w14:textId="0CCA2212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86DC4DB" w14:textId="5A8742EB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167073" w:rsidRPr="005B0949" w14:paraId="25FA0495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AC0A6A3" w14:textId="77777777" w:rsidR="00167073" w:rsidRPr="005B0949" w:rsidRDefault="00167073" w:rsidP="0016707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1BC57763" w14:textId="5053765E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0181BEFA" w14:textId="301D91ED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9881E29" w14:textId="6F39DFE1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167073" w:rsidRPr="005B0949" w14:paraId="655C91BE" w14:textId="77777777" w:rsidTr="00167073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38E8679" w14:textId="77777777" w:rsidR="00167073" w:rsidRPr="005B0949" w:rsidRDefault="00167073" w:rsidP="0016707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0DC9883B" w14:textId="59947F3A" w:rsidR="00167073" w:rsidRPr="000E7D75" w:rsidRDefault="00167073" w:rsidP="00167073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7C02B9" w14:textId="5F719771" w:rsidR="00167073" w:rsidRPr="000E7D75" w:rsidRDefault="00167073" w:rsidP="00167073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B812B07" w14:textId="575B07FD" w:rsidR="00167073" w:rsidRPr="000E7D75" w:rsidRDefault="00167073" w:rsidP="00167073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</w:tbl>
    <w:p w14:paraId="2B501CF0" w14:textId="77777777" w:rsidR="0007670F" w:rsidRPr="005B0949" w:rsidRDefault="0007670F" w:rsidP="00580C8B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3B72E0C7" w14:textId="77777777" w:rsidR="0007670F" w:rsidRPr="005B0949" w:rsidRDefault="0007670F" w:rsidP="00580C8B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12617F9" w14:textId="77777777" w:rsidR="0007670F" w:rsidRPr="005B0949" w:rsidRDefault="0007670F" w:rsidP="00580C8B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preliminar.</w:t>
      </w:r>
    </w:p>
    <w:p w14:paraId="6D727196" w14:textId="77777777" w:rsidR="00AB6F59" w:rsidRPr="005B0949" w:rsidRDefault="00AB6F59" w:rsidP="00580C8B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México.</w:t>
      </w:r>
    </w:p>
    <w:p w14:paraId="19E54059" w14:textId="77777777" w:rsidR="00744887" w:rsidRPr="00AF498C" w:rsidRDefault="00744887" w:rsidP="00A773EC">
      <w:pPr>
        <w:widowControl w:val="0"/>
        <w:tabs>
          <w:tab w:val="left" w:pos="9432"/>
        </w:tabs>
        <w:spacing w:before="360"/>
        <w:rPr>
          <w:b/>
          <w:i/>
        </w:rPr>
      </w:pPr>
      <w:bookmarkStart w:id="3" w:name="_Hlk7505158"/>
      <w:r w:rsidRPr="00AF498C">
        <w:rPr>
          <w:b/>
          <w:i/>
        </w:rPr>
        <w:t>Nota al usuario</w:t>
      </w:r>
    </w:p>
    <w:p w14:paraId="29A8D42B" w14:textId="0BA5711A" w:rsidR="00744887" w:rsidRPr="00E5424C" w:rsidRDefault="002246E2" w:rsidP="005F4639">
      <w:pPr>
        <w:spacing w:before="240"/>
      </w:pPr>
      <w:r w:rsidRPr="001D03EF">
        <w:rPr>
          <w:spacing w:val="-2"/>
        </w:rPr>
        <w:t xml:space="preserve">La </w:t>
      </w:r>
      <w:r w:rsidR="00F86BC4" w:rsidRPr="001D03EF">
        <w:rPr>
          <w:spacing w:val="-2"/>
        </w:rPr>
        <w:t>t</w:t>
      </w:r>
      <w:r w:rsidRPr="001D03EF">
        <w:rPr>
          <w:spacing w:val="-2"/>
        </w:rPr>
        <w:t>asa d</w:t>
      </w:r>
      <w:r w:rsidR="001D03EF" w:rsidRPr="001D03EF">
        <w:rPr>
          <w:spacing w:val="-2"/>
        </w:rPr>
        <w:t>e</w:t>
      </w:r>
      <w:r w:rsidRPr="001D03EF">
        <w:rPr>
          <w:spacing w:val="-2"/>
        </w:rPr>
        <w:t xml:space="preserve"> </w:t>
      </w:r>
      <w:r w:rsidR="00F86BC4" w:rsidRPr="001D03EF">
        <w:rPr>
          <w:spacing w:val="-2"/>
        </w:rPr>
        <w:t>n</w:t>
      </w:r>
      <w:r w:rsidRPr="001D03EF">
        <w:rPr>
          <w:spacing w:val="-2"/>
        </w:rPr>
        <w:t xml:space="preserve">o </w:t>
      </w:r>
      <w:r w:rsidR="00F86BC4" w:rsidRPr="001D03EF">
        <w:rPr>
          <w:spacing w:val="-2"/>
        </w:rPr>
        <w:t>r</w:t>
      </w:r>
      <w:r w:rsidR="00985A0E">
        <w:rPr>
          <w:spacing w:val="-2"/>
        </w:rPr>
        <w:t>espuesta de la EMOE</w:t>
      </w:r>
      <w:r w:rsidR="00706937" w:rsidRPr="001D03EF">
        <w:rPr>
          <w:spacing w:val="-2"/>
        </w:rPr>
        <w:t>,</w:t>
      </w:r>
      <w:r w:rsidR="0025614A" w:rsidRPr="001D03EF">
        <w:rPr>
          <w:spacing w:val="-2"/>
        </w:rPr>
        <w:t xml:space="preserve"> </w:t>
      </w:r>
      <w:r w:rsidRPr="001D03EF">
        <w:rPr>
          <w:spacing w:val="-2"/>
        </w:rPr>
        <w:t>correspondiente</w:t>
      </w:r>
      <w:r w:rsidRPr="002246E2">
        <w:t xml:space="preserve"> a</w:t>
      </w:r>
      <w:r w:rsidR="00CF5CB5">
        <w:t xml:space="preserve"> </w:t>
      </w:r>
      <w:r w:rsidR="00167073">
        <w:t>juni</w:t>
      </w:r>
      <w:r w:rsidR="00CF5CB5">
        <w:t>o</w:t>
      </w:r>
      <w:r w:rsidRPr="002246E2">
        <w:t xml:space="preserve"> de </w:t>
      </w:r>
      <w:r w:rsidR="007F632F">
        <w:t>2022</w:t>
      </w:r>
      <w:r w:rsidR="00706937">
        <w:t>,</w:t>
      </w:r>
      <w:r w:rsidRPr="002246E2">
        <w:t xml:space="preserve"> registró porcentajes apropiados conforme al diseño est</w:t>
      </w:r>
      <w:r w:rsidR="00985A0E">
        <w:t xml:space="preserve">adístico de la encuesta. Esto permitió generar </w:t>
      </w:r>
      <w:r w:rsidR="00A01C96">
        <w:t>estadísticas</w:t>
      </w:r>
      <w:r w:rsidR="00F0622D">
        <w:t xml:space="preserve"> </w:t>
      </w:r>
      <w:r w:rsidR="00985A0E">
        <w:t>con niveles alt</w:t>
      </w:r>
      <w:r w:rsidRPr="002246E2">
        <w:t>os de precisión</w:t>
      </w:r>
      <w:r w:rsidR="0014427E">
        <w:t xml:space="preserve"> </w:t>
      </w:r>
      <w:r w:rsidR="0014427E" w:rsidRPr="0014427E">
        <w:t xml:space="preserve">en todos los grupos de subsectores de actividad </w:t>
      </w:r>
      <w:r w:rsidR="0014427E" w:rsidRPr="00996EC1">
        <w:t>de la industria manufacturera</w:t>
      </w:r>
      <w:r w:rsidR="0014427E">
        <w:t>.</w:t>
      </w:r>
    </w:p>
    <w:p w14:paraId="55BF6BC2" w14:textId="2FAB1945" w:rsidR="00985A0E" w:rsidRPr="00E439E8" w:rsidRDefault="00167073" w:rsidP="00985A0E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985A0E" w:rsidRPr="0D062C30">
        <w:rPr>
          <w:rFonts w:ascii="Arial" w:hAnsi="Arial"/>
          <w:color w:val="auto"/>
          <w:lang w:val="es-MX"/>
        </w:rPr>
        <w:t xml:space="preserve">as cifras desestacionalizadas y de tendencia-ciclo pueden estar sujetas a revisiones por el impacto de la emergencia sanitaria de la COVID-19. La estrategia que siguió el INEGI fue revisar cada serie de tiempo y analizar la necesidad de incluir algún tratamiento especial, como el de </w:t>
      </w:r>
      <w:proofErr w:type="spellStart"/>
      <w:r w:rsidR="00985A0E" w:rsidRPr="0D062C30">
        <w:rPr>
          <w:rFonts w:ascii="Arial" w:hAnsi="Arial"/>
          <w:i/>
          <w:iCs/>
          <w:color w:val="auto"/>
          <w:lang w:val="es-MX"/>
        </w:rPr>
        <w:t>Outliers</w:t>
      </w:r>
      <w:proofErr w:type="spellEnd"/>
      <w:r w:rsidR="00985A0E" w:rsidRPr="0D062C30">
        <w:rPr>
          <w:rFonts w:ascii="Arial" w:hAnsi="Arial"/>
          <w:i/>
          <w:iCs/>
          <w:color w:val="auto"/>
          <w:lang w:val="es-MX"/>
        </w:rPr>
        <w:t>,</w:t>
      </w:r>
      <w:r w:rsidR="00985A0E" w:rsidRPr="0D062C30">
        <w:rPr>
          <w:rFonts w:ascii="Arial" w:hAnsi="Arial"/>
          <w:color w:val="auto"/>
          <w:lang w:val="es-MX"/>
        </w:rPr>
        <w:t xml:space="preserve"> en los modelos de ajuste estacional para los meses de la contingencia. </w:t>
      </w:r>
      <w:r w:rsidR="00BA05BA">
        <w:rPr>
          <w:rFonts w:ascii="Arial" w:hAnsi="Arial"/>
          <w:color w:val="auto"/>
          <w:lang w:val="es-MX"/>
        </w:rPr>
        <w:t>Esto</w:t>
      </w:r>
      <w:r w:rsidR="00985A0E" w:rsidRPr="0D062C30">
        <w:rPr>
          <w:rFonts w:ascii="Arial" w:hAnsi="Arial"/>
          <w:color w:val="auto"/>
          <w:lang w:val="es-MX"/>
        </w:rPr>
        <w:t xml:space="preserve"> para que los grandes cambios en las cifras originales no influyeran de manera desproporcionada en los factores estacionales utilizados.</w:t>
      </w:r>
    </w:p>
    <w:p w14:paraId="1E8E4680" w14:textId="77777777" w:rsidR="00344C8E" w:rsidRDefault="00344C8E" w:rsidP="004B4E18">
      <w:pPr>
        <w:keepNext/>
        <w:keepLines/>
        <w:spacing w:before="240"/>
        <w:rPr>
          <w:b/>
          <w:i/>
        </w:rPr>
      </w:pPr>
    </w:p>
    <w:p w14:paraId="456283DF" w14:textId="77777777" w:rsidR="00A973FB" w:rsidRDefault="00A973FB" w:rsidP="004B4E18">
      <w:pPr>
        <w:keepNext/>
        <w:keepLines/>
        <w:spacing w:before="240"/>
        <w:rPr>
          <w:b/>
          <w:i/>
        </w:rPr>
      </w:pPr>
    </w:p>
    <w:p w14:paraId="5A7C884B" w14:textId="19ED7307" w:rsidR="0007670F" w:rsidRPr="005B0949" w:rsidRDefault="0007670F" w:rsidP="004B4E18">
      <w:pPr>
        <w:keepNext/>
        <w:keepLines/>
        <w:spacing w:before="240"/>
        <w:rPr>
          <w:b/>
          <w:i/>
        </w:rPr>
      </w:pPr>
      <w:r w:rsidRPr="005B0949">
        <w:rPr>
          <w:b/>
          <w:i/>
        </w:rPr>
        <w:t xml:space="preserve">Nota </w:t>
      </w:r>
      <w:r w:rsidR="00891BAB" w:rsidRPr="005B0949">
        <w:rPr>
          <w:b/>
          <w:i/>
        </w:rPr>
        <w:t>m</w:t>
      </w:r>
      <w:r w:rsidRPr="005B0949">
        <w:rPr>
          <w:b/>
          <w:i/>
        </w:rPr>
        <w:t>etodológica</w:t>
      </w:r>
    </w:p>
    <w:p w14:paraId="76858860" w14:textId="7D14BB39" w:rsidR="00CF2964" w:rsidRPr="005B0949" w:rsidRDefault="00CF2964" w:rsidP="004B4E18">
      <w:pPr>
        <w:keepNext/>
        <w:keepLines/>
        <w:spacing w:before="240"/>
        <w:rPr>
          <w:lang w:val="es-ES"/>
        </w:rPr>
      </w:pPr>
      <w:r w:rsidRPr="005B0949">
        <w:rPr>
          <w:lang w:val="es-ES"/>
        </w:rPr>
        <w:t>La E</w:t>
      </w:r>
      <w:r w:rsidR="00985A0E">
        <w:rPr>
          <w:lang w:val="es-ES"/>
        </w:rPr>
        <w:t>MOE</w:t>
      </w:r>
      <w:r w:rsidRPr="005B0949">
        <w:rPr>
          <w:lang w:val="es-ES"/>
        </w:rPr>
        <w:t xml:space="preserve"> se lleva a cabo mensualmente y tiene como base una muestra de 1</w:t>
      </w:r>
      <w:r w:rsidR="000E7775">
        <w:rPr>
          <w:lang w:val="es-ES"/>
        </w:rPr>
        <w:t xml:space="preserve"> </w:t>
      </w:r>
      <w:r w:rsidRPr="005B0949">
        <w:rPr>
          <w:lang w:val="es-ES"/>
        </w:rPr>
        <w:t xml:space="preserve">492 empresas a nivel nacional. </w:t>
      </w:r>
      <w:r w:rsidR="002D11B5">
        <w:rPr>
          <w:lang w:val="es-ES"/>
        </w:rPr>
        <w:t>E</w:t>
      </w:r>
      <w:r w:rsidR="002D11B5" w:rsidRPr="005B0949">
        <w:rPr>
          <w:lang w:val="es-ES"/>
        </w:rPr>
        <w:t xml:space="preserve">n dos </w:t>
      </w:r>
      <w:r w:rsidR="002D11B5">
        <w:rPr>
          <w:lang w:val="es-ES"/>
        </w:rPr>
        <w:t>tercer</w:t>
      </w:r>
      <w:r w:rsidR="002D11B5" w:rsidRPr="005B0949">
        <w:rPr>
          <w:lang w:val="es-ES"/>
        </w:rPr>
        <w:t>as partes de las empresas de la muestra,</w:t>
      </w:r>
      <w:r w:rsidR="002D11B5"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 w:rsidR="002D11B5">
        <w:rPr>
          <w:lang w:val="es-ES"/>
        </w:rPr>
        <w:t>se</w:t>
      </w:r>
      <w:r w:rsidRPr="005B0949">
        <w:rPr>
          <w:lang w:val="es-ES"/>
        </w:rPr>
        <w:t xml:space="preserve"> obt</w:t>
      </w:r>
      <w:r w:rsidR="00F222D7">
        <w:rPr>
          <w:lang w:val="es-ES"/>
        </w:rPr>
        <w:t>uvo</w:t>
      </w:r>
      <w:r w:rsidRPr="005B0949">
        <w:rPr>
          <w:lang w:val="es-ES"/>
        </w:rPr>
        <w:t xml:space="preserve"> </w:t>
      </w:r>
      <w:r w:rsidR="00F222D7"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 w:rsidR="0036620A">
        <w:rPr>
          <w:lang w:val="es-ES"/>
        </w:rPr>
        <w:t>.</w:t>
      </w:r>
      <w:r w:rsidRPr="005B0949">
        <w:rPr>
          <w:lang w:val="es-ES"/>
        </w:rPr>
        <w:t xml:space="preserve"> </w:t>
      </w:r>
      <w:r w:rsidR="0036620A">
        <w:rPr>
          <w:lang w:val="es-ES"/>
        </w:rPr>
        <w:t>E</w:t>
      </w:r>
      <w:r w:rsidRPr="005B0949">
        <w:rPr>
          <w:lang w:val="es-ES"/>
        </w:rPr>
        <w:t>l resto se recab</w:t>
      </w:r>
      <w:r w:rsidR="001A3141">
        <w:rPr>
          <w:lang w:val="es-ES"/>
        </w:rPr>
        <w:t>ó</w:t>
      </w:r>
      <w:r w:rsidRPr="005B0949">
        <w:rPr>
          <w:lang w:val="es-ES"/>
        </w:rPr>
        <w:t xml:space="preserve"> mediante visita a</w:t>
      </w:r>
      <w:r w:rsidR="0036620A">
        <w:rPr>
          <w:lang w:val="es-ES"/>
        </w:rPr>
        <w:t xml:space="preserve"> </w:t>
      </w:r>
      <w:r w:rsidRPr="005B0949">
        <w:rPr>
          <w:lang w:val="es-ES"/>
        </w:rPr>
        <w:t>l</w:t>
      </w:r>
      <w:r w:rsidR="0036620A">
        <w:rPr>
          <w:lang w:val="es-ES"/>
        </w:rPr>
        <w:t>a</w:t>
      </w:r>
      <w:r w:rsidRPr="005B0949">
        <w:rPr>
          <w:lang w:val="es-ES"/>
        </w:rPr>
        <w:t xml:space="preserve"> direc</w:t>
      </w:r>
      <w:r w:rsidR="0036620A"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7BCDB0A0" w14:textId="0A550A94" w:rsidR="00CF2964" w:rsidRPr="005B0949" w:rsidRDefault="00CF2964" w:rsidP="005F4639">
      <w:pPr>
        <w:spacing w:before="240"/>
      </w:pPr>
      <w:r w:rsidRPr="005B0949">
        <w:rPr>
          <w:lang w:val="es-ES"/>
        </w:rPr>
        <w:t>El marco poblacional está formado por el directorio de empresas provenientes del Registro Estadístico de Negocios de México (RENEM) que cuenta con 6</w:t>
      </w:r>
      <w:r w:rsidR="00F4680D">
        <w:rPr>
          <w:lang w:val="es-ES"/>
        </w:rPr>
        <w:t xml:space="preserve"> </w:t>
      </w:r>
      <w:r w:rsidRPr="005B0949">
        <w:rPr>
          <w:lang w:val="es-ES"/>
        </w:rPr>
        <w:t>077 empresas. Para la selección de la muestra se utilizó un diseño probabilístico y estratificado con selección aleatoria e independiente en cada estrato</w:t>
      </w:r>
      <w:r w:rsidRPr="005B0949">
        <w:t>.</w:t>
      </w:r>
    </w:p>
    <w:p w14:paraId="1CFDDDBE" w14:textId="4B84B7DD" w:rsidR="00CF2964" w:rsidRPr="005B0949" w:rsidRDefault="00CF2964" w:rsidP="005F4639">
      <w:pPr>
        <w:keepLines/>
        <w:spacing w:before="240"/>
      </w:pPr>
      <w:r w:rsidRPr="005B0949">
        <w:t xml:space="preserve">La encuesta incluye con certeza a las empresas con </w:t>
      </w:r>
      <w:r w:rsidR="006E64C9">
        <w:t>mil</w:t>
      </w:r>
      <w:r w:rsidRPr="005B0949">
        <w:t xml:space="preserve"> trabajadores y más. Para calcular el tamaño de muestra se utilizó la variable del personal ocupado con afijación </w:t>
      </w:r>
      <w:proofErr w:type="spellStart"/>
      <w:r w:rsidRPr="004D7CB1">
        <w:t>Neyman</w:t>
      </w:r>
      <w:proofErr w:type="spellEnd"/>
      <w:r w:rsidRPr="005B0949">
        <w:t xml:space="preserve">, </w:t>
      </w:r>
      <w:r w:rsidR="00127CCF">
        <w:t>que resultó en</w:t>
      </w:r>
      <w:r w:rsidR="00127CCF" w:rsidRPr="005B0949">
        <w:t xml:space="preserve"> </w:t>
      </w:r>
      <w:r w:rsidRPr="005B0949">
        <w:rPr>
          <w:lang w:val="es-ES"/>
        </w:rPr>
        <w:t>1</w:t>
      </w:r>
      <w:r w:rsidR="00AD42FA">
        <w:rPr>
          <w:lang w:val="es-ES"/>
        </w:rPr>
        <w:t xml:space="preserve"> </w:t>
      </w:r>
      <w:r w:rsidRPr="005B0949">
        <w:rPr>
          <w:lang w:val="es-ES"/>
        </w:rPr>
        <w:t xml:space="preserve">492 </w:t>
      </w:r>
      <w:r w:rsidRPr="005B0949">
        <w:t xml:space="preserve">empresas. En el diseño del cuestionario se incorporaron las recomendaciones de la OCDE y </w:t>
      </w:r>
      <w:r w:rsidR="003C5620">
        <w:t xml:space="preserve">la </w:t>
      </w:r>
      <w:r w:rsidRPr="005B0949">
        <w:t>CEPAL, así como las sugerencias del Banco de México.</w:t>
      </w:r>
    </w:p>
    <w:p w14:paraId="52307FFD" w14:textId="07809B33" w:rsidR="00CF2964" w:rsidRPr="005B0949" w:rsidRDefault="003F31D7" w:rsidP="005F4639">
      <w:pPr>
        <w:spacing w:before="240"/>
      </w:pPr>
      <w:r w:rsidRPr="003F31D7">
        <w:t xml:space="preserve">El </w:t>
      </w:r>
      <w:r w:rsidR="00CF2964" w:rsidRPr="003F31D7">
        <w:t>IPM</w:t>
      </w:r>
      <w:r w:rsidR="00CF2964" w:rsidRPr="005B0949">
        <w:t xml:space="preserve"> se </w:t>
      </w:r>
      <w:r w:rsidR="009C3128">
        <w:t xml:space="preserve">integra mensualmente con </w:t>
      </w:r>
      <w:r w:rsidR="00CF2964" w:rsidRPr="005B0949">
        <w:t>las expectativas de</w:t>
      </w:r>
      <w:r w:rsidR="001A3141">
        <w:t xml:space="preserve"> las y</w:t>
      </w:r>
      <w:r w:rsidR="00CF2964" w:rsidRPr="005B0949">
        <w:t xml:space="preserve"> los directivos empresariales para las siguientes variables: </w:t>
      </w:r>
      <w:r w:rsidR="007F6E05">
        <w:t>p</w:t>
      </w:r>
      <w:r w:rsidR="00CF2964" w:rsidRPr="005B0949">
        <w:t xml:space="preserve">edidos, </w:t>
      </w:r>
      <w:r w:rsidR="007F6E05">
        <w:t>p</w:t>
      </w:r>
      <w:r w:rsidR="00CF2964" w:rsidRPr="005B0949">
        <w:t xml:space="preserve">roducción, </w:t>
      </w:r>
      <w:r w:rsidR="007F6E05">
        <w:t>p</w:t>
      </w:r>
      <w:r w:rsidR="00CF2964" w:rsidRPr="005B0949">
        <w:t xml:space="preserve">ersonal </w:t>
      </w:r>
      <w:r w:rsidR="007F6E05">
        <w:t>o</w:t>
      </w:r>
      <w:r w:rsidR="00CF2964" w:rsidRPr="005B0949">
        <w:t xml:space="preserve">cupado, </w:t>
      </w:r>
      <w:r w:rsidR="007F6E05">
        <w:t>o</w:t>
      </w:r>
      <w:r w:rsidR="00CF2964" w:rsidRPr="005B0949">
        <w:t xml:space="preserve">portunidad de la </w:t>
      </w:r>
      <w:r w:rsidR="007F6E05">
        <w:t>e</w:t>
      </w:r>
      <w:r w:rsidR="00CF2964" w:rsidRPr="005B0949">
        <w:t xml:space="preserve">ntrega de </w:t>
      </w:r>
      <w:r w:rsidR="007F6E05">
        <w:t>i</w:t>
      </w:r>
      <w:r w:rsidR="00CF2964" w:rsidRPr="005B0949">
        <w:t xml:space="preserve">nsumos por parte de los </w:t>
      </w:r>
      <w:r w:rsidR="007F6E05">
        <w:t>p</w:t>
      </w:r>
      <w:r w:rsidR="00CF2964" w:rsidRPr="005B0949">
        <w:t xml:space="preserve">roveedores e </w:t>
      </w:r>
      <w:r w:rsidR="007F6E05">
        <w:t>i</w:t>
      </w:r>
      <w:r w:rsidR="00CF2964" w:rsidRPr="005B0949">
        <w:t xml:space="preserve">nventarios de </w:t>
      </w:r>
      <w:r w:rsidR="007F6E05">
        <w:t>i</w:t>
      </w:r>
      <w:r w:rsidR="00CF2964" w:rsidRPr="005B0949">
        <w:t>nsumos.</w:t>
      </w:r>
    </w:p>
    <w:p w14:paraId="29AAEF11" w14:textId="55F747FE" w:rsidR="00CF2964" w:rsidRPr="005B0949" w:rsidRDefault="00CF2964" w:rsidP="005F4639">
      <w:pPr>
        <w:spacing w:before="240"/>
      </w:pPr>
      <w:r w:rsidRPr="005B0949">
        <w:t xml:space="preserve">El IPM para el total del sector manufacturero y para cada uno de los grupos de subsectores de actividad considerados resulta de la agregación de los cinco indicadores mencionados. </w:t>
      </w:r>
      <w:r w:rsidR="00827FD1">
        <w:t>Estos</w:t>
      </w:r>
      <w:r w:rsidRPr="005B0949">
        <w:t xml:space="preserve"> consideran distintas etapas o variables del proceso productivo que normalmente efectúan las empresas manufactureras</w:t>
      </w:r>
      <w:r w:rsidR="0072415D">
        <w:t>, y</w:t>
      </w:r>
      <w:r w:rsidRPr="005B0949">
        <w:t xml:space="preserve"> se muestra</w:t>
      </w:r>
      <w:r w:rsidR="0072415D">
        <w:t>n</w:t>
      </w:r>
      <w:r w:rsidRPr="005B0949">
        <w:t xml:space="preserve"> a continuación:</w:t>
      </w:r>
    </w:p>
    <w:p w14:paraId="1DA23712" w14:textId="67C14953" w:rsidR="00CF2964" w:rsidRPr="005B0949" w:rsidRDefault="00CF2964" w:rsidP="00CF2964">
      <w:pPr>
        <w:keepNext/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 w:rsidR="0072415D">
        <w:t xml:space="preserve"> </w:t>
      </w:r>
      <w:r w:rsidRPr="005B0949">
        <w:t>% del IPM)</w:t>
      </w:r>
    </w:p>
    <w:p w14:paraId="7327637C" w14:textId="77777777" w:rsidR="00CF2964" w:rsidRPr="005B0949" w:rsidRDefault="00CF2964" w:rsidP="00CF2964">
      <w:pPr>
        <w:numPr>
          <w:ilvl w:val="0"/>
          <w:numId w:val="27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16A23D7B" w:rsidR="00CF2964" w:rsidRPr="005B0949" w:rsidRDefault="00CF2964" w:rsidP="00365D65">
      <w:pPr>
        <w:keepNext/>
        <w:keepLines/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 w:rsidR="0072415D">
        <w:t xml:space="preserve"> </w:t>
      </w:r>
      <w:r w:rsidRPr="005B0949">
        <w:t>% del IPM)</w:t>
      </w:r>
    </w:p>
    <w:p w14:paraId="7F6F537A" w14:textId="77777777" w:rsidR="00CF2964" w:rsidRPr="005B0949" w:rsidRDefault="00CF2964" w:rsidP="00365D65">
      <w:pPr>
        <w:keepNext/>
        <w:keepLines/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6CE2773D" w14:textId="0B1CFEA0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Personal Ocupado (20</w:t>
      </w:r>
      <w:r w:rsidR="0072415D">
        <w:t xml:space="preserve"> </w:t>
      </w:r>
      <w:r w:rsidRPr="005B0949">
        <w:t>% del IPM)</w:t>
      </w:r>
    </w:p>
    <w:p w14:paraId="47054C2E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773DB73C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Entregas de los Proveedores (15</w:t>
      </w:r>
      <w:r w:rsidR="0072415D">
        <w:t xml:space="preserve"> </w:t>
      </w:r>
      <w:r w:rsidRPr="005B0949">
        <w:t>% del IPM)</w:t>
      </w:r>
    </w:p>
    <w:p w14:paraId="417011C1" w14:textId="57E510F5" w:rsidR="00CF296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 los proveedores?</w:t>
      </w:r>
    </w:p>
    <w:p w14:paraId="1F95D29B" w14:textId="77777777" w:rsidR="00A973FB" w:rsidRDefault="00A973FB" w:rsidP="0008191E">
      <w:pPr>
        <w:tabs>
          <w:tab w:val="left" w:pos="9432"/>
        </w:tabs>
        <w:ind w:left="728"/>
      </w:pPr>
    </w:p>
    <w:p w14:paraId="64793B86" w14:textId="77777777" w:rsidR="00A973FB" w:rsidRDefault="00A973FB" w:rsidP="0008191E">
      <w:pPr>
        <w:tabs>
          <w:tab w:val="left" w:pos="9432"/>
        </w:tabs>
        <w:ind w:left="728"/>
      </w:pPr>
    </w:p>
    <w:p w14:paraId="51A2BEF7" w14:textId="51BD4126" w:rsidR="00C14949" w:rsidRPr="009A70B8" w:rsidRDefault="00C14949" w:rsidP="0008191E">
      <w:pPr>
        <w:tabs>
          <w:tab w:val="left" w:pos="9432"/>
        </w:tabs>
        <w:ind w:left="728"/>
      </w:pPr>
      <w:r w:rsidRPr="009A70B8">
        <w:t xml:space="preserve">El ponderador para la variable entrega de insumos es de carácter inverso, de modo que niveles por encima (debajo) de 50 puntos indican entregas de insumos de </w:t>
      </w:r>
      <w:r w:rsidR="00973338">
        <w:t xml:space="preserve">las y </w:t>
      </w:r>
      <w:r w:rsidRPr="009A70B8">
        <w:t>los proveedores menos (más) oportunas.</w:t>
      </w:r>
    </w:p>
    <w:p w14:paraId="0365F667" w14:textId="71DA5F59" w:rsidR="00CF2964" w:rsidRPr="005B0949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 w:rsidR="002B5B4A">
        <w:t xml:space="preserve"> </w:t>
      </w:r>
      <w:r w:rsidRPr="005B0949">
        <w:t>% del IPM)</w:t>
      </w:r>
    </w:p>
    <w:p w14:paraId="79AA865C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5B0949" w:rsidRDefault="00CF2964" w:rsidP="005F4639">
      <w:pPr>
        <w:tabs>
          <w:tab w:val="left" w:pos="9432"/>
        </w:tabs>
        <w:spacing w:before="240"/>
      </w:pPr>
      <w:r w:rsidRPr="005B0949">
        <w:t xml:space="preserve">Para las preguntas </w:t>
      </w:r>
      <w:r w:rsidR="0032529C">
        <w:t>1, 2, 3 y 5</w:t>
      </w:r>
      <w:r w:rsidR="007B5169">
        <w:t>,</w:t>
      </w:r>
      <w:r w:rsidR="0032529C">
        <w:t xml:space="preserve"> </w:t>
      </w:r>
      <w:r w:rsidR="007B5169">
        <w:t xml:space="preserve">la o </w:t>
      </w:r>
      <w:r w:rsidRPr="005B0949">
        <w:t xml:space="preserve">el informante tiene cinco opciones de respuesta: </w:t>
      </w:r>
      <w:r w:rsidR="00B73577">
        <w:t>m</w:t>
      </w:r>
      <w:r w:rsidRPr="005B0949">
        <w:t xml:space="preserve">ucho mayor, </w:t>
      </w:r>
      <w:r w:rsidR="00B73577">
        <w:t>m</w:t>
      </w:r>
      <w:r w:rsidRPr="005B0949">
        <w:t xml:space="preserve">ayor, </w:t>
      </w:r>
      <w:r w:rsidR="00B73577">
        <w:t>i</w:t>
      </w:r>
      <w:r w:rsidRPr="005B0949">
        <w:t xml:space="preserve">gual, </w:t>
      </w:r>
      <w:r w:rsidR="00B73577">
        <w:t>m</w:t>
      </w:r>
      <w:r w:rsidRPr="005B0949">
        <w:t xml:space="preserve">enor y </w:t>
      </w:r>
      <w:r w:rsidR="00B73577">
        <w:t>m</w:t>
      </w:r>
      <w:r w:rsidRPr="005B0949">
        <w:t>ucho menor</w:t>
      </w:r>
      <w:r w:rsidR="0032529C">
        <w:t>.</w:t>
      </w:r>
      <w:r w:rsidRPr="005B0949">
        <w:t xml:space="preserve"> </w:t>
      </w:r>
      <w:r w:rsidR="0032529C">
        <w:t>P</w:t>
      </w:r>
      <w:r w:rsidRPr="005B0949">
        <w:t xml:space="preserve">ara la cuarta pregunta, </w:t>
      </w:r>
      <w:r w:rsidR="0032529C">
        <w:t>l</w:t>
      </w:r>
      <w:r w:rsidR="0008191E">
        <w:t>a</w:t>
      </w:r>
      <w:r w:rsidRPr="005B0949">
        <w:t xml:space="preserve">s opciones de respuesta son: </w:t>
      </w:r>
      <w:r w:rsidR="00B73577">
        <w:t>m</w:t>
      </w:r>
      <w:r w:rsidRPr="005B0949">
        <w:t xml:space="preserve">ás rápida, </w:t>
      </w:r>
      <w:r w:rsidR="00B73577">
        <w:t>r</w:t>
      </w:r>
      <w:r w:rsidRPr="005B0949">
        <w:t xml:space="preserve">ápida, </w:t>
      </w:r>
      <w:r w:rsidR="00B73577">
        <w:t>i</w:t>
      </w:r>
      <w:r w:rsidRPr="005B0949">
        <w:t xml:space="preserve">gual, </w:t>
      </w:r>
      <w:r w:rsidR="00B73577">
        <w:t>l</w:t>
      </w:r>
      <w:r w:rsidRPr="005B0949">
        <w:t xml:space="preserve">enta y </w:t>
      </w:r>
      <w:r w:rsidR="00B73577">
        <w:t>m</w:t>
      </w:r>
      <w:r w:rsidRPr="005B0949">
        <w:t>ás lenta.</w:t>
      </w:r>
    </w:p>
    <w:p w14:paraId="53CC03C4" w14:textId="28FE3563" w:rsidR="00CF2964" w:rsidRPr="005B0949" w:rsidRDefault="00CF2964" w:rsidP="005F4639">
      <w:pPr>
        <w:spacing w:before="240" w:after="240"/>
      </w:pPr>
      <w:r w:rsidRPr="005B0949">
        <w:t>Cada nivel de respuesta cuenta con un ponderador</w:t>
      </w:r>
      <w:r w:rsidR="00EE35F5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5B0949" w14:paraId="1FF8D962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54B966BF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67A7807B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5B0949" w:rsidRPr="005B0949" w14:paraId="473653D7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28B85141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4211FD7C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5B0949" w:rsidRPr="005B0949" w14:paraId="10E66016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0A3B3820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1CE4CF03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5B0949" w:rsidRPr="005B0949" w14:paraId="5E188512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100F618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4CEDE935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5B0949" w:rsidRPr="005B0949" w14:paraId="6379E4EB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6DB5F62D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8B2191A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5B0949" w:rsidRPr="005B0949" w14:paraId="24065FEF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64FE98E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2BFD2CA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239B116B" w14:textId="2B923BAE" w:rsidR="00CF2964" w:rsidRPr="005B0949" w:rsidRDefault="00CF2964" w:rsidP="005F4639">
      <w:pPr>
        <w:spacing w:before="240"/>
      </w:pPr>
      <w:r w:rsidRPr="005B0949">
        <w:t>En el IPM</w:t>
      </w:r>
      <w:r w:rsidR="007B5169">
        <w:t>,</w:t>
      </w:r>
      <w:r w:rsidRPr="005B0949">
        <w:t xml:space="preserve"> el valor de 50 constituye el umbral para delimitar una expansión de una contracción en la actividad del sector manufacturero.</w:t>
      </w:r>
    </w:p>
    <w:p w14:paraId="0EF7F530" w14:textId="3CC8AE84" w:rsidR="001B1697" w:rsidRPr="005B0949" w:rsidRDefault="001B1697" w:rsidP="005F4639">
      <w:pPr>
        <w:pStyle w:val="Default"/>
        <w:keepLines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 w:rsidR="003F31D7"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</w:t>
      </w:r>
      <w:r w:rsidR="008B03C5">
        <w:rPr>
          <w:color w:val="auto"/>
        </w:rPr>
        <w:t>,</w:t>
      </w:r>
      <w:r w:rsidRPr="005B0949">
        <w:rPr>
          <w:color w:val="auto"/>
        </w:rPr>
        <w:t xml:space="preserve"> y Textiles, prendas de vestir, cuero y piel, madera, papel y otras industrias (subsectores 313, 314, 315, 316, 321, 322, 323 y 339).</w:t>
      </w:r>
    </w:p>
    <w:p w14:paraId="039DD37B" w14:textId="05DD366B" w:rsidR="00C83373" w:rsidRPr="005B0949" w:rsidRDefault="00931D4B" w:rsidP="00BA05BA">
      <w:pPr>
        <w:pStyle w:val="Default"/>
        <w:keepLines/>
        <w:widowControl w:val="0"/>
        <w:spacing w:before="240"/>
        <w:jc w:val="both"/>
      </w:pPr>
      <w:r>
        <w:rPr>
          <w:color w:val="auto"/>
        </w:rPr>
        <w:t>Para</w:t>
      </w:r>
      <w:r w:rsidR="00CF2964" w:rsidRPr="005B0949">
        <w:rPr>
          <w:color w:val="auto"/>
        </w:rPr>
        <w:t xml:space="preserve"> brindar mayores elementos que permitan determinar la precisión de los datos generados por la E</w:t>
      </w:r>
      <w:r w:rsidR="000371E9">
        <w:rPr>
          <w:color w:val="auto"/>
        </w:rPr>
        <w:t>MOE</w:t>
      </w:r>
      <w:r w:rsidR="00CF2964" w:rsidRPr="005B0949">
        <w:rPr>
          <w:color w:val="auto"/>
        </w:rPr>
        <w:t xml:space="preserve">, el INEGI publica </w:t>
      </w:r>
      <w:r w:rsidR="00C83373" w:rsidRPr="005B0949">
        <w:rPr>
          <w:color w:val="auto"/>
        </w:rPr>
        <w:t xml:space="preserve">en su página los Indicadores de Precisión Estadística </w:t>
      </w:r>
      <w:r w:rsidR="00CF2964" w:rsidRPr="005B0949">
        <w:rPr>
          <w:color w:val="auto"/>
        </w:rPr>
        <w:t>del I</w:t>
      </w:r>
      <w:r w:rsidR="000371E9">
        <w:rPr>
          <w:color w:val="auto"/>
        </w:rPr>
        <w:t>PM</w:t>
      </w:r>
      <w:r w:rsidR="00CF2964" w:rsidRPr="005B0949">
        <w:rPr>
          <w:color w:val="auto"/>
        </w:rPr>
        <w:t xml:space="preserve">, </w:t>
      </w:r>
      <w:r w:rsidR="00457BC0">
        <w:rPr>
          <w:color w:val="auto"/>
        </w:rPr>
        <w:t>que</w:t>
      </w:r>
      <w:r w:rsidR="00CF2964" w:rsidRPr="005B0949">
        <w:rPr>
          <w:color w:val="auto"/>
        </w:rPr>
        <w:t xml:space="preserve"> son una medida relativa de su exactitud. </w:t>
      </w:r>
      <w:r w:rsidR="00C83373" w:rsidRPr="005B0949">
        <w:rPr>
          <w:color w:val="auto"/>
        </w:rPr>
        <w:t>Para con</w:t>
      </w:r>
      <w:r w:rsidR="000371E9">
        <w:rPr>
          <w:color w:val="auto"/>
        </w:rPr>
        <w:t>ocer más al respecto, cons</w:t>
      </w:r>
      <w:r w:rsidR="00457BC0">
        <w:rPr>
          <w:color w:val="auto"/>
        </w:rPr>
        <w:t>últese</w:t>
      </w:r>
      <w:r w:rsidR="00C83373" w:rsidRPr="005B0949">
        <w:rPr>
          <w:color w:val="auto"/>
        </w:rPr>
        <w:t xml:space="preserve">: </w:t>
      </w:r>
      <w:hyperlink r:id="rId29" w:history="1">
        <w:r w:rsidR="0087395B" w:rsidRPr="00F93660">
          <w:rPr>
            <w:rStyle w:val="Hipervnculo"/>
          </w:rPr>
          <w:t>https://www.inegi.org.mx/programas/emoe/2013/</w:t>
        </w:r>
      </w:hyperlink>
    </w:p>
    <w:p w14:paraId="5C42727F" w14:textId="536AD552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ven afectadas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 w:rsidR="007357C1"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271C5C88" w14:textId="085DD623" w:rsidR="00394A50" w:rsidRPr="000371E9" w:rsidRDefault="000371E9" w:rsidP="000371E9">
      <w:pPr>
        <w:pStyle w:val="p0"/>
        <w:keepLines w:val="0"/>
        <w:widowControl/>
        <w:rPr>
          <w:rFonts w:ascii="Arial" w:hAnsi="Arial"/>
          <w:snapToGrid/>
          <w:color w:val="auto"/>
        </w:rPr>
      </w:pPr>
      <w:r w:rsidRPr="00E439E8">
        <w:rPr>
          <w:rFonts w:ascii="Arial" w:hAnsi="Arial"/>
          <w:snapToGrid/>
          <w:color w:val="auto"/>
        </w:rPr>
        <w:lastRenderedPageBreak/>
        <w:t>La desestacionalización o ajuste estacional de series económicas consiste en remover estas influencias intra-anuales: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="00CF2964"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0371E9">
        <w:rPr>
          <w:rFonts w:ascii="Arial" w:hAnsi="Arial"/>
          <w:snapToGrid/>
          <w:color w:val="auto"/>
        </w:rPr>
        <w:t>.</w:t>
      </w:r>
      <w:r w:rsidR="00CF2964" w:rsidRPr="005B0949">
        <w:rPr>
          <w:szCs w:val="20"/>
        </w:rPr>
        <w:t xml:space="preserve"> </w:t>
      </w:r>
    </w:p>
    <w:p w14:paraId="335EE27C" w14:textId="77777777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2AD7A39E" w14:textId="56D90B1A" w:rsidR="00CF2964" w:rsidRPr="005B0949" w:rsidRDefault="00CF2964" w:rsidP="00BA05BA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 w:rsidR="00973338">
        <w:rPr>
          <w:szCs w:val="20"/>
        </w:rPr>
        <w:t>,</w:t>
      </w:r>
      <w:r w:rsidRPr="005B0949">
        <w:rPr>
          <w:szCs w:val="20"/>
        </w:rPr>
        <w:t xml:space="preserve"> </w:t>
      </w:r>
      <w:r w:rsidR="000232E3"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DACBA58" w14:textId="77777777" w:rsidR="00CF2964" w:rsidRPr="005B0949" w:rsidRDefault="00CD4CC0" w:rsidP="00CF2964">
      <w:pPr>
        <w:widowControl w:val="0"/>
        <w:rPr>
          <w:rStyle w:val="Hipervnculo"/>
          <w:color w:val="auto"/>
        </w:rPr>
      </w:pPr>
      <w:hyperlink r:id="rId30" w:history="1">
        <w:r w:rsidR="0087395B" w:rsidRPr="00F93660">
          <w:rPr>
            <w:rStyle w:val="Hipervnculo"/>
          </w:rPr>
          <w:t>https://www.inegi.org.mx/app/biblioteca/ficha.html?upc=702825099060</w:t>
        </w:r>
      </w:hyperlink>
      <w:r w:rsidR="0087395B">
        <w:rPr>
          <w:rStyle w:val="Hipervnculo"/>
          <w:color w:val="auto"/>
        </w:rPr>
        <w:t xml:space="preserve"> </w:t>
      </w:r>
    </w:p>
    <w:p w14:paraId="5675828E" w14:textId="5E085F8B" w:rsidR="00CF2964" w:rsidRPr="005B0949" w:rsidRDefault="00CF2964" w:rsidP="005F4639">
      <w:pPr>
        <w:keepNext/>
        <w:keepLines/>
        <w:widowControl w:val="0"/>
        <w:spacing w:before="240"/>
        <w:rPr>
          <w:szCs w:val="20"/>
        </w:rPr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25E35E6" wp14:editId="62E8960D">
            <wp:simplePos x="0" y="0"/>
            <wp:positionH relativeFrom="column">
              <wp:posOffset>-3302</wp:posOffset>
            </wp:positionH>
            <wp:positionV relativeFrom="paragraph">
              <wp:posOffset>528320</wp:posOffset>
            </wp:positionV>
            <wp:extent cx="140335" cy="140335"/>
            <wp:effectExtent l="0" t="0" r="0" b="0"/>
            <wp:wrapNone/>
            <wp:docPr id="33" name="Imagen 33" descr="http://www.inegi.org.mx/sistemas/bie/img/Metadato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227">
        <w:rPr>
          <w:szCs w:val="20"/>
        </w:rPr>
        <w:t>L</w:t>
      </w:r>
      <w:r w:rsidRPr="005B0949">
        <w:rPr>
          <w:szCs w:val="20"/>
        </w:rPr>
        <w:t>as especificaciones de los modelos utilizados para realizar el ajuste estacional están disponibles en el B</w:t>
      </w:r>
      <w:r w:rsidR="000371E9">
        <w:rPr>
          <w:szCs w:val="20"/>
        </w:rPr>
        <w:t>anco de Información Económica. Selecciónese</w:t>
      </w:r>
      <w:r w:rsidRPr="005B0949">
        <w:rPr>
          <w:szCs w:val="20"/>
        </w:rPr>
        <w:t xml:space="preserve"> el icono de información</w:t>
      </w:r>
      <w:r w:rsidR="005F4639">
        <w:rPr>
          <w:szCs w:val="20"/>
        </w:rPr>
        <w:t xml:space="preserve"> </w:t>
      </w:r>
      <w:r w:rsidR="00D50278">
        <w:rPr>
          <w:szCs w:val="20"/>
        </w:rPr>
        <w:br/>
      </w:r>
      <w:r w:rsidR="005F4639">
        <w:rPr>
          <w:szCs w:val="20"/>
        </w:rPr>
        <w:t xml:space="preserve">   </w:t>
      </w:r>
      <w:r w:rsidRPr="005B0949">
        <w:rPr>
          <w:szCs w:val="20"/>
        </w:rPr>
        <w:t xml:space="preserve"> correspondiente a las </w:t>
      </w:r>
      <w:r w:rsidR="007357C1">
        <w:rPr>
          <w:szCs w:val="20"/>
        </w:rPr>
        <w:t>«</w:t>
      </w:r>
      <w:r w:rsidRPr="005B0949">
        <w:rPr>
          <w:szCs w:val="20"/>
        </w:rPr>
        <w:t>series desestacionalizadas y de tendencia</w:t>
      </w:r>
      <w:r w:rsidRPr="005B0949">
        <w:rPr>
          <w:szCs w:val="20"/>
        </w:rPr>
        <w:noBreakHyphen/>
        <w:t>ciclo</w:t>
      </w:r>
      <w:r w:rsidR="007357C1">
        <w:rPr>
          <w:szCs w:val="20"/>
        </w:rPr>
        <w:t>»</w:t>
      </w:r>
      <w:r w:rsidRPr="005B0949">
        <w:rPr>
          <w:szCs w:val="20"/>
        </w:rPr>
        <w:t xml:space="preserve"> del I</w:t>
      </w:r>
      <w:r w:rsidR="000371E9">
        <w:rPr>
          <w:szCs w:val="20"/>
        </w:rPr>
        <w:t>PM y sus c</w:t>
      </w:r>
      <w:r w:rsidRPr="005B0949">
        <w:rPr>
          <w:szCs w:val="20"/>
        </w:rPr>
        <w:t>omponentes.</w:t>
      </w:r>
    </w:p>
    <w:p w14:paraId="751E7173" w14:textId="13563367" w:rsidR="00CF2964" w:rsidRPr="005B0949" w:rsidRDefault="00281737" w:rsidP="005F4639">
      <w:pPr>
        <w:keepNext/>
        <w:keepLines/>
        <w:spacing w:before="240"/>
      </w:pPr>
      <w:r>
        <w:t>M</w:t>
      </w:r>
      <w:r w:rsidR="007357C1">
        <w:t>ediante</w:t>
      </w:r>
      <w:r w:rsidR="00346F52">
        <w:t xml:space="preserve"> la EMOE, </w:t>
      </w:r>
      <w:r>
        <w:t xml:space="preserve">el INEGI </w:t>
      </w:r>
      <w:r w:rsidR="00346F52">
        <w:t>genera l</w:t>
      </w:r>
      <w:r w:rsidR="00CF2964" w:rsidRPr="005B0949">
        <w:t xml:space="preserve">a información contenida en </w:t>
      </w:r>
      <w:r w:rsidR="00346F52">
        <w:t>este documento</w:t>
      </w:r>
      <w:r w:rsidR="00825732">
        <w:t xml:space="preserve"> y se</w:t>
      </w:r>
      <w:r w:rsidR="00346F52">
        <w:t xml:space="preserve"> complement</w:t>
      </w:r>
      <w:r w:rsidR="00825732">
        <w:t>a</w:t>
      </w:r>
      <w:r w:rsidR="00CF2964" w:rsidRPr="005B0949">
        <w:t xml:space="preserve"> con la que proporciona</w:t>
      </w:r>
      <w:r w:rsidR="008C3953">
        <w:t>n</w:t>
      </w:r>
      <w:r w:rsidR="00CF2964" w:rsidRPr="005B0949">
        <w:t xml:space="preserve"> el Indicador de Confianza Empresarial (ICE) </w:t>
      </w:r>
      <w:r w:rsidR="008C3953">
        <w:t>y</w:t>
      </w:r>
      <w:r w:rsidR="00CF2964" w:rsidRPr="005B0949">
        <w:t xml:space="preserve"> </w:t>
      </w:r>
      <w:r w:rsidR="00BA051D">
        <w:t xml:space="preserve">los </w:t>
      </w:r>
      <w:r w:rsidR="00CF2964" w:rsidRPr="005B0949">
        <w:t>Indicador</w:t>
      </w:r>
      <w:r w:rsidR="00BA051D">
        <w:t>es</w:t>
      </w:r>
      <w:r w:rsidR="00CF2964" w:rsidRPr="005B0949">
        <w:t xml:space="preserve"> Agregado</w:t>
      </w:r>
      <w:r w:rsidR="00BA051D">
        <w:t>s</w:t>
      </w:r>
      <w:r w:rsidR="00CF2964" w:rsidRPr="005B0949">
        <w:t xml:space="preserve"> de Tendencia (IAT), y </w:t>
      </w:r>
      <w:r w:rsidR="00394170">
        <w:t>la</w:t>
      </w:r>
      <w:r w:rsidR="00CF2964" w:rsidRPr="005B0949">
        <w:t xml:space="preserve"> da a conocer </w:t>
      </w:r>
      <w:r w:rsidR="00394170">
        <w:t xml:space="preserve">con base </w:t>
      </w:r>
      <w:r w:rsidR="00CF2964" w:rsidRPr="005B0949">
        <w:t xml:space="preserve">en el Calendario de </w:t>
      </w:r>
      <w:r w:rsidR="006D746B">
        <w:t>D</w:t>
      </w:r>
      <w:r w:rsidR="00CF2964" w:rsidRPr="005B0949">
        <w:t xml:space="preserve">ifusión de </w:t>
      </w:r>
      <w:r w:rsidR="006D746B">
        <w:t>I</w:t>
      </w:r>
      <w:r w:rsidR="00CF2964" w:rsidRPr="005B0949">
        <w:t xml:space="preserve">nformación </w:t>
      </w:r>
      <w:r w:rsidR="006D746B">
        <w:t>E</w:t>
      </w:r>
      <w:r w:rsidR="00CF2964" w:rsidRPr="005B0949">
        <w:t xml:space="preserve">stadística y </w:t>
      </w:r>
      <w:r w:rsidR="006D746B">
        <w:t>G</w:t>
      </w:r>
      <w:r w:rsidR="00CF2964" w:rsidRPr="005B0949">
        <w:t>eográfica y de Interés Nacional.</w:t>
      </w:r>
    </w:p>
    <w:p w14:paraId="2BF35040" w14:textId="792AC5CA" w:rsidR="005F0E8E" w:rsidRPr="005B0949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Las cifras </w:t>
      </w:r>
      <w:r w:rsidR="00CF2964" w:rsidRPr="005B0949">
        <w:rPr>
          <w:color w:val="auto"/>
        </w:rPr>
        <w:t>pueden consulta</w:t>
      </w:r>
      <w:r w:rsidR="007D5508">
        <w:rPr>
          <w:color w:val="auto"/>
        </w:rPr>
        <w:t>rse</w:t>
      </w:r>
      <w:r w:rsidR="00CF2964" w:rsidRPr="005B0949">
        <w:rPr>
          <w:color w:val="auto"/>
        </w:rPr>
        <w:t xml:space="preserve"> en </w:t>
      </w:r>
      <w:r w:rsidR="006D746B">
        <w:rPr>
          <w:color w:val="auto"/>
        </w:rPr>
        <w:t>la página de</w:t>
      </w:r>
      <w:r w:rsidR="00A503E8">
        <w:rPr>
          <w:color w:val="auto"/>
        </w:rPr>
        <w:t>l</w:t>
      </w:r>
      <w:r w:rsidR="00CF2964"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="00CF2964" w:rsidRPr="005B0949">
        <w:rPr>
          <w:color w:val="auto"/>
        </w:rPr>
        <w:t xml:space="preserve"> </w:t>
      </w:r>
      <w:r w:rsidR="005F0E8E" w:rsidRPr="005B0949">
        <w:rPr>
          <w:color w:val="auto"/>
        </w:rPr>
        <w:t xml:space="preserve">en las siguientes </w:t>
      </w:r>
      <w:r w:rsidR="005F0E8E" w:rsidRPr="005B0949">
        <w:rPr>
          <w:rFonts w:cs="Arial"/>
          <w:color w:val="auto"/>
        </w:rPr>
        <w:t>secciones</w:t>
      </w:r>
      <w:r w:rsidR="005F0E8E" w:rsidRPr="005B0949">
        <w:rPr>
          <w:color w:val="auto"/>
        </w:rPr>
        <w:t xml:space="preserve">: </w:t>
      </w:r>
    </w:p>
    <w:p w14:paraId="305A6A50" w14:textId="77777777" w:rsidR="005F0E8E" w:rsidRPr="005B0949" w:rsidRDefault="005F0E8E" w:rsidP="00A503E8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>Tema:</w:t>
      </w:r>
      <w:r w:rsidR="005A7E97" w:rsidRPr="005B0949">
        <w:rPr>
          <w:color w:val="auto"/>
        </w:rPr>
        <w:t xml:space="preserve"> </w:t>
      </w:r>
      <w:r w:rsidR="0087395B" w:rsidRPr="0087395B">
        <w:rPr>
          <w:rStyle w:val="Hipervnculo"/>
          <w:lang w:val="es-ES_tradnl" w:eastAsia="es-ES"/>
        </w:rPr>
        <w:t>https://</w:t>
      </w:r>
      <w:hyperlink r:id="rId33" w:history="1">
        <w:r w:rsidR="0087395B" w:rsidRPr="0087395B">
          <w:rPr>
            <w:rStyle w:val="Hipervnculo"/>
            <w:lang w:val="es-ES_tradnl" w:eastAsia="es-ES"/>
          </w:rPr>
          <w:t>www.inegi.org.mx/temas/pedidosman/</w:t>
        </w:r>
      </w:hyperlink>
      <w:r w:rsidR="005A7E97" w:rsidRPr="005B0949">
        <w:rPr>
          <w:color w:val="auto"/>
          <w:u w:val="single"/>
        </w:rPr>
        <w:t xml:space="preserve"> </w:t>
      </w:r>
    </w:p>
    <w:p w14:paraId="17AD4858" w14:textId="77777777" w:rsidR="005F0E8E" w:rsidRPr="005B0949" w:rsidRDefault="005F0E8E" w:rsidP="005A7E97">
      <w:pPr>
        <w:pStyle w:val="Default"/>
        <w:spacing w:before="120"/>
        <w:contextualSpacing/>
        <w:jc w:val="both"/>
        <w:rPr>
          <w:color w:val="auto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color w:val="auto"/>
          <w:u w:val="none"/>
          <w:lang w:val="es-ES_tradnl" w:eastAsia="es-ES"/>
        </w:rPr>
        <w:t xml:space="preserve">: </w:t>
      </w:r>
      <w:r w:rsidR="0087395B">
        <w:rPr>
          <w:rStyle w:val="Hipervnculo"/>
          <w:lang w:val="es-ES_tradnl" w:eastAsia="es-ES"/>
        </w:rPr>
        <w:t>https://</w:t>
      </w:r>
      <w:hyperlink r:id="rId34" w:history="1">
        <w:r w:rsidR="0087395B" w:rsidRPr="00F93660">
          <w:rPr>
            <w:rStyle w:val="Hipervnculo"/>
            <w:lang w:val="es-ES_tradnl" w:eastAsia="es-ES"/>
          </w:rPr>
          <w:t>www.inegi.org.mx/programas/emoe/2013/</w:t>
        </w:r>
      </w:hyperlink>
    </w:p>
    <w:p w14:paraId="6DBD242B" w14:textId="77777777" w:rsidR="00F13560" w:rsidRPr="00BA576E" w:rsidRDefault="005F0E8E" w:rsidP="005A7E97">
      <w:pPr>
        <w:pStyle w:val="Default"/>
        <w:spacing w:before="120"/>
        <w:contextualSpacing/>
        <w:jc w:val="both"/>
        <w:rPr>
          <w:rStyle w:val="Hipervnculo"/>
          <w:lang w:val="es-ES_tradnl" w:eastAsia="es-ES"/>
        </w:rPr>
      </w:pPr>
      <w:r w:rsidRPr="005B0949">
        <w:rPr>
          <w:color w:val="auto"/>
        </w:rPr>
        <w:t xml:space="preserve">Banco de Información Económica: </w:t>
      </w:r>
      <w:r w:rsidR="00BA576E" w:rsidRPr="00BA576E">
        <w:rPr>
          <w:rStyle w:val="Hipervnculo"/>
          <w:lang w:val="es-ES_tradnl" w:eastAsia="es-ES"/>
        </w:rPr>
        <w:t>https://</w:t>
      </w:r>
      <w:hyperlink r:id="rId35" w:history="1">
        <w:r w:rsidR="00BA576E" w:rsidRPr="00BA576E">
          <w:rPr>
            <w:rStyle w:val="Hipervnculo"/>
            <w:lang w:val="es-ES_tradnl" w:eastAsia="es-ES"/>
          </w:rPr>
          <w:t>www.inegi.org.mx/sistemas/bie/</w:t>
        </w:r>
      </w:hyperlink>
      <w:bookmarkEnd w:id="3"/>
    </w:p>
    <w:sectPr w:rsidR="00F13560" w:rsidRPr="00BA576E" w:rsidSect="00344C8E">
      <w:headerReference w:type="default" r:id="rId36"/>
      <w:footerReference w:type="default" r:id="rId37"/>
      <w:pgSz w:w="12242" w:h="15842" w:code="1"/>
      <w:pgMar w:top="2127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A262" w14:textId="77777777" w:rsidR="00CD4CC0" w:rsidRDefault="00CD4CC0">
      <w:r>
        <w:separator/>
      </w:r>
    </w:p>
  </w:endnote>
  <w:endnote w:type="continuationSeparator" w:id="0">
    <w:p w14:paraId="220C1969" w14:textId="77777777" w:rsidR="00CD4CC0" w:rsidRDefault="00CD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50D66" w14:textId="77777777" w:rsidR="00344C8E" w:rsidRPr="00975B1E" w:rsidRDefault="00344C8E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7B800759" w14:textId="77777777" w:rsidR="00344C8E" w:rsidRPr="007B4B63" w:rsidRDefault="00344C8E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A1A9" w14:textId="77777777" w:rsidR="00BB375D" w:rsidRPr="00361114" w:rsidRDefault="00BB375D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36111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7B76D" w14:textId="77777777" w:rsidR="00CD4CC0" w:rsidRDefault="00CD4CC0">
      <w:r>
        <w:separator/>
      </w:r>
    </w:p>
  </w:footnote>
  <w:footnote w:type="continuationSeparator" w:id="0">
    <w:p w14:paraId="496A8F1D" w14:textId="77777777" w:rsidR="00CD4CC0" w:rsidRDefault="00CD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387B8" w14:textId="2823455C" w:rsidR="00344C8E" w:rsidRPr="00306ECD" w:rsidRDefault="00344C8E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2F60D35" wp14:editId="04656E84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D95D5B">
      <w:rPr>
        <w:b/>
        <w:color w:val="002060"/>
      </w:rPr>
      <w:t>344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2B5A9941" w14:textId="77777777" w:rsidR="00344C8E" w:rsidRPr="00306ECD" w:rsidRDefault="00344C8E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DB60C4F" w14:textId="77777777" w:rsidR="00344C8E" w:rsidRPr="00306ECD" w:rsidRDefault="00344C8E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5C03074B" w14:textId="77777777" w:rsidR="00344C8E" w:rsidRDefault="00344C8E" w:rsidP="008B185F">
    <w:pPr>
      <w:pStyle w:val="Encabezado"/>
      <w:ind w:right="49"/>
      <w:jc w:val="center"/>
    </w:pPr>
  </w:p>
  <w:p w14:paraId="7B3BA4DB" w14:textId="77777777" w:rsidR="00344C8E" w:rsidRDefault="00344C8E"/>
  <w:p w14:paraId="3A3052E1" w14:textId="77777777" w:rsidR="00344C8E" w:rsidRDefault="00344C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F15A" w14:textId="2ED809E3" w:rsidR="00BB375D" w:rsidRDefault="002326EF" w:rsidP="00344C8E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4B81598" wp14:editId="76207527">
          <wp:extent cx="828000" cy="828000"/>
          <wp:effectExtent l="0" t="0" r="0" b="0"/>
          <wp:docPr id="15" name="Imagen 1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2"/>
  </w:num>
  <w:num w:numId="12">
    <w:abstractNumId w:val="37"/>
  </w:num>
  <w:num w:numId="13">
    <w:abstractNumId w:val="39"/>
  </w:num>
  <w:num w:numId="14">
    <w:abstractNumId w:val="18"/>
  </w:num>
  <w:num w:numId="15">
    <w:abstractNumId w:val="14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10"/>
  </w:num>
  <w:num w:numId="21">
    <w:abstractNumId w:val="38"/>
  </w:num>
  <w:num w:numId="22">
    <w:abstractNumId w:val="20"/>
  </w:num>
  <w:num w:numId="23">
    <w:abstractNumId w:val="25"/>
  </w:num>
  <w:num w:numId="24">
    <w:abstractNumId w:val="24"/>
  </w:num>
  <w:num w:numId="25">
    <w:abstractNumId w:val="33"/>
  </w:num>
  <w:num w:numId="26">
    <w:abstractNumId w:val="34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11"/>
  </w:num>
  <w:num w:numId="32">
    <w:abstractNumId w:val="19"/>
  </w:num>
  <w:num w:numId="33">
    <w:abstractNumId w:val="15"/>
  </w:num>
  <w:num w:numId="34">
    <w:abstractNumId w:val="23"/>
  </w:num>
  <w:num w:numId="35">
    <w:abstractNumId w:val="30"/>
  </w:num>
  <w:num w:numId="36">
    <w:abstractNumId w:val="4"/>
  </w:num>
  <w:num w:numId="37">
    <w:abstractNumId w:val="35"/>
  </w:num>
  <w:num w:numId="38">
    <w:abstractNumId w:val="9"/>
  </w:num>
  <w:num w:numId="39">
    <w:abstractNumId w:val="16"/>
  </w:num>
  <w:num w:numId="40">
    <w:abstractNumId w:val="31"/>
  </w:num>
  <w:num w:numId="41">
    <w:abstractNumId w:val="36"/>
  </w:num>
  <w:num w:numId="42">
    <w:abstractNumId w:val="2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1432"/>
    <w:rsid w:val="00021492"/>
    <w:rsid w:val="000216A3"/>
    <w:rsid w:val="00021B4D"/>
    <w:rsid w:val="000228C4"/>
    <w:rsid w:val="00022CA3"/>
    <w:rsid w:val="000232E3"/>
    <w:rsid w:val="00023C47"/>
    <w:rsid w:val="000260EE"/>
    <w:rsid w:val="00026B3C"/>
    <w:rsid w:val="00026B52"/>
    <w:rsid w:val="00030480"/>
    <w:rsid w:val="0003065F"/>
    <w:rsid w:val="000309CE"/>
    <w:rsid w:val="00030D10"/>
    <w:rsid w:val="00031231"/>
    <w:rsid w:val="000314D3"/>
    <w:rsid w:val="00031BCF"/>
    <w:rsid w:val="00032B16"/>
    <w:rsid w:val="00033603"/>
    <w:rsid w:val="00033A14"/>
    <w:rsid w:val="00034417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934"/>
    <w:rsid w:val="00050AF0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6E8"/>
    <w:rsid w:val="00054A4F"/>
    <w:rsid w:val="00055047"/>
    <w:rsid w:val="0005517D"/>
    <w:rsid w:val="000558E0"/>
    <w:rsid w:val="00055B54"/>
    <w:rsid w:val="00056E28"/>
    <w:rsid w:val="00056F51"/>
    <w:rsid w:val="0005712F"/>
    <w:rsid w:val="000573F5"/>
    <w:rsid w:val="00057F37"/>
    <w:rsid w:val="000602B0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789C"/>
    <w:rsid w:val="0007012A"/>
    <w:rsid w:val="0007017F"/>
    <w:rsid w:val="00070431"/>
    <w:rsid w:val="0007074A"/>
    <w:rsid w:val="000707FF"/>
    <w:rsid w:val="00070864"/>
    <w:rsid w:val="00070A79"/>
    <w:rsid w:val="0007145A"/>
    <w:rsid w:val="00071F33"/>
    <w:rsid w:val="000725AC"/>
    <w:rsid w:val="00072862"/>
    <w:rsid w:val="00072B18"/>
    <w:rsid w:val="000730F3"/>
    <w:rsid w:val="00073491"/>
    <w:rsid w:val="000739D2"/>
    <w:rsid w:val="00073EF4"/>
    <w:rsid w:val="000744E7"/>
    <w:rsid w:val="000753EC"/>
    <w:rsid w:val="0007567F"/>
    <w:rsid w:val="00075B3A"/>
    <w:rsid w:val="00075DEC"/>
    <w:rsid w:val="00076234"/>
    <w:rsid w:val="000763B1"/>
    <w:rsid w:val="0007670F"/>
    <w:rsid w:val="000767F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50E7"/>
    <w:rsid w:val="000951E9"/>
    <w:rsid w:val="00095360"/>
    <w:rsid w:val="000955AA"/>
    <w:rsid w:val="000957BC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D02"/>
    <w:rsid w:val="000A7ED5"/>
    <w:rsid w:val="000B0710"/>
    <w:rsid w:val="000B112E"/>
    <w:rsid w:val="000B1545"/>
    <w:rsid w:val="000B1C11"/>
    <w:rsid w:val="000B1D13"/>
    <w:rsid w:val="000B29B8"/>
    <w:rsid w:val="000B2A27"/>
    <w:rsid w:val="000B4A6A"/>
    <w:rsid w:val="000B50F9"/>
    <w:rsid w:val="000B50FB"/>
    <w:rsid w:val="000B515D"/>
    <w:rsid w:val="000B5A74"/>
    <w:rsid w:val="000B5DD7"/>
    <w:rsid w:val="000B5FA3"/>
    <w:rsid w:val="000B6AF6"/>
    <w:rsid w:val="000C0F67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27B6"/>
    <w:rsid w:val="000D28A5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EDB"/>
    <w:rsid w:val="000D6221"/>
    <w:rsid w:val="000D6C0F"/>
    <w:rsid w:val="000D6F1E"/>
    <w:rsid w:val="000D7439"/>
    <w:rsid w:val="000D7A95"/>
    <w:rsid w:val="000D7BBD"/>
    <w:rsid w:val="000E03C0"/>
    <w:rsid w:val="000E0654"/>
    <w:rsid w:val="000E19B3"/>
    <w:rsid w:val="000E1B2B"/>
    <w:rsid w:val="000E2970"/>
    <w:rsid w:val="000E3386"/>
    <w:rsid w:val="000E3CC1"/>
    <w:rsid w:val="000E414F"/>
    <w:rsid w:val="000E44F0"/>
    <w:rsid w:val="000E5331"/>
    <w:rsid w:val="000E5526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5234"/>
    <w:rsid w:val="001052E2"/>
    <w:rsid w:val="00105317"/>
    <w:rsid w:val="00105689"/>
    <w:rsid w:val="00105E2B"/>
    <w:rsid w:val="0010619C"/>
    <w:rsid w:val="0010664D"/>
    <w:rsid w:val="00106792"/>
    <w:rsid w:val="00110510"/>
    <w:rsid w:val="0011076D"/>
    <w:rsid w:val="00110DB1"/>
    <w:rsid w:val="00110DF0"/>
    <w:rsid w:val="001114D0"/>
    <w:rsid w:val="00111703"/>
    <w:rsid w:val="00111AA3"/>
    <w:rsid w:val="00111F29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D7A"/>
    <w:rsid w:val="00120112"/>
    <w:rsid w:val="00120EA1"/>
    <w:rsid w:val="0012181E"/>
    <w:rsid w:val="00121D48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CCF"/>
    <w:rsid w:val="001301E6"/>
    <w:rsid w:val="001304F2"/>
    <w:rsid w:val="00130C4C"/>
    <w:rsid w:val="00130CBD"/>
    <w:rsid w:val="001313EB"/>
    <w:rsid w:val="0013222E"/>
    <w:rsid w:val="00133C4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FC4"/>
    <w:rsid w:val="00151D3F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695"/>
    <w:rsid w:val="00160957"/>
    <w:rsid w:val="00160B56"/>
    <w:rsid w:val="001611C9"/>
    <w:rsid w:val="0016159C"/>
    <w:rsid w:val="00161833"/>
    <w:rsid w:val="00161E62"/>
    <w:rsid w:val="00162797"/>
    <w:rsid w:val="00162A20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64"/>
    <w:rsid w:val="001740E5"/>
    <w:rsid w:val="00174587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8C"/>
    <w:rsid w:val="001A4EF7"/>
    <w:rsid w:val="001A4F0A"/>
    <w:rsid w:val="001A4F6E"/>
    <w:rsid w:val="001A5ABD"/>
    <w:rsid w:val="001A5CAF"/>
    <w:rsid w:val="001A5CE0"/>
    <w:rsid w:val="001A60E2"/>
    <w:rsid w:val="001A69F0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F75"/>
    <w:rsid w:val="001B5CA7"/>
    <w:rsid w:val="001B5DDB"/>
    <w:rsid w:val="001B62D3"/>
    <w:rsid w:val="001B6E4A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9E7"/>
    <w:rsid w:val="001C32C6"/>
    <w:rsid w:val="001C359A"/>
    <w:rsid w:val="001C3E2D"/>
    <w:rsid w:val="001C48C7"/>
    <w:rsid w:val="001C4A9E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F02"/>
    <w:rsid w:val="001D6186"/>
    <w:rsid w:val="001D62AF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AE9"/>
    <w:rsid w:val="001F7CFD"/>
    <w:rsid w:val="002004E9"/>
    <w:rsid w:val="00200D78"/>
    <w:rsid w:val="002011D5"/>
    <w:rsid w:val="00201C2D"/>
    <w:rsid w:val="00203367"/>
    <w:rsid w:val="00204438"/>
    <w:rsid w:val="00204A44"/>
    <w:rsid w:val="002058E6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773"/>
    <w:rsid w:val="00213B0E"/>
    <w:rsid w:val="00213CBC"/>
    <w:rsid w:val="002141FB"/>
    <w:rsid w:val="002146CA"/>
    <w:rsid w:val="002147D6"/>
    <w:rsid w:val="00214D23"/>
    <w:rsid w:val="00214DA1"/>
    <w:rsid w:val="002152B1"/>
    <w:rsid w:val="0021575B"/>
    <w:rsid w:val="00215783"/>
    <w:rsid w:val="002162C2"/>
    <w:rsid w:val="0021634C"/>
    <w:rsid w:val="0021669B"/>
    <w:rsid w:val="00216876"/>
    <w:rsid w:val="00216B9E"/>
    <w:rsid w:val="0022018A"/>
    <w:rsid w:val="002203C7"/>
    <w:rsid w:val="00220ADA"/>
    <w:rsid w:val="00220B7B"/>
    <w:rsid w:val="0022180E"/>
    <w:rsid w:val="002220BA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93A"/>
    <w:rsid w:val="00225B52"/>
    <w:rsid w:val="00225CE3"/>
    <w:rsid w:val="00225D4B"/>
    <w:rsid w:val="002260D7"/>
    <w:rsid w:val="002262D4"/>
    <w:rsid w:val="00226B17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101A"/>
    <w:rsid w:val="002610D8"/>
    <w:rsid w:val="00261A6C"/>
    <w:rsid w:val="0026225E"/>
    <w:rsid w:val="002629E2"/>
    <w:rsid w:val="00262BA8"/>
    <w:rsid w:val="00262BC8"/>
    <w:rsid w:val="002641B4"/>
    <w:rsid w:val="002641D9"/>
    <w:rsid w:val="002643C5"/>
    <w:rsid w:val="00264917"/>
    <w:rsid w:val="002651EC"/>
    <w:rsid w:val="0026527F"/>
    <w:rsid w:val="00265DC2"/>
    <w:rsid w:val="0026638C"/>
    <w:rsid w:val="002663F0"/>
    <w:rsid w:val="00266540"/>
    <w:rsid w:val="00266F00"/>
    <w:rsid w:val="002670EF"/>
    <w:rsid w:val="002671A2"/>
    <w:rsid w:val="00267A38"/>
    <w:rsid w:val="00267F5F"/>
    <w:rsid w:val="00267F72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F56"/>
    <w:rsid w:val="002765B7"/>
    <w:rsid w:val="00276803"/>
    <w:rsid w:val="00276EAA"/>
    <w:rsid w:val="00277713"/>
    <w:rsid w:val="00277DBC"/>
    <w:rsid w:val="00277F64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6242"/>
    <w:rsid w:val="00296CE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B00FE"/>
    <w:rsid w:val="002B0E27"/>
    <w:rsid w:val="002B0F1B"/>
    <w:rsid w:val="002B10B6"/>
    <w:rsid w:val="002B10D3"/>
    <w:rsid w:val="002B1113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5B4A"/>
    <w:rsid w:val="002B62CB"/>
    <w:rsid w:val="002B63D3"/>
    <w:rsid w:val="002B6815"/>
    <w:rsid w:val="002B6AB1"/>
    <w:rsid w:val="002B71D1"/>
    <w:rsid w:val="002C0144"/>
    <w:rsid w:val="002C0CAC"/>
    <w:rsid w:val="002C0FF7"/>
    <w:rsid w:val="002C1011"/>
    <w:rsid w:val="002C1F2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1B5"/>
    <w:rsid w:val="002D155B"/>
    <w:rsid w:val="002D1AD3"/>
    <w:rsid w:val="002D40A5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DF4"/>
    <w:rsid w:val="002E1ECD"/>
    <w:rsid w:val="002E25C7"/>
    <w:rsid w:val="002E2C3B"/>
    <w:rsid w:val="002E3C37"/>
    <w:rsid w:val="002E4BA7"/>
    <w:rsid w:val="002E4D0D"/>
    <w:rsid w:val="002E4D3D"/>
    <w:rsid w:val="002E5CA7"/>
    <w:rsid w:val="002E6556"/>
    <w:rsid w:val="002E668B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7C4B"/>
    <w:rsid w:val="00300081"/>
    <w:rsid w:val="0030023E"/>
    <w:rsid w:val="0030059B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5BE"/>
    <w:rsid w:val="00305F53"/>
    <w:rsid w:val="003060F3"/>
    <w:rsid w:val="0030612A"/>
    <w:rsid w:val="003066ED"/>
    <w:rsid w:val="003068EC"/>
    <w:rsid w:val="00306C01"/>
    <w:rsid w:val="0030759B"/>
    <w:rsid w:val="003076C4"/>
    <w:rsid w:val="003079A6"/>
    <w:rsid w:val="003100FB"/>
    <w:rsid w:val="00310120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4FF5"/>
    <w:rsid w:val="0032529C"/>
    <w:rsid w:val="003256A0"/>
    <w:rsid w:val="003265DE"/>
    <w:rsid w:val="00326A08"/>
    <w:rsid w:val="00327038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3A3"/>
    <w:rsid w:val="003365FA"/>
    <w:rsid w:val="00336E1C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C8E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A1B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546F"/>
    <w:rsid w:val="003554BD"/>
    <w:rsid w:val="003554CE"/>
    <w:rsid w:val="00356586"/>
    <w:rsid w:val="00356792"/>
    <w:rsid w:val="003571E2"/>
    <w:rsid w:val="00357919"/>
    <w:rsid w:val="00357FBE"/>
    <w:rsid w:val="003601CE"/>
    <w:rsid w:val="003608EA"/>
    <w:rsid w:val="00360A82"/>
    <w:rsid w:val="00361062"/>
    <w:rsid w:val="003610F5"/>
    <w:rsid w:val="00361114"/>
    <w:rsid w:val="003616F4"/>
    <w:rsid w:val="00362B5E"/>
    <w:rsid w:val="003638E9"/>
    <w:rsid w:val="003643A5"/>
    <w:rsid w:val="00364D97"/>
    <w:rsid w:val="0036533F"/>
    <w:rsid w:val="00365370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7C7"/>
    <w:rsid w:val="00374D3E"/>
    <w:rsid w:val="00375820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A50"/>
    <w:rsid w:val="00394E37"/>
    <w:rsid w:val="00394FE8"/>
    <w:rsid w:val="00395069"/>
    <w:rsid w:val="003955AD"/>
    <w:rsid w:val="00395A0A"/>
    <w:rsid w:val="003966A2"/>
    <w:rsid w:val="00396A6C"/>
    <w:rsid w:val="00396C26"/>
    <w:rsid w:val="00396C46"/>
    <w:rsid w:val="00397340"/>
    <w:rsid w:val="00397B98"/>
    <w:rsid w:val="00397BF1"/>
    <w:rsid w:val="003A0A67"/>
    <w:rsid w:val="003A1273"/>
    <w:rsid w:val="003A1596"/>
    <w:rsid w:val="003A1FEA"/>
    <w:rsid w:val="003A2180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1083"/>
    <w:rsid w:val="003B12DB"/>
    <w:rsid w:val="003B1C5D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757"/>
    <w:rsid w:val="003B6179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779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466"/>
    <w:rsid w:val="003F18CF"/>
    <w:rsid w:val="003F2520"/>
    <w:rsid w:val="003F2BFE"/>
    <w:rsid w:val="003F31D7"/>
    <w:rsid w:val="003F3A44"/>
    <w:rsid w:val="003F492A"/>
    <w:rsid w:val="003F5F0A"/>
    <w:rsid w:val="003F6DF4"/>
    <w:rsid w:val="003F7022"/>
    <w:rsid w:val="003F7263"/>
    <w:rsid w:val="003F78C3"/>
    <w:rsid w:val="003F7D77"/>
    <w:rsid w:val="003F7E03"/>
    <w:rsid w:val="003F7FDB"/>
    <w:rsid w:val="00400A5E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CDA"/>
    <w:rsid w:val="004100FD"/>
    <w:rsid w:val="0041029D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538"/>
    <w:rsid w:val="0041479C"/>
    <w:rsid w:val="004160F2"/>
    <w:rsid w:val="00416787"/>
    <w:rsid w:val="004203CA"/>
    <w:rsid w:val="004208D7"/>
    <w:rsid w:val="00420CA2"/>
    <w:rsid w:val="00421878"/>
    <w:rsid w:val="00421F63"/>
    <w:rsid w:val="004223E0"/>
    <w:rsid w:val="004228EE"/>
    <w:rsid w:val="00422BB1"/>
    <w:rsid w:val="00422D87"/>
    <w:rsid w:val="0042325A"/>
    <w:rsid w:val="0042336F"/>
    <w:rsid w:val="004234EF"/>
    <w:rsid w:val="004242F2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12E5"/>
    <w:rsid w:val="00441545"/>
    <w:rsid w:val="004415FC"/>
    <w:rsid w:val="00441989"/>
    <w:rsid w:val="00442112"/>
    <w:rsid w:val="00442822"/>
    <w:rsid w:val="004437F3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8A3"/>
    <w:rsid w:val="004529D7"/>
    <w:rsid w:val="00452A11"/>
    <w:rsid w:val="00453BF4"/>
    <w:rsid w:val="00454526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977"/>
    <w:rsid w:val="00462DBA"/>
    <w:rsid w:val="00463202"/>
    <w:rsid w:val="004635B7"/>
    <w:rsid w:val="00463A9C"/>
    <w:rsid w:val="00464027"/>
    <w:rsid w:val="004641CB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7001D"/>
    <w:rsid w:val="00470535"/>
    <w:rsid w:val="00471183"/>
    <w:rsid w:val="0047123C"/>
    <w:rsid w:val="004714F6"/>
    <w:rsid w:val="0047289C"/>
    <w:rsid w:val="00472E22"/>
    <w:rsid w:val="00472F67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59A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4096"/>
    <w:rsid w:val="004A4277"/>
    <w:rsid w:val="004A4692"/>
    <w:rsid w:val="004A5707"/>
    <w:rsid w:val="004A669F"/>
    <w:rsid w:val="004A6842"/>
    <w:rsid w:val="004A6917"/>
    <w:rsid w:val="004A718C"/>
    <w:rsid w:val="004A7DBE"/>
    <w:rsid w:val="004A7F94"/>
    <w:rsid w:val="004B08AC"/>
    <w:rsid w:val="004B0D88"/>
    <w:rsid w:val="004B1053"/>
    <w:rsid w:val="004B17C0"/>
    <w:rsid w:val="004B1E3B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38E"/>
    <w:rsid w:val="004C792E"/>
    <w:rsid w:val="004C7FE6"/>
    <w:rsid w:val="004D1000"/>
    <w:rsid w:val="004D1D27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B1A"/>
    <w:rsid w:val="004D7CB1"/>
    <w:rsid w:val="004E0830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2FC"/>
    <w:rsid w:val="0050191C"/>
    <w:rsid w:val="00501EBE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A22"/>
    <w:rsid w:val="00510D8A"/>
    <w:rsid w:val="00511EBC"/>
    <w:rsid w:val="005125D5"/>
    <w:rsid w:val="005129CB"/>
    <w:rsid w:val="00512D51"/>
    <w:rsid w:val="00512E95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1439"/>
    <w:rsid w:val="0052175B"/>
    <w:rsid w:val="005218CD"/>
    <w:rsid w:val="0052195B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4F"/>
    <w:rsid w:val="0055339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146C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30E"/>
    <w:rsid w:val="005874CD"/>
    <w:rsid w:val="0058759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3155"/>
    <w:rsid w:val="0059353B"/>
    <w:rsid w:val="005938DB"/>
    <w:rsid w:val="005949FB"/>
    <w:rsid w:val="00594C1A"/>
    <w:rsid w:val="00594F3E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2074"/>
    <w:rsid w:val="005A24AE"/>
    <w:rsid w:val="005A2D7F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85E"/>
    <w:rsid w:val="005C78D5"/>
    <w:rsid w:val="005D00B6"/>
    <w:rsid w:val="005D101F"/>
    <w:rsid w:val="005D1247"/>
    <w:rsid w:val="005D1A6C"/>
    <w:rsid w:val="005D1D60"/>
    <w:rsid w:val="005D205D"/>
    <w:rsid w:val="005D2F54"/>
    <w:rsid w:val="005D33D2"/>
    <w:rsid w:val="005D353D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667"/>
    <w:rsid w:val="005E17B3"/>
    <w:rsid w:val="005E1AB9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C10"/>
    <w:rsid w:val="00611159"/>
    <w:rsid w:val="00611BA6"/>
    <w:rsid w:val="00612D19"/>
    <w:rsid w:val="0061330F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71E6"/>
    <w:rsid w:val="0061735F"/>
    <w:rsid w:val="00617B9C"/>
    <w:rsid w:val="00617D2F"/>
    <w:rsid w:val="006205E1"/>
    <w:rsid w:val="00620770"/>
    <w:rsid w:val="006208EE"/>
    <w:rsid w:val="0062091D"/>
    <w:rsid w:val="00620C44"/>
    <w:rsid w:val="0062100E"/>
    <w:rsid w:val="006211A5"/>
    <w:rsid w:val="006213A1"/>
    <w:rsid w:val="0062192E"/>
    <w:rsid w:val="006219BC"/>
    <w:rsid w:val="00621DD8"/>
    <w:rsid w:val="00622789"/>
    <w:rsid w:val="006233C1"/>
    <w:rsid w:val="00623A38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27F40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3C26"/>
    <w:rsid w:val="00643F85"/>
    <w:rsid w:val="006443B2"/>
    <w:rsid w:val="006443C2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58D"/>
    <w:rsid w:val="006507C0"/>
    <w:rsid w:val="00650C5E"/>
    <w:rsid w:val="00651147"/>
    <w:rsid w:val="0065131D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931"/>
    <w:rsid w:val="00676D0E"/>
    <w:rsid w:val="00676F0B"/>
    <w:rsid w:val="006773D1"/>
    <w:rsid w:val="006801BB"/>
    <w:rsid w:val="006802E3"/>
    <w:rsid w:val="00680CC6"/>
    <w:rsid w:val="0068241B"/>
    <w:rsid w:val="006835CE"/>
    <w:rsid w:val="00683604"/>
    <w:rsid w:val="00683889"/>
    <w:rsid w:val="006842A2"/>
    <w:rsid w:val="006848BB"/>
    <w:rsid w:val="00685075"/>
    <w:rsid w:val="00685339"/>
    <w:rsid w:val="00685469"/>
    <w:rsid w:val="00685597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D77"/>
    <w:rsid w:val="006944B8"/>
    <w:rsid w:val="00694706"/>
    <w:rsid w:val="00694763"/>
    <w:rsid w:val="00694A15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3FA6"/>
    <w:rsid w:val="006A43EA"/>
    <w:rsid w:val="006A471A"/>
    <w:rsid w:val="006A5290"/>
    <w:rsid w:val="006A5C90"/>
    <w:rsid w:val="006A61AC"/>
    <w:rsid w:val="006A777A"/>
    <w:rsid w:val="006A7AE9"/>
    <w:rsid w:val="006A7C9D"/>
    <w:rsid w:val="006B0264"/>
    <w:rsid w:val="006B123A"/>
    <w:rsid w:val="006B1E59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765D"/>
    <w:rsid w:val="006C0867"/>
    <w:rsid w:val="006C0FAD"/>
    <w:rsid w:val="006C12F3"/>
    <w:rsid w:val="006C14F6"/>
    <w:rsid w:val="006C1E36"/>
    <w:rsid w:val="006C215A"/>
    <w:rsid w:val="006C24C7"/>
    <w:rsid w:val="006C273C"/>
    <w:rsid w:val="006C374A"/>
    <w:rsid w:val="006C3A0F"/>
    <w:rsid w:val="006C3D97"/>
    <w:rsid w:val="006C476D"/>
    <w:rsid w:val="006C479E"/>
    <w:rsid w:val="006C482E"/>
    <w:rsid w:val="006C4A8F"/>
    <w:rsid w:val="006C57FE"/>
    <w:rsid w:val="006C5AB5"/>
    <w:rsid w:val="006C6E36"/>
    <w:rsid w:val="006C705E"/>
    <w:rsid w:val="006C7216"/>
    <w:rsid w:val="006C7266"/>
    <w:rsid w:val="006C74AE"/>
    <w:rsid w:val="006D045E"/>
    <w:rsid w:val="006D0B6D"/>
    <w:rsid w:val="006D0D77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46B"/>
    <w:rsid w:val="006D7902"/>
    <w:rsid w:val="006D7C9D"/>
    <w:rsid w:val="006D7D85"/>
    <w:rsid w:val="006E045E"/>
    <w:rsid w:val="006E09E9"/>
    <w:rsid w:val="006E0B1F"/>
    <w:rsid w:val="006E0B21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DBD"/>
    <w:rsid w:val="006F1E00"/>
    <w:rsid w:val="006F22D6"/>
    <w:rsid w:val="006F2B5D"/>
    <w:rsid w:val="006F301F"/>
    <w:rsid w:val="006F30C1"/>
    <w:rsid w:val="006F4841"/>
    <w:rsid w:val="006F5847"/>
    <w:rsid w:val="006F5B1A"/>
    <w:rsid w:val="006F5F76"/>
    <w:rsid w:val="006F679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855"/>
    <w:rsid w:val="00732873"/>
    <w:rsid w:val="007335F6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927"/>
    <w:rsid w:val="00737107"/>
    <w:rsid w:val="00737A4B"/>
    <w:rsid w:val="00740008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505F4"/>
    <w:rsid w:val="00750979"/>
    <w:rsid w:val="0075126E"/>
    <w:rsid w:val="00751313"/>
    <w:rsid w:val="007514AA"/>
    <w:rsid w:val="00751760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978"/>
    <w:rsid w:val="00760D42"/>
    <w:rsid w:val="007612D3"/>
    <w:rsid w:val="007623B0"/>
    <w:rsid w:val="00762A7D"/>
    <w:rsid w:val="00763B9E"/>
    <w:rsid w:val="00764588"/>
    <w:rsid w:val="007648FE"/>
    <w:rsid w:val="00764B39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8B"/>
    <w:rsid w:val="007756E4"/>
    <w:rsid w:val="00775F6A"/>
    <w:rsid w:val="00776874"/>
    <w:rsid w:val="0077726C"/>
    <w:rsid w:val="00777A41"/>
    <w:rsid w:val="00777AAB"/>
    <w:rsid w:val="00780FF9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67"/>
    <w:rsid w:val="00793D45"/>
    <w:rsid w:val="00794BF9"/>
    <w:rsid w:val="007951A2"/>
    <w:rsid w:val="00795E20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2CC7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1160"/>
    <w:rsid w:val="007F21B0"/>
    <w:rsid w:val="007F260E"/>
    <w:rsid w:val="007F2DE9"/>
    <w:rsid w:val="007F341B"/>
    <w:rsid w:val="007F3682"/>
    <w:rsid w:val="007F3AA2"/>
    <w:rsid w:val="007F3B45"/>
    <w:rsid w:val="007F3E3E"/>
    <w:rsid w:val="007F4786"/>
    <w:rsid w:val="007F4A9E"/>
    <w:rsid w:val="007F4ABC"/>
    <w:rsid w:val="007F4D45"/>
    <w:rsid w:val="007F510F"/>
    <w:rsid w:val="007F545B"/>
    <w:rsid w:val="007F59B2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B36"/>
    <w:rsid w:val="008240D3"/>
    <w:rsid w:val="0082488C"/>
    <w:rsid w:val="008251E7"/>
    <w:rsid w:val="00825417"/>
    <w:rsid w:val="00825732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A67"/>
    <w:rsid w:val="00836B56"/>
    <w:rsid w:val="00836CEB"/>
    <w:rsid w:val="00837BBD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44B"/>
    <w:rsid w:val="008505B8"/>
    <w:rsid w:val="00850908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3FC6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90139"/>
    <w:rsid w:val="0089160E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B46"/>
    <w:rsid w:val="00896474"/>
    <w:rsid w:val="00896DBC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FF0"/>
    <w:rsid w:val="008A2545"/>
    <w:rsid w:val="008A2636"/>
    <w:rsid w:val="008A35DB"/>
    <w:rsid w:val="008A3AF9"/>
    <w:rsid w:val="008A3FBE"/>
    <w:rsid w:val="008A4013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9D9"/>
    <w:rsid w:val="008C1A5E"/>
    <w:rsid w:val="008C1A81"/>
    <w:rsid w:val="008C1F3B"/>
    <w:rsid w:val="008C29FE"/>
    <w:rsid w:val="008C32CA"/>
    <w:rsid w:val="008C3953"/>
    <w:rsid w:val="008C3967"/>
    <w:rsid w:val="008C431E"/>
    <w:rsid w:val="008C4EC5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C7CE8"/>
    <w:rsid w:val="008D047D"/>
    <w:rsid w:val="008D067A"/>
    <w:rsid w:val="008D0B4C"/>
    <w:rsid w:val="008D0E55"/>
    <w:rsid w:val="008D14C4"/>
    <w:rsid w:val="008D1907"/>
    <w:rsid w:val="008D1964"/>
    <w:rsid w:val="008D1AD5"/>
    <w:rsid w:val="008D221A"/>
    <w:rsid w:val="008D24D6"/>
    <w:rsid w:val="008D24E1"/>
    <w:rsid w:val="008D3C1E"/>
    <w:rsid w:val="008D3E6A"/>
    <w:rsid w:val="008D4B22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BB3"/>
    <w:rsid w:val="00926E05"/>
    <w:rsid w:val="009271AB"/>
    <w:rsid w:val="00927281"/>
    <w:rsid w:val="009273B8"/>
    <w:rsid w:val="00927A20"/>
    <w:rsid w:val="00930216"/>
    <w:rsid w:val="00930298"/>
    <w:rsid w:val="009302A6"/>
    <w:rsid w:val="009302BA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2C2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F9F"/>
    <w:rsid w:val="00966141"/>
    <w:rsid w:val="009662EC"/>
    <w:rsid w:val="009663F2"/>
    <w:rsid w:val="00966611"/>
    <w:rsid w:val="009669CC"/>
    <w:rsid w:val="00967655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546"/>
    <w:rsid w:val="00976FCF"/>
    <w:rsid w:val="00977C5E"/>
    <w:rsid w:val="00980BAC"/>
    <w:rsid w:val="00980DF0"/>
    <w:rsid w:val="00980F3F"/>
    <w:rsid w:val="00981D1C"/>
    <w:rsid w:val="00981E59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37F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58"/>
    <w:rsid w:val="00997C19"/>
    <w:rsid w:val="009A023B"/>
    <w:rsid w:val="009A0415"/>
    <w:rsid w:val="009A04CD"/>
    <w:rsid w:val="009A177E"/>
    <w:rsid w:val="009A1AE9"/>
    <w:rsid w:val="009A22E6"/>
    <w:rsid w:val="009A2486"/>
    <w:rsid w:val="009A2690"/>
    <w:rsid w:val="009A3307"/>
    <w:rsid w:val="009A34FF"/>
    <w:rsid w:val="009A3520"/>
    <w:rsid w:val="009A3547"/>
    <w:rsid w:val="009A39FF"/>
    <w:rsid w:val="009A3CB5"/>
    <w:rsid w:val="009A3EAF"/>
    <w:rsid w:val="009A3F3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EB4"/>
    <w:rsid w:val="009B3F21"/>
    <w:rsid w:val="009B42BE"/>
    <w:rsid w:val="009B4E27"/>
    <w:rsid w:val="009B4F77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86A"/>
    <w:rsid w:val="009C3E9C"/>
    <w:rsid w:val="009C4118"/>
    <w:rsid w:val="009C4A32"/>
    <w:rsid w:val="009C63AB"/>
    <w:rsid w:val="009C69D0"/>
    <w:rsid w:val="009C69F4"/>
    <w:rsid w:val="009C7163"/>
    <w:rsid w:val="009C77A3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6DA4"/>
    <w:rsid w:val="009D7970"/>
    <w:rsid w:val="009E065B"/>
    <w:rsid w:val="009E14B2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1A6"/>
    <w:rsid w:val="009E725F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CDA"/>
    <w:rsid w:val="009F517F"/>
    <w:rsid w:val="009F59BF"/>
    <w:rsid w:val="009F5F68"/>
    <w:rsid w:val="009F776E"/>
    <w:rsid w:val="00A00F42"/>
    <w:rsid w:val="00A01519"/>
    <w:rsid w:val="00A0195A"/>
    <w:rsid w:val="00A01AB3"/>
    <w:rsid w:val="00A01C96"/>
    <w:rsid w:val="00A02D3C"/>
    <w:rsid w:val="00A032EA"/>
    <w:rsid w:val="00A03952"/>
    <w:rsid w:val="00A0408F"/>
    <w:rsid w:val="00A04B44"/>
    <w:rsid w:val="00A04E68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A1"/>
    <w:rsid w:val="00A10D8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5566"/>
    <w:rsid w:val="00A1576F"/>
    <w:rsid w:val="00A15B2D"/>
    <w:rsid w:val="00A16297"/>
    <w:rsid w:val="00A163CD"/>
    <w:rsid w:val="00A16778"/>
    <w:rsid w:val="00A169F6"/>
    <w:rsid w:val="00A16B57"/>
    <w:rsid w:val="00A17C81"/>
    <w:rsid w:val="00A20224"/>
    <w:rsid w:val="00A21424"/>
    <w:rsid w:val="00A21997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B3"/>
    <w:rsid w:val="00A31C3A"/>
    <w:rsid w:val="00A31D00"/>
    <w:rsid w:val="00A32051"/>
    <w:rsid w:val="00A32AE0"/>
    <w:rsid w:val="00A32B77"/>
    <w:rsid w:val="00A32BB4"/>
    <w:rsid w:val="00A33CCF"/>
    <w:rsid w:val="00A35B3D"/>
    <w:rsid w:val="00A35D65"/>
    <w:rsid w:val="00A36CF6"/>
    <w:rsid w:val="00A36EC5"/>
    <w:rsid w:val="00A377A2"/>
    <w:rsid w:val="00A37EDA"/>
    <w:rsid w:val="00A4035D"/>
    <w:rsid w:val="00A41358"/>
    <w:rsid w:val="00A413A3"/>
    <w:rsid w:val="00A43270"/>
    <w:rsid w:val="00A438F1"/>
    <w:rsid w:val="00A43FF0"/>
    <w:rsid w:val="00A441F0"/>
    <w:rsid w:val="00A4539E"/>
    <w:rsid w:val="00A46080"/>
    <w:rsid w:val="00A461CB"/>
    <w:rsid w:val="00A46672"/>
    <w:rsid w:val="00A46C6C"/>
    <w:rsid w:val="00A46EB1"/>
    <w:rsid w:val="00A47127"/>
    <w:rsid w:val="00A47A54"/>
    <w:rsid w:val="00A47C59"/>
    <w:rsid w:val="00A5019B"/>
    <w:rsid w:val="00A503E8"/>
    <w:rsid w:val="00A506A4"/>
    <w:rsid w:val="00A50FEC"/>
    <w:rsid w:val="00A51FC3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C9A"/>
    <w:rsid w:val="00A57F15"/>
    <w:rsid w:val="00A60066"/>
    <w:rsid w:val="00A60179"/>
    <w:rsid w:val="00A61782"/>
    <w:rsid w:val="00A6179E"/>
    <w:rsid w:val="00A61DBD"/>
    <w:rsid w:val="00A61FDA"/>
    <w:rsid w:val="00A62E3E"/>
    <w:rsid w:val="00A63850"/>
    <w:rsid w:val="00A6449B"/>
    <w:rsid w:val="00A64787"/>
    <w:rsid w:val="00A648E9"/>
    <w:rsid w:val="00A64C82"/>
    <w:rsid w:val="00A6654A"/>
    <w:rsid w:val="00A666BD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941"/>
    <w:rsid w:val="00A834D6"/>
    <w:rsid w:val="00A83DBC"/>
    <w:rsid w:val="00A84746"/>
    <w:rsid w:val="00A847AE"/>
    <w:rsid w:val="00A849DC"/>
    <w:rsid w:val="00A84D2C"/>
    <w:rsid w:val="00A85084"/>
    <w:rsid w:val="00A855FE"/>
    <w:rsid w:val="00A85836"/>
    <w:rsid w:val="00A85E79"/>
    <w:rsid w:val="00A85F29"/>
    <w:rsid w:val="00A8613B"/>
    <w:rsid w:val="00A86203"/>
    <w:rsid w:val="00A864C8"/>
    <w:rsid w:val="00A86D62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738"/>
    <w:rsid w:val="00A94084"/>
    <w:rsid w:val="00A9446E"/>
    <w:rsid w:val="00A94940"/>
    <w:rsid w:val="00A95EE6"/>
    <w:rsid w:val="00A96852"/>
    <w:rsid w:val="00A96C21"/>
    <w:rsid w:val="00A973FB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515"/>
    <w:rsid w:val="00AA567F"/>
    <w:rsid w:val="00AA583C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C10"/>
    <w:rsid w:val="00AB1D81"/>
    <w:rsid w:val="00AB2082"/>
    <w:rsid w:val="00AB212D"/>
    <w:rsid w:val="00AB32C1"/>
    <w:rsid w:val="00AB3552"/>
    <w:rsid w:val="00AB49C3"/>
    <w:rsid w:val="00AB55F8"/>
    <w:rsid w:val="00AB5A52"/>
    <w:rsid w:val="00AB5DF2"/>
    <w:rsid w:val="00AB6C4D"/>
    <w:rsid w:val="00AB6F59"/>
    <w:rsid w:val="00AB7736"/>
    <w:rsid w:val="00AB7866"/>
    <w:rsid w:val="00AC0037"/>
    <w:rsid w:val="00AC1D3B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3D9"/>
    <w:rsid w:val="00AF290E"/>
    <w:rsid w:val="00AF29FA"/>
    <w:rsid w:val="00AF37D5"/>
    <w:rsid w:val="00AF381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DD"/>
    <w:rsid w:val="00B00F8C"/>
    <w:rsid w:val="00B00FEC"/>
    <w:rsid w:val="00B02145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DB9"/>
    <w:rsid w:val="00B160E0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32C"/>
    <w:rsid w:val="00B3275B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0163"/>
    <w:rsid w:val="00B40F28"/>
    <w:rsid w:val="00B4106F"/>
    <w:rsid w:val="00B41BE7"/>
    <w:rsid w:val="00B42006"/>
    <w:rsid w:val="00B424F7"/>
    <w:rsid w:val="00B42568"/>
    <w:rsid w:val="00B4316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E07"/>
    <w:rsid w:val="00B53B4E"/>
    <w:rsid w:val="00B53BBE"/>
    <w:rsid w:val="00B53C5F"/>
    <w:rsid w:val="00B54BD8"/>
    <w:rsid w:val="00B5596C"/>
    <w:rsid w:val="00B5613E"/>
    <w:rsid w:val="00B569B2"/>
    <w:rsid w:val="00B569EC"/>
    <w:rsid w:val="00B56FBD"/>
    <w:rsid w:val="00B5715A"/>
    <w:rsid w:val="00B57327"/>
    <w:rsid w:val="00B6002D"/>
    <w:rsid w:val="00B6010B"/>
    <w:rsid w:val="00B60C9F"/>
    <w:rsid w:val="00B61145"/>
    <w:rsid w:val="00B61262"/>
    <w:rsid w:val="00B6210A"/>
    <w:rsid w:val="00B6220A"/>
    <w:rsid w:val="00B62598"/>
    <w:rsid w:val="00B629F3"/>
    <w:rsid w:val="00B640CF"/>
    <w:rsid w:val="00B64227"/>
    <w:rsid w:val="00B65476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40BB"/>
    <w:rsid w:val="00B84C9F"/>
    <w:rsid w:val="00B8525F"/>
    <w:rsid w:val="00B856E9"/>
    <w:rsid w:val="00B85774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D97"/>
    <w:rsid w:val="00B94392"/>
    <w:rsid w:val="00B94511"/>
    <w:rsid w:val="00B94A8E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5BB"/>
    <w:rsid w:val="00BB2E7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BAC"/>
    <w:rsid w:val="00BC08D8"/>
    <w:rsid w:val="00BC08FC"/>
    <w:rsid w:val="00BC0F7C"/>
    <w:rsid w:val="00BC202D"/>
    <w:rsid w:val="00BC213B"/>
    <w:rsid w:val="00BC2964"/>
    <w:rsid w:val="00BC3112"/>
    <w:rsid w:val="00BC3776"/>
    <w:rsid w:val="00BC3D8E"/>
    <w:rsid w:val="00BC3E7F"/>
    <w:rsid w:val="00BC41B5"/>
    <w:rsid w:val="00BC4212"/>
    <w:rsid w:val="00BC4C63"/>
    <w:rsid w:val="00BC4E1D"/>
    <w:rsid w:val="00BC54D1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35B9"/>
    <w:rsid w:val="00BD36EC"/>
    <w:rsid w:val="00BD4A52"/>
    <w:rsid w:val="00BD51CA"/>
    <w:rsid w:val="00BD5CD2"/>
    <w:rsid w:val="00BD6495"/>
    <w:rsid w:val="00BD6785"/>
    <w:rsid w:val="00BD77DE"/>
    <w:rsid w:val="00BD79C2"/>
    <w:rsid w:val="00BE1F2E"/>
    <w:rsid w:val="00BE1FA7"/>
    <w:rsid w:val="00BE2AD7"/>
    <w:rsid w:val="00BE2BAA"/>
    <w:rsid w:val="00BE34B4"/>
    <w:rsid w:val="00BE4F8D"/>
    <w:rsid w:val="00BE590A"/>
    <w:rsid w:val="00BE65FF"/>
    <w:rsid w:val="00BE770F"/>
    <w:rsid w:val="00BE778C"/>
    <w:rsid w:val="00BE7A3F"/>
    <w:rsid w:val="00BF01D4"/>
    <w:rsid w:val="00BF1780"/>
    <w:rsid w:val="00BF1C7B"/>
    <w:rsid w:val="00BF20FB"/>
    <w:rsid w:val="00BF2997"/>
    <w:rsid w:val="00BF32E5"/>
    <w:rsid w:val="00BF433F"/>
    <w:rsid w:val="00BF4C22"/>
    <w:rsid w:val="00BF4CD1"/>
    <w:rsid w:val="00BF4DD7"/>
    <w:rsid w:val="00BF51E4"/>
    <w:rsid w:val="00BF5691"/>
    <w:rsid w:val="00BF6043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3041"/>
    <w:rsid w:val="00C03815"/>
    <w:rsid w:val="00C041F4"/>
    <w:rsid w:val="00C04C59"/>
    <w:rsid w:val="00C0524E"/>
    <w:rsid w:val="00C05428"/>
    <w:rsid w:val="00C058A3"/>
    <w:rsid w:val="00C05E05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819"/>
    <w:rsid w:val="00C13CCA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26D1"/>
    <w:rsid w:val="00C23BBD"/>
    <w:rsid w:val="00C24021"/>
    <w:rsid w:val="00C2455C"/>
    <w:rsid w:val="00C24638"/>
    <w:rsid w:val="00C24970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601"/>
    <w:rsid w:val="00C54E26"/>
    <w:rsid w:val="00C56A84"/>
    <w:rsid w:val="00C575E8"/>
    <w:rsid w:val="00C5777E"/>
    <w:rsid w:val="00C57EB0"/>
    <w:rsid w:val="00C60984"/>
    <w:rsid w:val="00C60E33"/>
    <w:rsid w:val="00C60ED4"/>
    <w:rsid w:val="00C6111A"/>
    <w:rsid w:val="00C61623"/>
    <w:rsid w:val="00C61801"/>
    <w:rsid w:val="00C618DF"/>
    <w:rsid w:val="00C62FF2"/>
    <w:rsid w:val="00C643D2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70B20"/>
    <w:rsid w:val="00C70B38"/>
    <w:rsid w:val="00C70B43"/>
    <w:rsid w:val="00C710D1"/>
    <w:rsid w:val="00C71716"/>
    <w:rsid w:val="00C71A56"/>
    <w:rsid w:val="00C72B8E"/>
    <w:rsid w:val="00C72E3A"/>
    <w:rsid w:val="00C730CC"/>
    <w:rsid w:val="00C74EAB"/>
    <w:rsid w:val="00C7532A"/>
    <w:rsid w:val="00C75721"/>
    <w:rsid w:val="00C760A6"/>
    <w:rsid w:val="00C762B7"/>
    <w:rsid w:val="00C7635F"/>
    <w:rsid w:val="00C76825"/>
    <w:rsid w:val="00C77C4B"/>
    <w:rsid w:val="00C77C5D"/>
    <w:rsid w:val="00C77D50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26F7"/>
    <w:rsid w:val="00C93188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75F"/>
    <w:rsid w:val="00CA6856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DA4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2D69"/>
    <w:rsid w:val="00CD3795"/>
    <w:rsid w:val="00CD387C"/>
    <w:rsid w:val="00CD474C"/>
    <w:rsid w:val="00CD49A8"/>
    <w:rsid w:val="00CD4CC0"/>
    <w:rsid w:val="00CD5589"/>
    <w:rsid w:val="00CD5CCC"/>
    <w:rsid w:val="00CD6B16"/>
    <w:rsid w:val="00CD6B5E"/>
    <w:rsid w:val="00CD6CB1"/>
    <w:rsid w:val="00CD7422"/>
    <w:rsid w:val="00CE02A5"/>
    <w:rsid w:val="00CE0950"/>
    <w:rsid w:val="00CE0FC5"/>
    <w:rsid w:val="00CE11D8"/>
    <w:rsid w:val="00CE1648"/>
    <w:rsid w:val="00CE1A90"/>
    <w:rsid w:val="00CE1C5C"/>
    <w:rsid w:val="00CE1CA9"/>
    <w:rsid w:val="00CE1E07"/>
    <w:rsid w:val="00CE24A9"/>
    <w:rsid w:val="00CE2567"/>
    <w:rsid w:val="00CE2721"/>
    <w:rsid w:val="00CE2A65"/>
    <w:rsid w:val="00CE3037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C5C"/>
    <w:rsid w:val="00CE72F6"/>
    <w:rsid w:val="00CE76C2"/>
    <w:rsid w:val="00CE7FF2"/>
    <w:rsid w:val="00CF0E8B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BCC"/>
    <w:rsid w:val="00CF52EB"/>
    <w:rsid w:val="00CF585D"/>
    <w:rsid w:val="00CF5A50"/>
    <w:rsid w:val="00CF5CA8"/>
    <w:rsid w:val="00CF5CB5"/>
    <w:rsid w:val="00CF61C3"/>
    <w:rsid w:val="00CF72BD"/>
    <w:rsid w:val="00CF767E"/>
    <w:rsid w:val="00CF78C0"/>
    <w:rsid w:val="00D003F6"/>
    <w:rsid w:val="00D008BE"/>
    <w:rsid w:val="00D015A8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56E9"/>
    <w:rsid w:val="00D05CB6"/>
    <w:rsid w:val="00D06325"/>
    <w:rsid w:val="00D06FC8"/>
    <w:rsid w:val="00D07684"/>
    <w:rsid w:val="00D076A6"/>
    <w:rsid w:val="00D07F59"/>
    <w:rsid w:val="00D104B2"/>
    <w:rsid w:val="00D10986"/>
    <w:rsid w:val="00D11BB2"/>
    <w:rsid w:val="00D12473"/>
    <w:rsid w:val="00D12F1F"/>
    <w:rsid w:val="00D13207"/>
    <w:rsid w:val="00D13358"/>
    <w:rsid w:val="00D1342C"/>
    <w:rsid w:val="00D142FA"/>
    <w:rsid w:val="00D14638"/>
    <w:rsid w:val="00D14873"/>
    <w:rsid w:val="00D14C06"/>
    <w:rsid w:val="00D14CA9"/>
    <w:rsid w:val="00D14DAF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51E6"/>
    <w:rsid w:val="00D259B0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61B"/>
    <w:rsid w:val="00D4205A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6605"/>
    <w:rsid w:val="00D875D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925"/>
    <w:rsid w:val="00D94E5E"/>
    <w:rsid w:val="00D94F2C"/>
    <w:rsid w:val="00D95D5B"/>
    <w:rsid w:val="00D96138"/>
    <w:rsid w:val="00D965AB"/>
    <w:rsid w:val="00D96B07"/>
    <w:rsid w:val="00D96BD2"/>
    <w:rsid w:val="00D96CDB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7645"/>
    <w:rsid w:val="00DA7E15"/>
    <w:rsid w:val="00DA7FC8"/>
    <w:rsid w:val="00DB02FF"/>
    <w:rsid w:val="00DB10BD"/>
    <w:rsid w:val="00DB1433"/>
    <w:rsid w:val="00DB197C"/>
    <w:rsid w:val="00DB1AAF"/>
    <w:rsid w:val="00DB25D2"/>
    <w:rsid w:val="00DB26B5"/>
    <w:rsid w:val="00DB3753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58A"/>
    <w:rsid w:val="00DC1889"/>
    <w:rsid w:val="00DC1CA3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C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A2A"/>
    <w:rsid w:val="00DD5B2E"/>
    <w:rsid w:val="00DD662B"/>
    <w:rsid w:val="00DD6C92"/>
    <w:rsid w:val="00DD7897"/>
    <w:rsid w:val="00DE01AB"/>
    <w:rsid w:val="00DE01CA"/>
    <w:rsid w:val="00DE04EA"/>
    <w:rsid w:val="00DE0B85"/>
    <w:rsid w:val="00DE0D66"/>
    <w:rsid w:val="00DE12BD"/>
    <w:rsid w:val="00DE1532"/>
    <w:rsid w:val="00DE179B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62"/>
    <w:rsid w:val="00DF1956"/>
    <w:rsid w:val="00DF1AD2"/>
    <w:rsid w:val="00DF1D62"/>
    <w:rsid w:val="00DF2170"/>
    <w:rsid w:val="00DF273F"/>
    <w:rsid w:val="00DF2FC2"/>
    <w:rsid w:val="00DF3D62"/>
    <w:rsid w:val="00DF473C"/>
    <w:rsid w:val="00DF50E7"/>
    <w:rsid w:val="00DF572E"/>
    <w:rsid w:val="00DF596A"/>
    <w:rsid w:val="00DF6125"/>
    <w:rsid w:val="00DF6DA6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B4F"/>
    <w:rsid w:val="00E05DAA"/>
    <w:rsid w:val="00E06FD6"/>
    <w:rsid w:val="00E074C1"/>
    <w:rsid w:val="00E07B79"/>
    <w:rsid w:val="00E07CDC"/>
    <w:rsid w:val="00E1006A"/>
    <w:rsid w:val="00E104B0"/>
    <w:rsid w:val="00E104CA"/>
    <w:rsid w:val="00E105B9"/>
    <w:rsid w:val="00E1079E"/>
    <w:rsid w:val="00E10909"/>
    <w:rsid w:val="00E10F6A"/>
    <w:rsid w:val="00E112FA"/>
    <w:rsid w:val="00E12CED"/>
    <w:rsid w:val="00E13D2C"/>
    <w:rsid w:val="00E13EE3"/>
    <w:rsid w:val="00E148CD"/>
    <w:rsid w:val="00E14E22"/>
    <w:rsid w:val="00E14FF5"/>
    <w:rsid w:val="00E15713"/>
    <w:rsid w:val="00E163B7"/>
    <w:rsid w:val="00E16682"/>
    <w:rsid w:val="00E1678A"/>
    <w:rsid w:val="00E168DB"/>
    <w:rsid w:val="00E17549"/>
    <w:rsid w:val="00E17A22"/>
    <w:rsid w:val="00E17BAE"/>
    <w:rsid w:val="00E17CC3"/>
    <w:rsid w:val="00E17E85"/>
    <w:rsid w:val="00E17E99"/>
    <w:rsid w:val="00E2002A"/>
    <w:rsid w:val="00E2055A"/>
    <w:rsid w:val="00E21F2D"/>
    <w:rsid w:val="00E221A4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A1E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5F0"/>
    <w:rsid w:val="00E479BA"/>
    <w:rsid w:val="00E479FF"/>
    <w:rsid w:val="00E51392"/>
    <w:rsid w:val="00E515B1"/>
    <w:rsid w:val="00E51662"/>
    <w:rsid w:val="00E5269A"/>
    <w:rsid w:val="00E535D1"/>
    <w:rsid w:val="00E536FC"/>
    <w:rsid w:val="00E539DB"/>
    <w:rsid w:val="00E53AA6"/>
    <w:rsid w:val="00E53C6C"/>
    <w:rsid w:val="00E53CB2"/>
    <w:rsid w:val="00E53D6A"/>
    <w:rsid w:val="00E5424C"/>
    <w:rsid w:val="00E54898"/>
    <w:rsid w:val="00E55558"/>
    <w:rsid w:val="00E55BB8"/>
    <w:rsid w:val="00E56344"/>
    <w:rsid w:val="00E57A7C"/>
    <w:rsid w:val="00E57CCA"/>
    <w:rsid w:val="00E57E87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F32"/>
    <w:rsid w:val="00E71198"/>
    <w:rsid w:val="00E719A2"/>
    <w:rsid w:val="00E71E4F"/>
    <w:rsid w:val="00E72486"/>
    <w:rsid w:val="00E724EF"/>
    <w:rsid w:val="00E7264E"/>
    <w:rsid w:val="00E72651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EC9"/>
    <w:rsid w:val="00E865AD"/>
    <w:rsid w:val="00E86BAE"/>
    <w:rsid w:val="00E876A3"/>
    <w:rsid w:val="00E87DC5"/>
    <w:rsid w:val="00E903A5"/>
    <w:rsid w:val="00E90A19"/>
    <w:rsid w:val="00E91460"/>
    <w:rsid w:val="00E915F1"/>
    <w:rsid w:val="00E91C42"/>
    <w:rsid w:val="00E92341"/>
    <w:rsid w:val="00E92EA9"/>
    <w:rsid w:val="00E93635"/>
    <w:rsid w:val="00E94F06"/>
    <w:rsid w:val="00E95243"/>
    <w:rsid w:val="00E956CB"/>
    <w:rsid w:val="00E960B8"/>
    <w:rsid w:val="00E96AEE"/>
    <w:rsid w:val="00E96D1C"/>
    <w:rsid w:val="00E97103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893"/>
    <w:rsid w:val="00EA3BA1"/>
    <w:rsid w:val="00EA424E"/>
    <w:rsid w:val="00EA449C"/>
    <w:rsid w:val="00EA4F1E"/>
    <w:rsid w:val="00EA4F7D"/>
    <w:rsid w:val="00EA57B8"/>
    <w:rsid w:val="00EA5F9C"/>
    <w:rsid w:val="00EA633B"/>
    <w:rsid w:val="00EA659C"/>
    <w:rsid w:val="00EA7206"/>
    <w:rsid w:val="00EB0A68"/>
    <w:rsid w:val="00EB0E6A"/>
    <w:rsid w:val="00EB0FE6"/>
    <w:rsid w:val="00EB1609"/>
    <w:rsid w:val="00EB16EB"/>
    <w:rsid w:val="00EB182C"/>
    <w:rsid w:val="00EB19D9"/>
    <w:rsid w:val="00EB2287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219"/>
    <w:rsid w:val="00EC3713"/>
    <w:rsid w:val="00EC37A0"/>
    <w:rsid w:val="00EC3FA5"/>
    <w:rsid w:val="00EC45C9"/>
    <w:rsid w:val="00EC552D"/>
    <w:rsid w:val="00EC5B93"/>
    <w:rsid w:val="00EC774B"/>
    <w:rsid w:val="00ED0690"/>
    <w:rsid w:val="00ED13EB"/>
    <w:rsid w:val="00ED1462"/>
    <w:rsid w:val="00ED14A1"/>
    <w:rsid w:val="00ED17FA"/>
    <w:rsid w:val="00ED1856"/>
    <w:rsid w:val="00ED24B6"/>
    <w:rsid w:val="00ED25D2"/>
    <w:rsid w:val="00ED35C0"/>
    <w:rsid w:val="00ED3F38"/>
    <w:rsid w:val="00ED4124"/>
    <w:rsid w:val="00ED4C60"/>
    <w:rsid w:val="00ED5030"/>
    <w:rsid w:val="00ED547D"/>
    <w:rsid w:val="00ED596C"/>
    <w:rsid w:val="00ED5ACF"/>
    <w:rsid w:val="00ED5D88"/>
    <w:rsid w:val="00ED6B34"/>
    <w:rsid w:val="00EE0174"/>
    <w:rsid w:val="00EE01D1"/>
    <w:rsid w:val="00EE083C"/>
    <w:rsid w:val="00EE0D6A"/>
    <w:rsid w:val="00EE12E9"/>
    <w:rsid w:val="00EE13A7"/>
    <w:rsid w:val="00EE27C2"/>
    <w:rsid w:val="00EE2B55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7096"/>
    <w:rsid w:val="00F005E5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618"/>
    <w:rsid w:val="00F0595E"/>
    <w:rsid w:val="00F05A7B"/>
    <w:rsid w:val="00F0622D"/>
    <w:rsid w:val="00F06454"/>
    <w:rsid w:val="00F06CB2"/>
    <w:rsid w:val="00F06E72"/>
    <w:rsid w:val="00F07C8A"/>
    <w:rsid w:val="00F07D8B"/>
    <w:rsid w:val="00F104D0"/>
    <w:rsid w:val="00F105A3"/>
    <w:rsid w:val="00F10840"/>
    <w:rsid w:val="00F116E1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2D7"/>
    <w:rsid w:val="00F223BD"/>
    <w:rsid w:val="00F223EA"/>
    <w:rsid w:val="00F22A7C"/>
    <w:rsid w:val="00F22EE2"/>
    <w:rsid w:val="00F232DA"/>
    <w:rsid w:val="00F23613"/>
    <w:rsid w:val="00F24874"/>
    <w:rsid w:val="00F24980"/>
    <w:rsid w:val="00F24B20"/>
    <w:rsid w:val="00F24EF6"/>
    <w:rsid w:val="00F25C36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DD9"/>
    <w:rsid w:val="00F443B0"/>
    <w:rsid w:val="00F444E7"/>
    <w:rsid w:val="00F447EA"/>
    <w:rsid w:val="00F44943"/>
    <w:rsid w:val="00F44DC4"/>
    <w:rsid w:val="00F453DF"/>
    <w:rsid w:val="00F46096"/>
    <w:rsid w:val="00F4680D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942"/>
    <w:rsid w:val="00F64A0B"/>
    <w:rsid w:val="00F650F5"/>
    <w:rsid w:val="00F6557B"/>
    <w:rsid w:val="00F65A81"/>
    <w:rsid w:val="00F666B5"/>
    <w:rsid w:val="00F67275"/>
    <w:rsid w:val="00F67EF9"/>
    <w:rsid w:val="00F705EB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3137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6769"/>
    <w:rsid w:val="00F8676D"/>
    <w:rsid w:val="00F86BC4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0CD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97AD7"/>
    <w:rsid w:val="00FA008C"/>
    <w:rsid w:val="00FA0431"/>
    <w:rsid w:val="00FA0577"/>
    <w:rsid w:val="00FA086C"/>
    <w:rsid w:val="00FA0870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2265"/>
    <w:rsid w:val="00FF3496"/>
    <w:rsid w:val="00FF3CA1"/>
    <w:rsid w:val="00FF4177"/>
    <w:rsid w:val="00FF4675"/>
    <w:rsid w:val="00FF48C8"/>
    <w:rsid w:val="00FF792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E96F7A3B-95FF-4CD3-851A-0AFCF3F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344C8E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C8E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9" Type="http://schemas.openxmlformats.org/officeDocument/2006/relationships/theme" Target="theme/theme1.xml"/><Relationship Id="rId21" Type="http://schemas.openxmlformats.org/officeDocument/2006/relationships/footer" Target="footer1.xml"/><Relationship Id="rId34" Type="http://schemas.openxmlformats.org/officeDocument/2006/relationships/hyperlink" Target="http://www.inegi.org.mx/programas/emoe/201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chart" Target="charts/chart5.xml"/><Relationship Id="rId33" Type="http://schemas.openxmlformats.org/officeDocument/2006/relationships/hyperlink" Target="http://www.inegi.org.mx/temas/pedidosman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inegi.org.mx/programas/emoe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chart" Target="charts/chart4.xml"/><Relationship Id="rId32" Type="http://schemas.openxmlformats.org/officeDocument/2006/relationships/image" Target="media/image8.gi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eader" Target="head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yperlink" Target="http://www.inegi.org.mx/sistemas/bie/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4"/>
                <c:pt idx="0">
                  <c:v>51.3255699426714</c:v>
                </c:pt>
                <c:pt idx="1">
                  <c:v>51.848792283874502</c:v>
                </c:pt>
                <c:pt idx="2">
                  <c:v>52.700381757669803</c:v>
                </c:pt>
                <c:pt idx="3">
                  <c:v>51.580005253435601</c:v>
                </c:pt>
                <c:pt idx="4">
                  <c:v>51.528188985749701</c:v>
                </c:pt>
                <c:pt idx="5">
                  <c:v>51.546849879320199</c:v>
                </c:pt>
                <c:pt idx="6">
                  <c:v>51.826940764434397</c:v>
                </c:pt>
                <c:pt idx="7">
                  <c:v>51.418746479148801</c:v>
                </c:pt>
                <c:pt idx="8">
                  <c:v>51.588662307469903</c:v>
                </c:pt>
                <c:pt idx="9">
                  <c:v>51.298703472978502</c:v>
                </c:pt>
                <c:pt idx="10">
                  <c:v>51.2335482961822</c:v>
                </c:pt>
                <c:pt idx="11">
                  <c:v>51.293496085346398</c:v>
                </c:pt>
                <c:pt idx="12">
                  <c:v>51.464365193738097</c:v>
                </c:pt>
                <c:pt idx="13">
                  <c:v>51.921743021275603</c:v>
                </c:pt>
                <c:pt idx="14">
                  <c:v>51.650483850151403</c:v>
                </c:pt>
                <c:pt idx="15">
                  <c:v>52.914868254168297</c:v>
                </c:pt>
                <c:pt idx="16">
                  <c:v>51.897282486903997</c:v>
                </c:pt>
                <c:pt idx="17">
                  <c:v>51.9929002496999</c:v>
                </c:pt>
                <c:pt idx="18">
                  <c:v>49.975052323078998</c:v>
                </c:pt>
                <c:pt idx="19">
                  <c:v>50.604740527416197</c:v>
                </c:pt>
                <c:pt idx="20">
                  <c:v>50.600126950628997</c:v>
                </c:pt>
                <c:pt idx="21">
                  <c:v>50.224225245725201</c:v>
                </c:pt>
                <c:pt idx="22">
                  <c:v>50.069675277707397</c:v>
                </c:pt>
                <c:pt idx="23">
                  <c:v>49.659996283724396</c:v>
                </c:pt>
                <c:pt idx="24">
                  <c:v>49.822614768951098</c:v>
                </c:pt>
                <c:pt idx="25">
                  <c:v>50.192454541892303</c:v>
                </c:pt>
                <c:pt idx="26">
                  <c:v>47.439136945838001</c:v>
                </c:pt>
                <c:pt idx="27">
                  <c:v>42.642597749006697</c:v>
                </c:pt>
                <c:pt idx="28">
                  <c:v>39.309031579190503</c:v>
                </c:pt>
                <c:pt idx="29">
                  <c:v>49.349511032783496</c:v>
                </c:pt>
                <c:pt idx="30">
                  <c:v>49.8438573290764</c:v>
                </c:pt>
                <c:pt idx="31">
                  <c:v>50.379681085775502</c:v>
                </c:pt>
                <c:pt idx="32">
                  <c:v>50.0053517136922</c:v>
                </c:pt>
                <c:pt idx="33">
                  <c:v>50.883616335796603</c:v>
                </c:pt>
                <c:pt idx="34">
                  <c:v>50.730450587206199</c:v>
                </c:pt>
                <c:pt idx="35">
                  <c:v>51.259007657996399</c:v>
                </c:pt>
                <c:pt idx="36">
                  <c:v>51.638432677060599</c:v>
                </c:pt>
                <c:pt idx="37">
                  <c:v>50.147165271852302</c:v>
                </c:pt>
                <c:pt idx="38">
                  <c:v>51.741867924052201</c:v>
                </c:pt>
                <c:pt idx="39">
                  <c:v>50.668346175449201</c:v>
                </c:pt>
                <c:pt idx="40">
                  <c:v>51.1167221930369</c:v>
                </c:pt>
                <c:pt idx="41">
                  <c:v>51.824327594092303</c:v>
                </c:pt>
                <c:pt idx="42">
                  <c:v>52.3151831364234</c:v>
                </c:pt>
                <c:pt idx="43">
                  <c:v>52.5808223685505</c:v>
                </c:pt>
                <c:pt idx="44">
                  <c:v>52.784074539267102</c:v>
                </c:pt>
                <c:pt idx="45">
                  <c:v>52.602059076604199</c:v>
                </c:pt>
                <c:pt idx="46">
                  <c:v>52.8787137811088</c:v>
                </c:pt>
                <c:pt idx="47">
                  <c:v>52.379515357666897</c:v>
                </c:pt>
                <c:pt idx="48">
                  <c:v>51.062632419893198</c:v>
                </c:pt>
                <c:pt idx="49">
                  <c:v>52.529732222482302</c:v>
                </c:pt>
                <c:pt idx="50">
                  <c:v>53.820835094571898</c:v>
                </c:pt>
                <c:pt idx="51">
                  <c:v>53.287966807379803</c:v>
                </c:pt>
                <c:pt idx="52">
                  <c:v>53.490501813908502</c:v>
                </c:pt>
                <c:pt idx="53">
                  <c:v>51.984751641448398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02-4113-A582-DF0B9B039E6E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4"/>
                <c:pt idx="0">
                  <c:v>51.623741539109801</c:v>
                </c:pt>
                <c:pt idx="1">
                  <c:v>51.622870698960803</c:v>
                </c:pt>
                <c:pt idx="2">
                  <c:v>51.623690438933998</c:v>
                </c:pt>
                <c:pt idx="3">
                  <c:v>51.621150006979398</c:v>
                </c:pt>
                <c:pt idx="4">
                  <c:v>51.620834723875703</c:v>
                </c:pt>
                <c:pt idx="5">
                  <c:v>51.6137200446218</c:v>
                </c:pt>
                <c:pt idx="6">
                  <c:v>51.580485754127999</c:v>
                </c:pt>
                <c:pt idx="7">
                  <c:v>51.5130669241627</c:v>
                </c:pt>
                <c:pt idx="8">
                  <c:v>51.439352867833897</c:v>
                </c:pt>
                <c:pt idx="9">
                  <c:v>51.372409682155599</c:v>
                </c:pt>
                <c:pt idx="10">
                  <c:v>51.352919095248097</c:v>
                </c:pt>
                <c:pt idx="11">
                  <c:v>51.403201676168997</c:v>
                </c:pt>
                <c:pt idx="12">
                  <c:v>51.533285817918497</c:v>
                </c:pt>
                <c:pt idx="13">
                  <c:v>51.714463314506801</c:v>
                </c:pt>
                <c:pt idx="14">
                  <c:v>51.870092626029702</c:v>
                </c:pt>
                <c:pt idx="15">
                  <c:v>51.932634030172103</c:v>
                </c:pt>
                <c:pt idx="16">
                  <c:v>51.849730704868001</c:v>
                </c:pt>
                <c:pt idx="17">
                  <c:v>51.628163479085899</c:v>
                </c:pt>
                <c:pt idx="18">
                  <c:v>51.298899125553099</c:v>
                </c:pt>
                <c:pt idx="19">
                  <c:v>50.927855871287903</c:v>
                </c:pt>
                <c:pt idx="20">
                  <c:v>50.572973140505297</c:v>
                </c:pt>
                <c:pt idx="21">
                  <c:v>50.263290335631297</c:v>
                </c:pt>
                <c:pt idx="22">
                  <c:v>50.001823430904601</c:v>
                </c:pt>
                <c:pt idx="23">
                  <c:v>49.747831557812901</c:v>
                </c:pt>
                <c:pt idx="24">
                  <c:v>49.479564451460597</c:v>
                </c:pt>
                <c:pt idx="25">
                  <c:v>49.211492128141501</c:v>
                </c:pt>
                <c:pt idx="26">
                  <c:v>49.029230234464698</c:v>
                </c:pt>
                <c:pt idx="27">
                  <c:v>48.983878327846</c:v>
                </c:pt>
                <c:pt idx="28">
                  <c:v>49.096569484777397</c:v>
                </c:pt>
                <c:pt idx="29">
                  <c:v>49.347071871649398</c:v>
                </c:pt>
                <c:pt idx="30">
                  <c:v>49.682605620734101</c:v>
                </c:pt>
                <c:pt idx="31">
                  <c:v>50.051885194898503</c:v>
                </c:pt>
                <c:pt idx="32">
                  <c:v>50.390262841703397</c:v>
                </c:pt>
                <c:pt idx="33">
                  <c:v>50.689309054895098</c:v>
                </c:pt>
                <c:pt idx="34">
                  <c:v>50.933507375617602</c:v>
                </c:pt>
                <c:pt idx="35">
                  <c:v>51.099606204065601</c:v>
                </c:pt>
                <c:pt idx="36">
                  <c:v>51.178832203393497</c:v>
                </c:pt>
                <c:pt idx="37">
                  <c:v>51.192242896604398</c:v>
                </c:pt>
                <c:pt idx="38">
                  <c:v>51.1962082555278</c:v>
                </c:pt>
                <c:pt idx="39">
                  <c:v>51.269495789783697</c:v>
                </c:pt>
                <c:pt idx="40">
                  <c:v>51.463509057776299</c:v>
                </c:pt>
                <c:pt idx="41">
                  <c:v>51.767624330083599</c:v>
                </c:pt>
                <c:pt idx="42">
                  <c:v>52.127191867236</c:v>
                </c:pt>
                <c:pt idx="43">
                  <c:v>52.444373571088398</c:v>
                </c:pt>
                <c:pt idx="44">
                  <c:v>52.638238706074198</c:v>
                </c:pt>
                <c:pt idx="45">
                  <c:v>52.689877820483296</c:v>
                </c:pt>
                <c:pt idx="46">
                  <c:v>52.644347500461102</c:v>
                </c:pt>
                <c:pt idx="47">
                  <c:v>52.631362541293697</c:v>
                </c:pt>
                <c:pt idx="48">
                  <c:v>52.705226787799504</c:v>
                </c:pt>
                <c:pt idx="49">
                  <c:v>52.831266382800202</c:v>
                </c:pt>
                <c:pt idx="50">
                  <c:v>52.915680479602102</c:v>
                </c:pt>
                <c:pt idx="51">
                  <c:v>52.882191629903502</c:v>
                </c:pt>
                <c:pt idx="52">
                  <c:v>52.703275042507201</c:v>
                </c:pt>
                <c:pt idx="53">
                  <c:v>52.413154176758098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02-4113-A582-DF0B9B039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5506624"/>
        <c:axId val="585621808"/>
      </c:lineChart>
      <c:catAx>
        <c:axId val="51550662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585621808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585621808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515506624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4"/>
                <c:pt idx="0">
                  <c:v>51.3255699426714</c:v>
                </c:pt>
                <c:pt idx="1">
                  <c:v>51.848792283874502</c:v>
                </c:pt>
                <c:pt idx="2">
                  <c:v>52.700381757669803</c:v>
                </c:pt>
                <c:pt idx="3">
                  <c:v>51.580005253435601</c:v>
                </c:pt>
                <c:pt idx="4">
                  <c:v>51.528188985749701</c:v>
                </c:pt>
                <c:pt idx="5">
                  <c:v>51.546849879320199</c:v>
                </c:pt>
                <c:pt idx="6">
                  <c:v>51.826940764434397</c:v>
                </c:pt>
                <c:pt idx="7">
                  <c:v>51.418746479148801</c:v>
                </c:pt>
                <c:pt idx="8">
                  <c:v>51.588662307469903</c:v>
                </c:pt>
                <c:pt idx="9">
                  <c:v>51.298703472978502</c:v>
                </c:pt>
                <c:pt idx="10">
                  <c:v>51.2335482961822</c:v>
                </c:pt>
                <c:pt idx="11">
                  <c:v>51.293496085346398</c:v>
                </c:pt>
                <c:pt idx="12">
                  <c:v>51.464365193738097</c:v>
                </c:pt>
                <c:pt idx="13">
                  <c:v>51.921743021275603</c:v>
                </c:pt>
                <c:pt idx="14">
                  <c:v>51.650483850151403</c:v>
                </c:pt>
                <c:pt idx="15">
                  <c:v>52.914868254168297</c:v>
                </c:pt>
                <c:pt idx="16">
                  <c:v>51.897282486903997</c:v>
                </c:pt>
                <c:pt idx="17">
                  <c:v>51.9929002496999</c:v>
                </c:pt>
                <c:pt idx="18">
                  <c:v>49.975052323078998</c:v>
                </c:pt>
                <c:pt idx="19">
                  <c:v>50.604740527416197</c:v>
                </c:pt>
                <c:pt idx="20">
                  <c:v>50.600126950628997</c:v>
                </c:pt>
                <c:pt idx="21">
                  <c:v>50.224225245725201</c:v>
                </c:pt>
                <c:pt idx="22">
                  <c:v>50.069675277707397</c:v>
                </c:pt>
                <c:pt idx="23">
                  <c:v>49.659996283724396</c:v>
                </c:pt>
                <c:pt idx="24">
                  <c:v>49.822614768951098</c:v>
                </c:pt>
                <c:pt idx="25">
                  <c:v>50.192454541892303</c:v>
                </c:pt>
                <c:pt idx="26">
                  <c:v>47.439136945838001</c:v>
                </c:pt>
                <c:pt idx="27">
                  <c:v>42.642597749006697</c:v>
                </c:pt>
                <c:pt idx="28">
                  <c:v>39.309031579190503</c:v>
                </c:pt>
                <c:pt idx="29">
                  <c:v>49.349511032783496</c:v>
                </c:pt>
                <c:pt idx="30">
                  <c:v>49.8438573290764</c:v>
                </c:pt>
                <c:pt idx="31">
                  <c:v>50.379681085775502</c:v>
                </c:pt>
                <c:pt idx="32">
                  <c:v>50.0053517136922</c:v>
                </c:pt>
                <c:pt idx="33">
                  <c:v>50.883616335796603</c:v>
                </c:pt>
                <c:pt idx="34">
                  <c:v>50.730450587206199</c:v>
                </c:pt>
                <c:pt idx="35">
                  <c:v>51.259007657996399</c:v>
                </c:pt>
                <c:pt idx="36">
                  <c:v>51.638432677060599</c:v>
                </c:pt>
                <c:pt idx="37">
                  <c:v>50.147165271852302</c:v>
                </c:pt>
                <c:pt idx="38">
                  <c:v>51.741867924052201</c:v>
                </c:pt>
                <c:pt idx="39">
                  <c:v>50.668346175449201</c:v>
                </c:pt>
                <c:pt idx="40">
                  <c:v>51.1167221930369</c:v>
                </c:pt>
                <c:pt idx="41">
                  <c:v>51.824327594092303</c:v>
                </c:pt>
                <c:pt idx="42">
                  <c:v>52.3151831364234</c:v>
                </c:pt>
                <c:pt idx="43">
                  <c:v>52.5808223685505</c:v>
                </c:pt>
                <c:pt idx="44">
                  <c:v>52.784074539267102</c:v>
                </c:pt>
                <c:pt idx="45">
                  <c:v>52.602059076604199</c:v>
                </c:pt>
                <c:pt idx="46">
                  <c:v>52.8787137811088</c:v>
                </c:pt>
                <c:pt idx="47">
                  <c:v>52.379515357666897</c:v>
                </c:pt>
                <c:pt idx="48">
                  <c:v>51.062632419893198</c:v>
                </c:pt>
                <c:pt idx="49">
                  <c:v>52.529732222482302</c:v>
                </c:pt>
                <c:pt idx="50">
                  <c:v>53.820835094571898</c:v>
                </c:pt>
                <c:pt idx="51">
                  <c:v>53.287966807379803</c:v>
                </c:pt>
                <c:pt idx="52">
                  <c:v>53.490501813908502</c:v>
                </c:pt>
                <c:pt idx="53">
                  <c:v>51.984751641448398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0C-4D6B-AB76-5ECBBEC55A33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4"/>
                <c:pt idx="0">
                  <c:v>51.623741539109801</c:v>
                </c:pt>
                <c:pt idx="1">
                  <c:v>51.622870698960803</c:v>
                </c:pt>
                <c:pt idx="2">
                  <c:v>51.623690438933998</c:v>
                </c:pt>
                <c:pt idx="3">
                  <c:v>51.621150006979398</c:v>
                </c:pt>
                <c:pt idx="4">
                  <c:v>51.620834723875703</c:v>
                </c:pt>
                <c:pt idx="5">
                  <c:v>51.6137200446218</c:v>
                </c:pt>
                <c:pt idx="6">
                  <c:v>51.580485754127999</c:v>
                </c:pt>
                <c:pt idx="7">
                  <c:v>51.5130669241627</c:v>
                </c:pt>
                <c:pt idx="8">
                  <c:v>51.439352867833897</c:v>
                </c:pt>
                <c:pt idx="9">
                  <c:v>51.372409682155599</c:v>
                </c:pt>
                <c:pt idx="10">
                  <c:v>51.352919095248097</c:v>
                </c:pt>
                <c:pt idx="11">
                  <c:v>51.403201676168997</c:v>
                </c:pt>
                <c:pt idx="12">
                  <c:v>51.533285817918497</c:v>
                </c:pt>
                <c:pt idx="13">
                  <c:v>51.714463314506801</c:v>
                </c:pt>
                <c:pt idx="14">
                  <c:v>51.870092626029702</c:v>
                </c:pt>
                <c:pt idx="15">
                  <c:v>51.932634030172103</c:v>
                </c:pt>
                <c:pt idx="16">
                  <c:v>51.849730704868001</c:v>
                </c:pt>
                <c:pt idx="17">
                  <c:v>51.628163479085899</c:v>
                </c:pt>
                <c:pt idx="18">
                  <c:v>51.298899125553099</c:v>
                </c:pt>
                <c:pt idx="19">
                  <c:v>50.927855871287903</c:v>
                </c:pt>
                <c:pt idx="20">
                  <c:v>50.572973140505297</c:v>
                </c:pt>
                <c:pt idx="21">
                  <c:v>50.263290335631297</c:v>
                </c:pt>
                <c:pt idx="22">
                  <c:v>50.001823430904601</c:v>
                </c:pt>
                <c:pt idx="23">
                  <c:v>49.747831557812901</c:v>
                </c:pt>
                <c:pt idx="24">
                  <c:v>49.479564451460597</c:v>
                </c:pt>
                <c:pt idx="25">
                  <c:v>49.211492128141501</c:v>
                </c:pt>
                <c:pt idx="26">
                  <c:v>49.029230234464698</c:v>
                </c:pt>
                <c:pt idx="27">
                  <c:v>48.983878327846</c:v>
                </c:pt>
                <c:pt idx="28">
                  <c:v>49.096569484777397</c:v>
                </c:pt>
                <c:pt idx="29">
                  <c:v>49.347071871649398</c:v>
                </c:pt>
                <c:pt idx="30">
                  <c:v>49.682605620734101</c:v>
                </c:pt>
                <c:pt idx="31">
                  <c:v>50.051885194898503</c:v>
                </c:pt>
                <c:pt idx="32">
                  <c:v>50.390262841703397</c:v>
                </c:pt>
                <c:pt idx="33">
                  <c:v>50.689309054895098</c:v>
                </c:pt>
                <c:pt idx="34">
                  <c:v>50.933507375617602</c:v>
                </c:pt>
                <c:pt idx="35">
                  <c:v>51.099606204065601</c:v>
                </c:pt>
                <c:pt idx="36">
                  <c:v>51.178832203393497</c:v>
                </c:pt>
                <c:pt idx="37">
                  <c:v>51.192242896604398</c:v>
                </c:pt>
                <c:pt idx="38">
                  <c:v>51.1962082555278</c:v>
                </c:pt>
                <c:pt idx="39">
                  <c:v>51.269495789783697</c:v>
                </c:pt>
                <c:pt idx="40">
                  <c:v>51.463509057776299</c:v>
                </c:pt>
                <c:pt idx="41">
                  <c:v>51.767624330083599</c:v>
                </c:pt>
                <c:pt idx="42">
                  <c:v>52.127191867236</c:v>
                </c:pt>
                <c:pt idx="43">
                  <c:v>52.444373571088398</c:v>
                </c:pt>
                <c:pt idx="44">
                  <c:v>52.638238706074198</c:v>
                </c:pt>
                <c:pt idx="45">
                  <c:v>52.689877820483296</c:v>
                </c:pt>
                <c:pt idx="46">
                  <c:v>52.644347500461102</c:v>
                </c:pt>
                <c:pt idx="47">
                  <c:v>52.631362541293697</c:v>
                </c:pt>
                <c:pt idx="48">
                  <c:v>52.705226787799504</c:v>
                </c:pt>
                <c:pt idx="49">
                  <c:v>52.831266382800202</c:v>
                </c:pt>
                <c:pt idx="50">
                  <c:v>52.915680479602102</c:v>
                </c:pt>
                <c:pt idx="51">
                  <c:v>52.882191629903502</c:v>
                </c:pt>
                <c:pt idx="52">
                  <c:v>52.703275042507201</c:v>
                </c:pt>
                <c:pt idx="53">
                  <c:v>52.413154176758098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0C-4D6B-AB76-5ECBBEC55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5506624"/>
        <c:axId val="585621808"/>
      </c:lineChart>
      <c:catAx>
        <c:axId val="51550662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585621808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585621808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515506624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Datos!$E$173:$E$232</c:f>
              <c:numCache>
                <c:formatCode>0.0_)</c:formatCode>
                <c:ptCount val="54"/>
                <c:pt idx="0">
                  <c:v>52.973296475585101</c:v>
                </c:pt>
                <c:pt idx="1">
                  <c:v>53.1246348722295</c:v>
                </c:pt>
                <c:pt idx="2">
                  <c:v>53.407948445044198</c:v>
                </c:pt>
                <c:pt idx="3">
                  <c:v>52.639559848897598</c:v>
                </c:pt>
                <c:pt idx="4">
                  <c:v>52.347953984840103</c:v>
                </c:pt>
                <c:pt idx="5">
                  <c:v>53.770381151469302</c:v>
                </c:pt>
                <c:pt idx="6">
                  <c:v>53.407004128196199</c:v>
                </c:pt>
                <c:pt idx="7">
                  <c:v>52.953556576504504</c:v>
                </c:pt>
                <c:pt idx="8">
                  <c:v>53.396606331196701</c:v>
                </c:pt>
                <c:pt idx="9">
                  <c:v>52.9188275047266</c:v>
                </c:pt>
                <c:pt idx="10">
                  <c:v>52.119146813475901</c:v>
                </c:pt>
                <c:pt idx="11">
                  <c:v>52.951488683393499</c:v>
                </c:pt>
                <c:pt idx="12">
                  <c:v>52.162733900969997</c:v>
                </c:pt>
                <c:pt idx="13">
                  <c:v>52.999559097699802</c:v>
                </c:pt>
                <c:pt idx="14">
                  <c:v>52.643267292023097</c:v>
                </c:pt>
                <c:pt idx="15">
                  <c:v>53.886582167316703</c:v>
                </c:pt>
                <c:pt idx="16">
                  <c:v>54.048020906949702</c:v>
                </c:pt>
                <c:pt idx="17">
                  <c:v>53.149132759739501</c:v>
                </c:pt>
                <c:pt idx="18">
                  <c:v>51.650960388302202</c:v>
                </c:pt>
                <c:pt idx="19">
                  <c:v>51.724636545372903</c:v>
                </c:pt>
                <c:pt idx="20">
                  <c:v>52.151704390863699</c:v>
                </c:pt>
                <c:pt idx="21">
                  <c:v>51.2939220199167</c:v>
                </c:pt>
                <c:pt idx="22">
                  <c:v>51.091919572606699</c:v>
                </c:pt>
                <c:pt idx="23">
                  <c:v>49.922844101304797</c:v>
                </c:pt>
                <c:pt idx="24">
                  <c:v>50.941714194261401</c:v>
                </c:pt>
                <c:pt idx="25">
                  <c:v>51.630411401324999</c:v>
                </c:pt>
                <c:pt idx="26">
                  <c:v>47.056660080022503</c:v>
                </c:pt>
                <c:pt idx="27">
                  <c:v>36.178726498924199</c:v>
                </c:pt>
                <c:pt idx="28">
                  <c:v>31.533721392425601</c:v>
                </c:pt>
                <c:pt idx="29">
                  <c:v>50.354506706272602</c:v>
                </c:pt>
                <c:pt idx="30">
                  <c:v>51.383000305750002</c:v>
                </c:pt>
                <c:pt idx="31">
                  <c:v>51.325385184849601</c:v>
                </c:pt>
                <c:pt idx="32">
                  <c:v>50.901994018434401</c:v>
                </c:pt>
                <c:pt idx="33">
                  <c:v>51.881878225322801</c:v>
                </c:pt>
                <c:pt idx="34">
                  <c:v>52.214783327894203</c:v>
                </c:pt>
                <c:pt idx="35">
                  <c:v>52.560697946561199</c:v>
                </c:pt>
                <c:pt idx="36">
                  <c:v>52.9052331648085</c:v>
                </c:pt>
                <c:pt idx="37">
                  <c:v>50.529735002730902</c:v>
                </c:pt>
                <c:pt idx="38">
                  <c:v>53.913564006142202</c:v>
                </c:pt>
                <c:pt idx="39">
                  <c:v>50.460127367337499</c:v>
                </c:pt>
                <c:pt idx="40">
                  <c:v>52.093135855710798</c:v>
                </c:pt>
                <c:pt idx="41">
                  <c:v>52.418464765695397</c:v>
                </c:pt>
                <c:pt idx="42">
                  <c:v>53.005327450091997</c:v>
                </c:pt>
                <c:pt idx="43">
                  <c:v>53.828558528795</c:v>
                </c:pt>
                <c:pt idx="44">
                  <c:v>53.6525383057824</c:v>
                </c:pt>
                <c:pt idx="45">
                  <c:v>53.7771849263045</c:v>
                </c:pt>
                <c:pt idx="46">
                  <c:v>54.022876521569998</c:v>
                </c:pt>
                <c:pt idx="47">
                  <c:v>54.318675618206299</c:v>
                </c:pt>
                <c:pt idx="48">
                  <c:v>51.764187930054398</c:v>
                </c:pt>
                <c:pt idx="49">
                  <c:v>54.044384338810303</c:v>
                </c:pt>
                <c:pt idx="50">
                  <c:v>56.180141081739499</c:v>
                </c:pt>
                <c:pt idx="51">
                  <c:v>54.297887062448901</c:v>
                </c:pt>
                <c:pt idx="52">
                  <c:v>54.746066482287397</c:v>
                </c:pt>
                <c:pt idx="53">
                  <c:v>53.540864789002299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80-439D-A86C-D57F8DB04D54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Datos!$F$173:$F$232</c:f>
              <c:numCache>
                <c:formatCode>0.0_)</c:formatCode>
                <c:ptCount val="54"/>
                <c:pt idx="0">
                  <c:v>52.971584047048196</c:v>
                </c:pt>
                <c:pt idx="1">
                  <c:v>52.971146765871097</c:v>
                </c:pt>
                <c:pt idx="2">
                  <c:v>52.979501453945801</c:v>
                </c:pt>
                <c:pt idx="3">
                  <c:v>53.005587830237701</c:v>
                </c:pt>
                <c:pt idx="4">
                  <c:v>53.0786110471619</c:v>
                </c:pt>
                <c:pt idx="5">
                  <c:v>53.154324713379097</c:v>
                </c:pt>
                <c:pt idx="6">
                  <c:v>53.200904598735299</c:v>
                </c:pt>
                <c:pt idx="7">
                  <c:v>53.171820534314797</c:v>
                </c:pt>
                <c:pt idx="8">
                  <c:v>53.054371697859601</c:v>
                </c:pt>
                <c:pt idx="9">
                  <c:v>52.852478861477003</c:v>
                </c:pt>
                <c:pt idx="10">
                  <c:v>52.638912947867396</c:v>
                </c:pt>
                <c:pt idx="11">
                  <c:v>52.5523485968328</c:v>
                </c:pt>
                <c:pt idx="12">
                  <c:v>52.674264323278202</c:v>
                </c:pt>
                <c:pt idx="13">
                  <c:v>52.930534796102698</c:v>
                </c:pt>
                <c:pt idx="14">
                  <c:v>53.188480700906602</c:v>
                </c:pt>
                <c:pt idx="15">
                  <c:v>53.322488147246098</c:v>
                </c:pt>
                <c:pt idx="16">
                  <c:v>53.241520240877797</c:v>
                </c:pt>
                <c:pt idx="17">
                  <c:v>52.972049007775503</c:v>
                </c:pt>
                <c:pt idx="18">
                  <c:v>52.552303296856401</c:v>
                </c:pt>
                <c:pt idx="19">
                  <c:v>52.063201796769803</c:v>
                </c:pt>
                <c:pt idx="20">
                  <c:v>51.613475164868099</c:v>
                </c:pt>
                <c:pt idx="21">
                  <c:v>51.243159581272202</c:v>
                </c:pt>
                <c:pt idx="22">
                  <c:v>50.943690227156402</c:v>
                </c:pt>
                <c:pt idx="23">
                  <c:v>50.631523486273203</c:v>
                </c:pt>
                <c:pt idx="24">
                  <c:v>50.2791050822103</c:v>
                </c:pt>
                <c:pt idx="25">
                  <c:v>49.969707461089101</c:v>
                </c:pt>
                <c:pt idx="26">
                  <c:v>49.8224844982498</c:v>
                </c:pt>
                <c:pt idx="27">
                  <c:v>49.851446483343103</c:v>
                </c:pt>
                <c:pt idx="28">
                  <c:v>50.029833252377898</c:v>
                </c:pt>
                <c:pt idx="29">
                  <c:v>50.332893099923403</c:v>
                </c:pt>
                <c:pt idx="30">
                  <c:v>50.711269587164601</c:v>
                </c:pt>
                <c:pt idx="31">
                  <c:v>51.133345521685698</c:v>
                </c:pt>
                <c:pt idx="32">
                  <c:v>51.530162288868503</c:v>
                </c:pt>
                <c:pt idx="33">
                  <c:v>51.886408654364601</c:v>
                </c:pt>
                <c:pt idx="34">
                  <c:v>52.181205917491098</c:v>
                </c:pt>
                <c:pt idx="35">
                  <c:v>52.393826307428398</c:v>
                </c:pt>
                <c:pt idx="36">
                  <c:v>52.492518740097502</c:v>
                </c:pt>
                <c:pt idx="37">
                  <c:v>52.454398775438001</c:v>
                </c:pt>
                <c:pt idx="38">
                  <c:v>52.342614102805904</c:v>
                </c:pt>
                <c:pt idx="39">
                  <c:v>52.286505413662802</c:v>
                </c:pt>
                <c:pt idx="40">
                  <c:v>52.381414830917102</c:v>
                </c:pt>
                <c:pt idx="41">
                  <c:v>52.625041374434602</c:v>
                </c:pt>
                <c:pt idx="42">
                  <c:v>52.980521490035201</c:v>
                </c:pt>
                <c:pt idx="43">
                  <c:v>53.362640417975598</c:v>
                </c:pt>
                <c:pt idx="44">
                  <c:v>53.675169344483599</c:v>
                </c:pt>
                <c:pt idx="45">
                  <c:v>53.891074777546002</c:v>
                </c:pt>
                <c:pt idx="46">
                  <c:v>54.009371419636402</c:v>
                </c:pt>
                <c:pt idx="47">
                  <c:v>54.0991062247626</c:v>
                </c:pt>
                <c:pt idx="48">
                  <c:v>54.200175076667001</c:v>
                </c:pt>
                <c:pt idx="49">
                  <c:v>54.309703029291498</c:v>
                </c:pt>
                <c:pt idx="50">
                  <c:v>54.364776438243098</c:v>
                </c:pt>
                <c:pt idx="51">
                  <c:v>54.3132595385554</c:v>
                </c:pt>
                <c:pt idx="52">
                  <c:v>54.159817716560298</c:v>
                </c:pt>
                <c:pt idx="53">
                  <c:v>53.933522483153098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80-439D-A86C-D57F8DB04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622200"/>
        <c:axId val="585621416"/>
      </c:lineChart>
      <c:catAx>
        <c:axId val="5856222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58562141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85621416"/>
        <c:scaling>
          <c:orientation val="minMax"/>
          <c:max val="58"/>
          <c:min val="2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585622200"/>
        <c:crosses val="autoZero"/>
        <c:crossBetween val="between"/>
        <c:majorUnit val="8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Datos!$G$173:$G$232</c:f>
              <c:numCache>
                <c:formatCode>0.0_)</c:formatCode>
                <c:ptCount val="54"/>
                <c:pt idx="0">
                  <c:v>50.815346025624798</c:v>
                </c:pt>
                <c:pt idx="1">
                  <c:v>52.211904956843803</c:v>
                </c:pt>
                <c:pt idx="2">
                  <c:v>55.682858679760002</c:v>
                </c:pt>
                <c:pt idx="3">
                  <c:v>52.592012690888303</c:v>
                </c:pt>
                <c:pt idx="4">
                  <c:v>52.403631266314299</c:v>
                </c:pt>
                <c:pt idx="5">
                  <c:v>52.515082891843903</c:v>
                </c:pt>
                <c:pt idx="6">
                  <c:v>54.092225751019797</c:v>
                </c:pt>
                <c:pt idx="7">
                  <c:v>51.890452115320102</c:v>
                </c:pt>
                <c:pt idx="8">
                  <c:v>52.259389216549003</c:v>
                </c:pt>
                <c:pt idx="9">
                  <c:v>51.7638198211923</c:v>
                </c:pt>
                <c:pt idx="10">
                  <c:v>52.706706389676</c:v>
                </c:pt>
                <c:pt idx="11">
                  <c:v>52.400806473960202</c:v>
                </c:pt>
                <c:pt idx="12">
                  <c:v>52.818195700638597</c:v>
                </c:pt>
                <c:pt idx="13">
                  <c:v>53.354919209381301</c:v>
                </c:pt>
                <c:pt idx="14">
                  <c:v>53.093115271158297</c:v>
                </c:pt>
                <c:pt idx="15">
                  <c:v>54.805952731652702</c:v>
                </c:pt>
                <c:pt idx="16">
                  <c:v>53.311796675590699</c:v>
                </c:pt>
                <c:pt idx="17">
                  <c:v>53.168454989832803</c:v>
                </c:pt>
                <c:pt idx="18">
                  <c:v>50.530439966642497</c:v>
                </c:pt>
                <c:pt idx="19">
                  <c:v>51.621369788827401</c:v>
                </c:pt>
                <c:pt idx="20">
                  <c:v>50.757628015155198</c:v>
                </c:pt>
                <c:pt idx="21">
                  <c:v>51.298239351625803</c:v>
                </c:pt>
                <c:pt idx="22">
                  <c:v>49.742712873639697</c:v>
                </c:pt>
                <c:pt idx="23">
                  <c:v>50.469463642229499</c:v>
                </c:pt>
                <c:pt idx="24">
                  <c:v>50.225685994958802</c:v>
                </c:pt>
                <c:pt idx="25">
                  <c:v>50.793490787972097</c:v>
                </c:pt>
                <c:pt idx="26">
                  <c:v>46.447751385079897</c:v>
                </c:pt>
                <c:pt idx="27">
                  <c:v>38.820198490290601</c:v>
                </c:pt>
                <c:pt idx="28">
                  <c:v>34.624443297227998</c:v>
                </c:pt>
                <c:pt idx="29">
                  <c:v>50.773573419010503</c:v>
                </c:pt>
                <c:pt idx="30">
                  <c:v>50.2269332077394</c:v>
                </c:pt>
                <c:pt idx="31">
                  <c:v>50.852118629356298</c:v>
                </c:pt>
                <c:pt idx="32">
                  <c:v>50.544300502814401</c:v>
                </c:pt>
                <c:pt idx="33">
                  <c:v>52.1706385611892</c:v>
                </c:pt>
                <c:pt idx="34">
                  <c:v>51.587586560976497</c:v>
                </c:pt>
                <c:pt idx="35">
                  <c:v>51.115493374161098</c:v>
                </c:pt>
                <c:pt idx="36">
                  <c:v>52.685155521985997</c:v>
                </c:pt>
                <c:pt idx="37">
                  <c:v>50.436757031846703</c:v>
                </c:pt>
                <c:pt idx="38">
                  <c:v>52.987829380048403</c:v>
                </c:pt>
                <c:pt idx="39">
                  <c:v>50.0469906810875</c:v>
                </c:pt>
                <c:pt idx="40">
                  <c:v>49.8302205977554</c:v>
                </c:pt>
                <c:pt idx="41">
                  <c:v>51.227144851204997</c:v>
                </c:pt>
                <c:pt idx="42">
                  <c:v>55.600277806311297</c:v>
                </c:pt>
                <c:pt idx="43">
                  <c:v>53.799556656632603</c:v>
                </c:pt>
                <c:pt idx="44">
                  <c:v>54.448452072516901</c:v>
                </c:pt>
                <c:pt idx="45">
                  <c:v>52.905664788109803</c:v>
                </c:pt>
                <c:pt idx="46">
                  <c:v>54.709655932006598</c:v>
                </c:pt>
                <c:pt idx="47">
                  <c:v>53.767771461818903</c:v>
                </c:pt>
                <c:pt idx="48">
                  <c:v>51.284506645688303</c:v>
                </c:pt>
                <c:pt idx="49">
                  <c:v>53.797049383585701</c:v>
                </c:pt>
                <c:pt idx="50">
                  <c:v>55.976802458177602</c:v>
                </c:pt>
                <c:pt idx="51">
                  <c:v>54.464527710295897</c:v>
                </c:pt>
                <c:pt idx="52">
                  <c:v>55.455146431740602</c:v>
                </c:pt>
                <c:pt idx="53">
                  <c:v>50.578860466274101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ED-41EB-B18C-CA93AD255865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Datos!$H$173:$H$232</c:f>
              <c:numCache>
                <c:formatCode>0.0_)</c:formatCode>
                <c:ptCount val="54"/>
                <c:pt idx="0">
                  <c:v>52.816411510518897</c:v>
                </c:pt>
                <c:pt idx="1">
                  <c:v>52.725691019326902</c:v>
                </c:pt>
                <c:pt idx="2">
                  <c:v>52.618649237901899</c:v>
                </c:pt>
                <c:pt idx="3">
                  <c:v>52.527913758035098</c:v>
                </c:pt>
                <c:pt idx="4">
                  <c:v>52.451229780772799</c:v>
                </c:pt>
                <c:pt idx="5">
                  <c:v>52.3829333636223</c:v>
                </c:pt>
                <c:pt idx="6">
                  <c:v>52.293306678673197</c:v>
                </c:pt>
                <c:pt idx="7">
                  <c:v>52.190916674087802</c:v>
                </c:pt>
                <c:pt idx="8">
                  <c:v>52.146136220349902</c:v>
                </c:pt>
                <c:pt idx="9">
                  <c:v>52.178461494451902</c:v>
                </c:pt>
                <c:pt idx="10">
                  <c:v>52.3230635640112</c:v>
                </c:pt>
                <c:pt idx="11">
                  <c:v>52.591789284129703</c:v>
                </c:pt>
                <c:pt idx="12">
                  <c:v>52.958332000245299</c:v>
                </c:pt>
                <c:pt idx="13">
                  <c:v>53.324262192280102</c:v>
                </c:pt>
                <c:pt idx="14">
                  <c:v>53.580052242420898</c:v>
                </c:pt>
                <c:pt idx="15">
                  <c:v>53.615125747291899</c:v>
                </c:pt>
                <c:pt idx="16">
                  <c:v>53.398237586270703</c:v>
                </c:pt>
                <c:pt idx="17">
                  <c:v>52.945769403093699</c:v>
                </c:pt>
                <c:pt idx="18">
                  <c:v>52.324401255880602</c:v>
                </c:pt>
                <c:pt idx="19">
                  <c:v>51.658568826546002</c:v>
                </c:pt>
                <c:pt idx="20">
                  <c:v>51.0871459819462</c:v>
                </c:pt>
                <c:pt idx="21">
                  <c:v>50.696607438745197</c:v>
                </c:pt>
                <c:pt idx="22">
                  <c:v>50.4759291164846</c:v>
                </c:pt>
                <c:pt idx="23">
                  <c:v>50.325263132933898</c:v>
                </c:pt>
                <c:pt idx="24">
                  <c:v>50.227885593706503</c:v>
                </c:pt>
                <c:pt idx="25">
                  <c:v>50.151450661924997</c:v>
                </c:pt>
                <c:pt idx="26">
                  <c:v>50.115197825489901</c:v>
                </c:pt>
                <c:pt idx="27">
                  <c:v>50.098460502106697</c:v>
                </c:pt>
                <c:pt idx="28">
                  <c:v>50.136649133092298</c:v>
                </c:pt>
                <c:pt idx="29">
                  <c:v>50.271384588778297</c:v>
                </c:pt>
                <c:pt idx="30">
                  <c:v>50.508590268779002</c:v>
                </c:pt>
                <c:pt idx="31">
                  <c:v>50.824438009687498</c:v>
                </c:pt>
                <c:pt idx="32">
                  <c:v>51.153424767305999</c:v>
                </c:pt>
                <c:pt idx="33">
                  <c:v>51.419085255061098</c:v>
                </c:pt>
                <c:pt idx="34">
                  <c:v>51.567788230957198</c:v>
                </c:pt>
                <c:pt idx="35">
                  <c:v>51.530521418505003</c:v>
                </c:pt>
                <c:pt idx="36">
                  <c:v>51.275459722781498</c:v>
                </c:pt>
                <c:pt idx="37">
                  <c:v>50.884789709442003</c:v>
                </c:pt>
                <c:pt idx="38">
                  <c:v>50.560828048929899</c:v>
                </c:pt>
                <c:pt idx="39">
                  <c:v>50.536543250212802</c:v>
                </c:pt>
                <c:pt idx="40">
                  <c:v>50.883803861528897</c:v>
                </c:pt>
                <c:pt idx="41">
                  <c:v>51.5395455526061</c:v>
                </c:pt>
                <c:pt idx="42">
                  <c:v>52.370831670180898</c:v>
                </c:pt>
                <c:pt idx="43">
                  <c:v>53.165795776770203</c:v>
                </c:pt>
                <c:pt idx="44">
                  <c:v>53.700170891192599</c:v>
                </c:pt>
                <c:pt idx="45">
                  <c:v>53.962265838028102</c:v>
                </c:pt>
                <c:pt idx="46">
                  <c:v>54.005541331768697</c:v>
                </c:pt>
                <c:pt idx="47">
                  <c:v>54.019551613311997</c:v>
                </c:pt>
                <c:pt idx="48">
                  <c:v>54.136023211046499</c:v>
                </c:pt>
                <c:pt idx="49">
                  <c:v>54.3575537222832</c:v>
                </c:pt>
                <c:pt idx="50">
                  <c:v>54.572650042238401</c:v>
                </c:pt>
                <c:pt idx="51">
                  <c:v>54.654170182728102</c:v>
                </c:pt>
                <c:pt idx="52">
                  <c:v>54.545199975043197</c:v>
                </c:pt>
                <c:pt idx="53">
                  <c:v>54.269063573826202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ED-41EB-B18C-CA93AD255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624944"/>
        <c:axId val="585622592"/>
      </c:lineChart>
      <c:catAx>
        <c:axId val="585624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58562259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85622592"/>
        <c:scaling>
          <c:orientation val="minMax"/>
          <c:max val="59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585624944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Datos!$I$173:$I$232</c:f>
              <c:numCache>
                <c:formatCode>0.0_)</c:formatCode>
                <c:ptCount val="54"/>
                <c:pt idx="0">
                  <c:v>51.124935922650401</c:v>
                </c:pt>
                <c:pt idx="1">
                  <c:v>52.091904814745902</c:v>
                </c:pt>
                <c:pt idx="2">
                  <c:v>51.6497487270627</c:v>
                </c:pt>
                <c:pt idx="3">
                  <c:v>51.389193167324301</c:v>
                </c:pt>
                <c:pt idx="4">
                  <c:v>51.515030912123002</c:v>
                </c:pt>
                <c:pt idx="5">
                  <c:v>50.310906587901002</c:v>
                </c:pt>
                <c:pt idx="6">
                  <c:v>51.959187054254002</c:v>
                </c:pt>
                <c:pt idx="7">
                  <c:v>51.028699087314003</c:v>
                </c:pt>
                <c:pt idx="8">
                  <c:v>51.267024318116199</c:v>
                </c:pt>
                <c:pt idx="9">
                  <c:v>51.0148998242408</c:v>
                </c:pt>
                <c:pt idx="10">
                  <c:v>51.056189542961199</c:v>
                </c:pt>
                <c:pt idx="11">
                  <c:v>50.030608513376897</c:v>
                </c:pt>
                <c:pt idx="12">
                  <c:v>51.297963127448597</c:v>
                </c:pt>
                <c:pt idx="13">
                  <c:v>50.206027483648498</c:v>
                </c:pt>
                <c:pt idx="14">
                  <c:v>50.806708734781502</c:v>
                </c:pt>
                <c:pt idx="15">
                  <c:v>50.6061530975837</c:v>
                </c:pt>
                <c:pt idx="16">
                  <c:v>50.453587224588702</c:v>
                </c:pt>
                <c:pt idx="17">
                  <c:v>50.442314268569199</c:v>
                </c:pt>
                <c:pt idx="18">
                  <c:v>50.080708750308098</c:v>
                </c:pt>
                <c:pt idx="19">
                  <c:v>49.9995639990359</c:v>
                </c:pt>
                <c:pt idx="20">
                  <c:v>49.868485581481202</c:v>
                </c:pt>
                <c:pt idx="21">
                  <c:v>50.120993086386498</c:v>
                </c:pt>
                <c:pt idx="22">
                  <c:v>50.005479668285702</c:v>
                </c:pt>
                <c:pt idx="23">
                  <c:v>49.492694346400597</c:v>
                </c:pt>
                <c:pt idx="24">
                  <c:v>49.7217104305155</c:v>
                </c:pt>
                <c:pt idx="25">
                  <c:v>49.577977326297798</c:v>
                </c:pt>
                <c:pt idx="26">
                  <c:v>49.067393945840301</c:v>
                </c:pt>
                <c:pt idx="27">
                  <c:v>46.015794830360001</c:v>
                </c:pt>
                <c:pt idx="28">
                  <c:v>43.4976834990592</c:v>
                </c:pt>
                <c:pt idx="29">
                  <c:v>45.762041525402402</c:v>
                </c:pt>
                <c:pt idx="30">
                  <c:v>49.025280978556403</c:v>
                </c:pt>
                <c:pt idx="31">
                  <c:v>49.580392964519604</c:v>
                </c:pt>
                <c:pt idx="32">
                  <c:v>49.4955036573472</c:v>
                </c:pt>
                <c:pt idx="33">
                  <c:v>50.169483838599703</c:v>
                </c:pt>
                <c:pt idx="34">
                  <c:v>50.120864320439502</c:v>
                </c:pt>
                <c:pt idx="35">
                  <c:v>50.820813080145598</c:v>
                </c:pt>
                <c:pt idx="36">
                  <c:v>50.681194503215501</c:v>
                </c:pt>
                <c:pt idx="37">
                  <c:v>49.796416533034602</c:v>
                </c:pt>
                <c:pt idx="38">
                  <c:v>50.472578282992004</c:v>
                </c:pt>
                <c:pt idx="39">
                  <c:v>50.594479369932301</c:v>
                </c:pt>
                <c:pt idx="40">
                  <c:v>50.867158871737601</c:v>
                </c:pt>
                <c:pt idx="41">
                  <c:v>51.433599170267001</c:v>
                </c:pt>
                <c:pt idx="42">
                  <c:v>51.6133452234507</c:v>
                </c:pt>
                <c:pt idx="43">
                  <c:v>51.2801612708421</c:v>
                </c:pt>
                <c:pt idx="44">
                  <c:v>51.254644664219903</c:v>
                </c:pt>
                <c:pt idx="45">
                  <c:v>50.283968445528899</c:v>
                </c:pt>
                <c:pt idx="46">
                  <c:v>50.838949530529902</c:v>
                </c:pt>
                <c:pt idx="47">
                  <c:v>50.5647432080955</c:v>
                </c:pt>
                <c:pt idx="48">
                  <c:v>50.171012365985497</c:v>
                </c:pt>
                <c:pt idx="49">
                  <c:v>51.704181853104103</c:v>
                </c:pt>
                <c:pt idx="50">
                  <c:v>50.894891016088103</c:v>
                </c:pt>
                <c:pt idx="51">
                  <c:v>51.041995477159603</c:v>
                </c:pt>
                <c:pt idx="52">
                  <c:v>51.020296341912299</c:v>
                </c:pt>
                <c:pt idx="53">
                  <c:v>50.685220901545897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66-484C-9B00-3995F1E33C38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Datos!$J$173:$J$232</c:f>
              <c:numCache>
                <c:formatCode>0.0_)</c:formatCode>
                <c:ptCount val="54"/>
                <c:pt idx="0">
                  <c:v>51.208118996938303</c:v>
                </c:pt>
                <c:pt idx="1">
                  <c:v>51.366538197163102</c:v>
                </c:pt>
                <c:pt idx="2">
                  <c:v>51.4735253918046</c:v>
                </c:pt>
                <c:pt idx="3">
                  <c:v>51.493739261225102</c:v>
                </c:pt>
                <c:pt idx="4">
                  <c:v>51.436777731820698</c:v>
                </c:pt>
                <c:pt idx="5">
                  <c:v>51.345417379109698</c:v>
                </c:pt>
                <c:pt idx="6">
                  <c:v>51.250947439131501</c:v>
                </c:pt>
                <c:pt idx="7">
                  <c:v>51.178516002698998</c:v>
                </c:pt>
                <c:pt idx="8">
                  <c:v>51.115886659923603</c:v>
                </c:pt>
                <c:pt idx="9">
                  <c:v>51.042296525902501</c:v>
                </c:pt>
                <c:pt idx="10">
                  <c:v>50.955664661666702</c:v>
                </c:pt>
                <c:pt idx="11">
                  <c:v>50.862292258303299</c:v>
                </c:pt>
                <c:pt idx="12">
                  <c:v>50.772156646154698</c:v>
                </c:pt>
                <c:pt idx="13">
                  <c:v>50.695464807120402</c:v>
                </c:pt>
                <c:pt idx="14">
                  <c:v>50.628808481367102</c:v>
                </c:pt>
                <c:pt idx="15">
                  <c:v>50.550528896544797</c:v>
                </c:pt>
                <c:pt idx="16">
                  <c:v>50.443378621767401</c:v>
                </c:pt>
                <c:pt idx="17">
                  <c:v>50.3248152396759</c:v>
                </c:pt>
                <c:pt idx="18">
                  <c:v>50.201606153213199</c:v>
                </c:pt>
                <c:pt idx="19">
                  <c:v>50.088038755196997</c:v>
                </c:pt>
                <c:pt idx="20">
                  <c:v>50.000018383838999</c:v>
                </c:pt>
                <c:pt idx="21">
                  <c:v>49.929937649493802</c:v>
                </c:pt>
                <c:pt idx="22">
                  <c:v>49.849246867402897</c:v>
                </c:pt>
                <c:pt idx="23">
                  <c:v>49.743869997430899</c:v>
                </c:pt>
                <c:pt idx="24">
                  <c:v>49.604845167358803</c:v>
                </c:pt>
                <c:pt idx="25">
                  <c:v>49.430188735342902</c:v>
                </c:pt>
                <c:pt idx="26">
                  <c:v>49.256774676739099</c:v>
                </c:pt>
                <c:pt idx="27">
                  <c:v>49.1146725623856</c:v>
                </c:pt>
                <c:pt idx="28">
                  <c:v>49.042305896263798</c:v>
                </c:pt>
                <c:pt idx="29">
                  <c:v>49.054845653325202</c:v>
                </c:pt>
                <c:pt idx="30">
                  <c:v>49.171425869167599</c:v>
                </c:pt>
                <c:pt idx="31">
                  <c:v>49.395629034650199</c:v>
                </c:pt>
                <c:pt idx="32">
                  <c:v>49.688195819266298</c:v>
                </c:pt>
                <c:pt idx="33">
                  <c:v>49.996259695935798</c:v>
                </c:pt>
                <c:pt idx="34">
                  <c:v>50.263316032659802</c:v>
                </c:pt>
                <c:pt idx="35">
                  <c:v>50.436943528533298</c:v>
                </c:pt>
                <c:pt idx="36">
                  <c:v>50.525962115919498</c:v>
                </c:pt>
                <c:pt idx="37">
                  <c:v>50.585846287018697</c:v>
                </c:pt>
                <c:pt idx="38">
                  <c:v>50.671382670786699</c:v>
                </c:pt>
                <c:pt idx="39">
                  <c:v>50.815879538087401</c:v>
                </c:pt>
                <c:pt idx="40">
                  <c:v>51.0105057738648</c:v>
                </c:pt>
                <c:pt idx="41">
                  <c:v>51.1985990553638</c:v>
                </c:pt>
                <c:pt idx="42">
                  <c:v>51.3161967879835</c:v>
                </c:pt>
                <c:pt idx="43">
                  <c:v>51.304873181557497</c:v>
                </c:pt>
                <c:pt idx="44">
                  <c:v>51.171632844151198</c:v>
                </c:pt>
                <c:pt idx="45">
                  <c:v>50.975595504416901</c:v>
                </c:pt>
                <c:pt idx="46">
                  <c:v>50.799077716628801</c:v>
                </c:pt>
                <c:pt idx="47">
                  <c:v>50.7101092544587</c:v>
                </c:pt>
                <c:pt idx="48">
                  <c:v>50.712284259900599</c:v>
                </c:pt>
                <c:pt idx="49">
                  <c:v>50.769339719110199</c:v>
                </c:pt>
                <c:pt idx="50">
                  <c:v>50.839885200930802</c:v>
                </c:pt>
                <c:pt idx="51">
                  <c:v>50.9034309186409</c:v>
                </c:pt>
                <c:pt idx="52">
                  <c:v>50.940288147001503</c:v>
                </c:pt>
                <c:pt idx="53">
                  <c:v>50.951043731909699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66-484C-9B00-3995F1E33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623376"/>
        <c:axId val="585623768"/>
      </c:lineChart>
      <c:catAx>
        <c:axId val="5856233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58562376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85623768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585623376"/>
        <c:crosses val="autoZero"/>
        <c:crossBetween val="between"/>
        <c:majorUnit val="4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Datos!$K$173:$K$232</c:f>
              <c:numCache>
                <c:formatCode>0.0_)</c:formatCode>
                <c:ptCount val="54"/>
                <c:pt idx="0">
                  <c:v>48.418558450178203</c:v>
                </c:pt>
                <c:pt idx="1">
                  <c:v>47.819418114268601</c:v>
                </c:pt>
                <c:pt idx="2">
                  <c:v>48.384532536999799</c:v>
                </c:pt>
                <c:pt idx="3">
                  <c:v>47.7825699618461</c:v>
                </c:pt>
                <c:pt idx="4">
                  <c:v>48.033786403755002</c:v>
                </c:pt>
                <c:pt idx="5">
                  <c:v>47.541941068260599</c:v>
                </c:pt>
                <c:pt idx="6">
                  <c:v>47.472598857950402</c:v>
                </c:pt>
                <c:pt idx="7">
                  <c:v>47.435708855278698</c:v>
                </c:pt>
                <c:pt idx="8">
                  <c:v>47.846496497503203</c:v>
                </c:pt>
                <c:pt idx="9">
                  <c:v>47.010781046810997</c:v>
                </c:pt>
                <c:pt idx="10">
                  <c:v>47.774780472081403</c:v>
                </c:pt>
                <c:pt idx="11">
                  <c:v>47.606687357857297</c:v>
                </c:pt>
                <c:pt idx="12">
                  <c:v>48.093128727031697</c:v>
                </c:pt>
                <c:pt idx="13">
                  <c:v>48.845423991470497</c:v>
                </c:pt>
                <c:pt idx="14">
                  <c:v>47.534291395594401</c:v>
                </c:pt>
                <c:pt idx="15">
                  <c:v>48.187789532167898</c:v>
                </c:pt>
                <c:pt idx="16">
                  <c:v>45.576251462233301</c:v>
                </c:pt>
                <c:pt idx="17">
                  <c:v>48.9273147216865</c:v>
                </c:pt>
                <c:pt idx="18">
                  <c:v>47.608836750298003</c:v>
                </c:pt>
                <c:pt idx="19">
                  <c:v>47.696644907680401</c:v>
                </c:pt>
                <c:pt idx="20">
                  <c:v>47.201776814183802</c:v>
                </c:pt>
                <c:pt idx="21">
                  <c:v>47.634437885236999</c:v>
                </c:pt>
                <c:pt idx="22">
                  <c:v>48.076793046851499</c:v>
                </c:pt>
                <c:pt idx="23">
                  <c:v>47.147080418651903</c:v>
                </c:pt>
                <c:pt idx="24">
                  <c:v>47.778935132056901</c:v>
                </c:pt>
                <c:pt idx="25">
                  <c:v>48.263825109137798</c:v>
                </c:pt>
                <c:pt idx="26">
                  <c:v>49.182517302466401</c:v>
                </c:pt>
                <c:pt idx="27">
                  <c:v>52.0785848164914</c:v>
                </c:pt>
                <c:pt idx="28">
                  <c:v>50.178509460206001</c:v>
                </c:pt>
                <c:pt idx="29">
                  <c:v>48.3048660888781</c:v>
                </c:pt>
                <c:pt idx="30">
                  <c:v>49.538945263677299</c:v>
                </c:pt>
                <c:pt idx="31">
                  <c:v>48.549997203128598</c:v>
                </c:pt>
                <c:pt idx="32">
                  <c:v>48.451320349491901</c:v>
                </c:pt>
                <c:pt idx="33">
                  <c:v>48.2194997922727</c:v>
                </c:pt>
                <c:pt idx="34">
                  <c:v>47.454003827867098</c:v>
                </c:pt>
                <c:pt idx="35">
                  <c:v>48.711676394532098</c:v>
                </c:pt>
                <c:pt idx="36">
                  <c:v>47.669624865901199</c:v>
                </c:pt>
                <c:pt idx="37">
                  <c:v>48.377172796493198</c:v>
                </c:pt>
                <c:pt idx="38">
                  <c:v>47.721937866097797</c:v>
                </c:pt>
                <c:pt idx="39">
                  <c:v>48.2701609097548</c:v>
                </c:pt>
                <c:pt idx="40">
                  <c:v>47.990863794054</c:v>
                </c:pt>
                <c:pt idx="41">
                  <c:v>48.830238951098998</c:v>
                </c:pt>
                <c:pt idx="42">
                  <c:v>48.341203457992698</c:v>
                </c:pt>
                <c:pt idx="43">
                  <c:v>49.447567794205597</c:v>
                </c:pt>
                <c:pt idx="44">
                  <c:v>51.398890933323003</c:v>
                </c:pt>
                <c:pt idx="45">
                  <c:v>52.500262868212303</c:v>
                </c:pt>
                <c:pt idx="46">
                  <c:v>50.920922223042197</c:v>
                </c:pt>
                <c:pt idx="47">
                  <c:v>48.324778429988001</c:v>
                </c:pt>
                <c:pt idx="48">
                  <c:v>50.277021035491202</c:v>
                </c:pt>
                <c:pt idx="49">
                  <c:v>49.266388231910902</c:v>
                </c:pt>
                <c:pt idx="50">
                  <c:v>50.811030061155599</c:v>
                </c:pt>
                <c:pt idx="51">
                  <c:v>49.320483309112703</c:v>
                </c:pt>
                <c:pt idx="52">
                  <c:v>49.241145893046998</c:v>
                </c:pt>
                <c:pt idx="53">
                  <c:v>49.530721707597998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5D-4729-89AB-ED0AB675F4FD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Datos!$L$173:$L$232</c:f>
              <c:numCache>
                <c:formatCode>0.0_)</c:formatCode>
                <c:ptCount val="54"/>
                <c:pt idx="0">
                  <c:v>48.1757446849033</c:v>
                </c:pt>
                <c:pt idx="1">
                  <c:v>48.182741251541799</c:v>
                </c:pt>
                <c:pt idx="2">
                  <c:v>48.101034548843003</c:v>
                </c:pt>
                <c:pt idx="3">
                  <c:v>47.971595056881903</c:v>
                </c:pt>
                <c:pt idx="4">
                  <c:v>47.8208068785774</c:v>
                </c:pt>
                <c:pt idx="5">
                  <c:v>47.678514174100499</c:v>
                </c:pt>
                <c:pt idx="6">
                  <c:v>47.563689504440703</c:v>
                </c:pt>
                <c:pt idx="7">
                  <c:v>47.478488345555697</c:v>
                </c:pt>
                <c:pt idx="8">
                  <c:v>47.464680691388097</c:v>
                </c:pt>
                <c:pt idx="9">
                  <c:v>47.524414741401998</c:v>
                </c:pt>
                <c:pt idx="10">
                  <c:v>47.632498793674898</c:v>
                </c:pt>
                <c:pt idx="11">
                  <c:v>47.765398667419603</c:v>
                </c:pt>
                <c:pt idx="12">
                  <c:v>47.877187358118803</c:v>
                </c:pt>
                <c:pt idx="13">
                  <c:v>47.940157495524403</c:v>
                </c:pt>
                <c:pt idx="14">
                  <c:v>47.945704131485101</c:v>
                </c:pt>
                <c:pt idx="15">
                  <c:v>47.886659750249102</c:v>
                </c:pt>
                <c:pt idx="16">
                  <c:v>47.771892479709301</c:v>
                </c:pt>
                <c:pt idx="17">
                  <c:v>47.673741870333401</c:v>
                </c:pt>
                <c:pt idx="18">
                  <c:v>47.602143039106103</c:v>
                </c:pt>
                <c:pt idx="19">
                  <c:v>47.556315536469299</c:v>
                </c:pt>
                <c:pt idx="20">
                  <c:v>47.512352295210199</c:v>
                </c:pt>
                <c:pt idx="21">
                  <c:v>47.500070331857103</c:v>
                </c:pt>
                <c:pt idx="22">
                  <c:v>47.556139850209298</c:v>
                </c:pt>
                <c:pt idx="23">
                  <c:v>47.721313473305699</c:v>
                </c:pt>
                <c:pt idx="24">
                  <c:v>48.009314234181502</c:v>
                </c:pt>
                <c:pt idx="25">
                  <c:v>48.399235924582598</c:v>
                </c:pt>
                <c:pt idx="26">
                  <c:v>48.816608113717002</c:v>
                </c:pt>
                <c:pt idx="27">
                  <c:v>49.162193807500998</c:v>
                </c:pt>
                <c:pt idx="28">
                  <c:v>49.363506144994297</c:v>
                </c:pt>
                <c:pt idx="29">
                  <c:v>49.3351593635306</c:v>
                </c:pt>
                <c:pt idx="30">
                  <c:v>49.110508920551098</c:v>
                </c:pt>
                <c:pt idx="31">
                  <c:v>48.785963607479097</c:v>
                </c:pt>
                <c:pt idx="32">
                  <c:v>48.461878416235898</c:v>
                </c:pt>
                <c:pt idx="33">
                  <c:v>48.201981703918499</c:v>
                </c:pt>
                <c:pt idx="34">
                  <c:v>48.038877102684502</c:v>
                </c:pt>
                <c:pt idx="35">
                  <c:v>47.962899397616702</c:v>
                </c:pt>
                <c:pt idx="36">
                  <c:v>47.942682618646799</c:v>
                </c:pt>
                <c:pt idx="37">
                  <c:v>47.967833526237698</c:v>
                </c:pt>
                <c:pt idx="38">
                  <c:v>48.008623922450901</c:v>
                </c:pt>
                <c:pt idx="39">
                  <c:v>48.109102838930198</c:v>
                </c:pt>
                <c:pt idx="40">
                  <c:v>48.307013803046402</c:v>
                </c:pt>
                <c:pt idx="41">
                  <c:v>48.648051067385701</c:v>
                </c:pt>
                <c:pt idx="42">
                  <c:v>49.122714790524</c:v>
                </c:pt>
                <c:pt idx="43">
                  <c:v>49.654173040548997</c:v>
                </c:pt>
                <c:pt idx="44">
                  <c:v>50.137351265371699</c:v>
                </c:pt>
                <c:pt idx="45">
                  <c:v>50.449596238880297</c:v>
                </c:pt>
                <c:pt idx="46">
                  <c:v>50.5408081515126</c:v>
                </c:pt>
                <c:pt idx="47">
                  <c:v>50.403754544329402</c:v>
                </c:pt>
                <c:pt idx="48">
                  <c:v>50.103967723920597</c:v>
                </c:pt>
                <c:pt idx="49">
                  <c:v>49.751681815761899</c:v>
                </c:pt>
                <c:pt idx="50">
                  <c:v>49.484181480416503</c:v>
                </c:pt>
                <c:pt idx="51">
                  <c:v>49.382127603190803</c:v>
                </c:pt>
                <c:pt idx="52">
                  <c:v>49.473985452273602</c:v>
                </c:pt>
                <c:pt idx="53">
                  <c:v>49.723898916500502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5D-4729-89AB-ED0AB675F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317104"/>
        <c:axId val="588318672"/>
      </c:lineChart>
      <c:catAx>
        <c:axId val="58831710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58831867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88318672"/>
        <c:scaling>
          <c:orientation val="minMax"/>
          <c:max val="54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588317104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Datos!$M$173:$M$232</c:f>
              <c:numCache>
                <c:formatCode>0.0_)</c:formatCode>
                <c:ptCount val="54"/>
                <c:pt idx="0">
                  <c:v>51.008529094328203</c:v>
                </c:pt>
                <c:pt idx="1">
                  <c:v>51.880103185901802</c:v>
                </c:pt>
                <c:pt idx="2">
                  <c:v>50.561608170987199</c:v>
                </c:pt>
                <c:pt idx="3">
                  <c:v>51.488793302384103</c:v>
                </c:pt>
                <c:pt idx="4">
                  <c:v>51.988599913152598</c:v>
                </c:pt>
                <c:pt idx="5">
                  <c:v>49.5357907081655</c:v>
                </c:pt>
                <c:pt idx="6">
                  <c:v>51.844183835031998</c:v>
                </c:pt>
                <c:pt idx="7">
                  <c:v>53.135384928501601</c:v>
                </c:pt>
                <c:pt idx="8">
                  <c:v>50.620970507744097</c:v>
                </c:pt>
                <c:pt idx="9">
                  <c:v>51.439530861711901</c:v>
                </c:pt>
                <c:pt idx="10">
                  <c:v>50.919397042105103</c:v>
                </c:pt>
                <c:pt idx="11">
                  <c:v>51.992648982931797</c:v>
                </c:pt>
                <c:pt idx="12">
                  <c:v>51.959937973497503</c:v>
                </c:pt>
                <c:pt idx="13">
                  <c:v>53.309140794706501</c:v>
                </c:pt>
                <c:pt idx="14">
                  <c:v>53.4720019843679</c:v>
                </c:pt>
                <c:pt idx="15">
                  <c:v>53.625520553348302</c:v>
                </c:pt>
                <c:pt idx="16">
                  <c:v>50.631292753954</c:v>
                </c:pt>
                <c:pt idx="17">
                  <c:v>52.105691364046898</c:v>
                </c:pt>
                <c:pt idx="18">
                  <c:v>51.853363058214498</c:v>
                </c:pt>
                <c:pt idx="19">
                  <c:v>51.101878596503397</c:v>
                </c:pt>
                <c:pt idx="20">
                  <c:v>51.895853387465898</c:v>
                </c:pt>
                <c:pt idx="21">
                  <c:v>49.056005146461999</c:v>
                </c:pt>
                <c:pt idx="22">
                  <c:v>51.501222101100097</c:v>
                </c:pt>
                <c:pt idx="23">
                  <c:v>50.966819891558202</c:v>
                </c:pt>
                <c:pt idx="24">
                  <c:v>49.419576848723601</c:v>
                </c:pt>
                <c:pt idx="25">
                  <c:v>48.557255731398399</c:v>
                </c:pt>
                <c:pt idx="26">
                  <c:v>48.187231643755901</c:v>
                </c:pt>
                <c:pt idx="27">
                  <c:v>45.386468686735199</c:v>
                </c:pt>
                <c:pt idx="28">
                  <c:v>45.953992450654098</c:v>
                </c:pt>
                <c:pt idx="29">
                  <c:v>49.886384767589497</c:v>
                </c:pt>
                <c:pt idx="30">
                  <c:v>50.440935084448803</c:v>
                </c:pt>
                <c:pt idx="31">
                  <c:v>51.020663061550401</c:v>
                </c:pt>
                <c:pt idx="32">
                  <c:v>50.831762222014298</c:v>
                </c:pt>
                <c:pt idx="33">
                  <c:v>51.565364687979603</c:v>
                </c:pt>
                <c:pt idx="34">
                  <c:v>51.285467122448502</c:v>
                </c:pt>
                <c:pt idx="35">
                  <c:v>52.436085561970003</c:v>
                </c:pt>
                <c:pt idx="36">
                  <c:v>53.4714575891268</c:v>
                </c:pt>
                <c:pt idx="37">
                  <c:v>51.025395581799899</c:v>
                </c:pt>
                <c:pt idx="38">
                  <c:v>52.649888915675703</c:v>
                </c:pt>
                <c:pt idx="39">
                  <c:v>52.844887728550297</c:v>
                </c:pt>
                <c:pt idx="40">
                  <c:v>52.343007317949798</c:v>
                </c:pt>
                <c:pt idx="41">
                  <c:v>53.764608694428702</c:v>
                </c:pt>
                <c:pt idx="42">
                  <c:v>53.115671104449298</c:v>
                </c:pt>
                <c:pt idx="43">
                  <c:v>53.503266022825002</c:v>
                </c:pt>
                <c:pt idx="44">
                  <c:v>54.779935088266903</c:v>
                </c:pt>
                <c:pt idx="45">
                  <c:v>53.655273913742299</c:v>
                </c:pt>
                <c:pt idx="46">
                  <c:v>55.134038247550897</c:v>
                </c:pt>
                <c:pt idx="47">
                  <c:v>50.9623340535274</c:v>
                </c:pt>
                <c:pt idx="48">
                  <c:v>51.480510078502398</c:v>
                </c:pt>
                <c:pt idx="49">
                  <c:v>50.293277104872502</c:v>
                </c:pt>
                <c:pt idx="50">
                  <c:v>55.627489037370701</c:v>
                </c:pt>
                <c:pt idx="51">
                  <c:v>52.982420491623202</c:v>
                </c:pt>
                <c:pt idx="52">
                  <c:v>53.473048520257699</c:v>
                </c:pt>
                <c:pt idx="53">
                  <c:v>52.931688371329599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58-49A2-865C-0A08C32E6471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Datos!$N$173:$N$232</c:f>
              <c:numCache>
                <c:formatCode>0.0_)</c:formatCode>
                <c:ptCount val="54"/>
                <c:pt idx="0">
                  <c:v>51.278825874654601</c:v>
                </c:pt>
                <c:pt idx="1">
                  <c:v>51.310900399384799</c:v>
                </c:pt>
                <c:pt idx="2">
                  <c:v>51.368055205072899</c:v>
                </c:pt>
                <c:pt idx="3">
                  <c:v>51.464382750923299</c:v>
                </c:pt>
                <c:pt idx="4">
                  <c:v>51.586896377567101</c:v>
                </c:pt>
                <c:pt idx="5">
                  <c:v>51.645899406607903</c:v>
                </c:pt>
                <c:pt idx="6">
                  <c:v>51.593537309464203</c:v>
                </c:pt>
                <c:pt idx="7">
                  <c:v>51.4568047529255</c:v>
                </c:pt>
                <c:pt idx="8">
                  <c:v>51.311339083664301</c:v>
                </c:pt>
                <c:pt idx="9">
                  <c:v>51.266027794186002</c:v>
                </c:pt>
                <c:pt idx="10">
                  <c:v>51.469060637099403</c:v>
                </c:pt>
                <c:pt idx="11">
                  <c:v>51.889094685085098</c:v>
                </c:pt>
                <c:pt idx="12">
                  <c:v>52.398995220615603</c:v>
                </c:pt>
                <c:pt idx="13">
                  <c:v>52.845347756416402</c:v>
                </c:pt>
                <c:pt idx="14">
                  <c:v>53.045749954646503</c:v>
                </c:pt>
                <c:pt idx="15">
                  <c:v>52.968289347075903</c:v>
                </c:pt>
                <c:pt idx="16">
                  <c:v>52.659405061578397</c:v>
                </c:pt>
                <c:pt idx="17">
                  <c:v>52.216408331076302</c:v>
                </c:pt>
                <c:pt idx="18">
                  <c:v>51.814592710338303</c:v>
                </c:pt>
                <c:pt idx="19">
                  <c:v>51.539862443168801</c:v>
                </c:pt>
                <c:pt idx="20">
                  <c:v>51.369159682921001</c:v>
                </c:pt>
                <c:pt idx="21">
                  <c:v>51.165814694837401</c:v>
                </c:pt>
                <c:pt idx="22">
                  <c:v>50.808562985000897</c:v>
                </c:pt>
                <c:pt idx="23">
                  <c:v>50.232874503337399</c:v>
                </c:pt>
                <c:pt idx="24">
                  <c:v>49.530632903605202</c:v>
                </c:pt>
                <c:pt idx="25">
                  <c:v>48.8604222586182</c:v>
                </c:pt>
                <c:pt idx="26">
                  <c:v>48.439804450399897</c:v>
                </c:pt>
                <c:pt idx="27">
                  <c:v>48.405593114293197</c:v>
                </c:pt>
                <c:pt idx="28">
                  <c:v>48.763125605567602</c:v>
                </c:pt>
                <c:pt idx="29">
                  <c:v>49.391106967950002</c:v>
                </c:pt>
                <c:pt idx="30">
                  <c:v>50.0492674963429</c:v>
                </c:pt>
                <c:pt idx="31">
                  <c:v>50.657961620224498</c:v>
                </c:pt>
                <c:pt idx="32">
                  <c:v>51.165753163566698</c:v>
                </c:pt>
                <c:pt idx="33">
                  <c:v>51.554673192887201</c:v>
                </c:pt>
                <c:pt idx="34">
                  <c:v>51.862446209642997</c:v>
                </c:pt>
                <c:pt idx="35">
                  <c:v>52.1008007402367</c:v>
                </c:pt>
                <c:pt idx="36">
                  <c:v>52.292541238779002</c:v>
                </c:pt>
                <c:pt idx="37">
                  <c:v>52.433249497919498</c:v>
                </c:pt>
                <c:pt idx="38">
                  <c:v>52.5294361409901</c:v>
                </c:pt>
                <c:pt idx="39">
                  <c:v>52.655163932769</c:v>
                </c:pt>
                <c:pt idx="40">
                  <c:v>52.886191213614801</c:v>
                </c:pt>
                <c:pt idx="41">
                  <c:v>53.235567442935697</c:v>
                </c:pt>
                <c:pt idx="42">
                  <c:v>53.6069524089853</c:v>
                </c:pt>
                <c:pt idx="43">
                  <c:v>53.798037831837199</c:v>
                </c:pt>
                <c:pt idx="44">
                  <c:v>53.693909178913401</c:v>
                </c:pt>
                <c:pt idx="45">
                  <c:v>53.353762509414999</c:v>
                </c:pt>
                <c:pt idx="46">
                  <c:v>52.865090015760998</c:v>
                </c:pt>
                <c:pt idx="47">
                  <c:v>52.4268682206121</c:v>
                </c:pt>
                <c:pt idx="48">
                  <c:v>52.213672867341302</c:v>
                </c:pt>
                <c:pt idx="49">
                  <c:v>52.265539304857903</c:v>
                </c:pt>
                <c:pt idx="50">
                  <c:v>52.553608243667099</c:v>
                </c:pt>
                <c:pt idx="51">
                  <c:v>52.872795928016302</c:v>
                </c:pt>
                <c:pt idx="52">
                  <c:v>53.030013238451303</c:v>
                </c:pt>
                <c:pt idx="53">
                  <c:v>52.972469591850697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58-49A2-865C-0A08C32E6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315536"/>
        <c:axId val="588318280"/>
      </c:lineChart>
      <c:catAx>
        <c:axId val="58831553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58831828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88318280"/>
        <c:scaling>
          <c:orientation val="minMax"/>
          <c:max val="56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58831553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0BC-49E9-9066-2C70B889741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0BC-49E9-9066-2C70B8897410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0BC-49E9-9066-2C70B8897410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0BC-49E9-9066-2C70B8897410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0BC-49E9-9066-2C70B8897410}"/>
              </c:ext>
            </c:extLst>
          </c:dPt>
          <c:dPt>
            <c:idx val="5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0BC-49E9-9066-2C70B8897410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0BC-49E9-9066-2C70B8897410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0BC-49E9-9066-2C70B8897410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0BC-49E9-9066-2C70B8897410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0BC-49E9-9066-2C70B8897410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0BC-49E9-9066-2C70B8897410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0BC-49E9-9066-2C70B8897410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E0BC-49E9-9066-2C70B8897410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E0BC-49E9-9066-2C70B8897410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E0BC-49E9-9066-2C70B8897410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E0BC-49E9-9066-2C70B8897410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E0BC-49E9-9066-2C70B8897410}"/>
              </c:ext>
            </c:extLst>
          </c:dPt>
          <c:dPt>
            <c:idx val="17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2-E0BC-49E9-9066-2C70B8897410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E0BC-49E9-9066-2C70B8897410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E0BC-49E9-9066-2C70B8897410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E0BC-49E9-9066-2C70B8897410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E0BC-49E9-9066-2C70B8897410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E0BC-49E9-9066-2C70B8897410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E0BC-49E9-9066-2C70B8897410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E0BC-49E9-9066-2C70B8897410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E0BC-49E9-9066-2C70B8897410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E0BC-49E9-9066-2C70B8897410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E0BC-49E9-9066-2C70B8897410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E0BC-49E9-9066-2C70B8897410}"/>
              </c:ext>
            </c:extLst>
          </c:dPt>
          <c:dPt>
            <c:idx val="29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9-E0BC-49E9-9066-2C70B8897410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B-E0BC-49E9-9066-2C70B8897410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D-E0BC-49E9-9066-2C70B8897410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F-E0BC-49E9-9066-2C70B8897410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1-E0BC-49E9-9066-2C70B8897410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3-E0BC-49E9-9066-2C70B8897410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5-E0BC-49E9-9066-2C70B8897410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7-E0BC-49E9-9066-2C70B8897410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8-E0BC-49E9-9066-2C70B8897410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9-E0BC-49E9-9066-2C70B8897410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A-E0BC-49E9-9066-2C70B8897410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B-E0BC-49E9-9066-2C70B8897410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4D-E0BC-49E9-9066-2C70B88974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Datos!$A$197:$B$232</c:f>
              <c:multiLvlStrCache>
                <c:ptCount val="3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Jp/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Datos!$C$197:$C$232</c:f>
              <c:numCache>
                <c:formatCode>0.0</c:formatCode>
                <c:ptCount val="30"/>
                <c:pt idx="0">
                  <c:v>50.593000000000004</c:v>
                </c:pt>
                <c:pt idx="1">
                  <c:v>49.433</c:v>
                </c:pt>
                <c:pt idx="2">
                  <c:v>48.584000000000003</c:v>
                </c:pt>
                <c:pt idx="3">
                  <c:v>41.179000000000002</c:v>
                </c:pt>
                <c:pt idx="4">
                  <c:v>39.32</c:v>
                </c:pt>
                <c:pt idx="5">
                  <c:v>49.749000000000002</c:v>
                </c:pt>
                <c:pt idx="6">
                  <c:v>50.493000000000002</c:v>
                </c:pt>
                <c:pt idx="7">
                  <c:v>50.523000000000003</c:v>
                </c:pt>
                <c:pt idx="8">
                  <c:v>50.198</c:v>
                </c:pt>
                <c:pt idx="9">
                  <c:v>51.692999999999998</c:v>
                </c:pt>
                <c:pt idx="10">
                  <c:v>50.52</c:v>
                </c:pt>
                <c:pt idx="11">
                  <c:v>50.048999999999999</c:v>
                </c:pt>
                <c:pt idx="12">
                  <c:v>52.113999999999997</c:v>
                </c:pt>
                <c:pt idx="13">
                  <c:v>49.444000000000003</c:v>
                </c:pt>
                <c:pt idx="14">
                  <c:v>52.015000000000001</c:v>
                </c:pt>
                <c:pt idx="15">
                  <c:v>49.947000000000003</c:v>
                </c:pt>
                <c:pt idx="16">
                  <c:v>51.122999999999998</c:v>
                </c:pt>
                <c:pt idx="17">
                  <c:v>51.884999999999998</c:v>
                </c:pt>
                <c:pt idx="18">
                  <c:v>52.679000000000002</c:v>
                </c:pt>
                <c:pt idx="19">
                  <c:v>53.011000000000003</c:v>
                </c:pt>
                <c:pt idx="20">
                  <c:v>53.173000000000002</c:v>
                </c:pt>
                <c:pt idx="21">
                  <c:v>53.332000000000001</c:v>
                </c:pt>
                <c:pt idx="22">
                  <c:v>53.104999999999997</c:v>
                </c:pt>
                <c:pt idx="23">
                  <c:v>51.113</c:v>
                </c:pt>
                <c:pt idx="24">
                  <c:v>51.466000000000001</c:v>
                </c:pt>
                <c:pt idx="25">
                  <c:v>51.744999999999997</c:v>
                </c:pt>
                <c:pt idx="26">
                  <c:v>55.420999999999999</c:v>
                </c:pt>
                <c:pt idx="27">
                  <c:v>51.046999999999997</c:v>
                </c:pt>
                <c:pt idx="28">
                  <c:v>53.889000000000003</c:v>
                </c:pt>
                <c:pt idx="29">
                  <c:v>51.741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E-E0BC-49E9-9066-2C70B8897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88317496"/>
        <c:axId val="588316320"/>
      </c:barChart>
      <c:catAx>
        <c:axId val="588317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58831632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588316320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58831749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8B7C-8BF3-400E-9E99-976F903B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10</TotalTime>
  <Pages>10</Pages>
  <Words>2434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de Pedidos Manufactureros</vt:lpstr>
    </vt:vector>
  </TitlesOfParts>
  <Company>INEGI</Company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de Pedidos Manufactureros</dc:title>
  <dc:creator>INEGI</dc:creator>
  <cp:keywords>Opinión Empresa Expectativas Indicador Pedidos</cp:keywords>
  <cp:lastModifiedBy>GUILLEN MEDINA MOISES</cp:lastModifiedBy>
  <cp:revision>14</cp:revision>
  <cp:lastPrinted>2021-06-29T22:15:00Z</cp:lastPrinted>
  <dcterms:created xsi:type="dcterms:W3CDTF">2022-06-30T15:43:00Z</dcterms:created>
  <dcterms:modified xsi:type="dcterms:W3CDTF">2022-06-30T22:56:00Z</dcterms:modified>
  <cp:category>Encuesta Mensual de Opinión Empresarial (EMOE)</cp:category>
  <cp:version>1</cp:version>
</cp:coreProperties>
</file>