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25EE2" w14:textId="77777777" w:rsidR="00841E11" w:rsidRDefault="00841E11" w:rsidP="00841E11">
      <w:pPr>
        <w:pStyle w:val="Default"/>
        <w:tabs>
          <w:tab w:val="left" w:pos="2410"/>
          <w:tab w:val="left" w:pos="3402"/>
          <w:tab w:val="left" w:pos="3686"/>
        </w:tabs>
        <w:spacing w:before="240"/>
        <w:ind w:left="-851" w:right="-232"/>
        <w:jc w:val="center"/>
        <w:rPr>
          <w:b/>
          <w:sz w:val="28"/>
        </w:rPr>
      </w:pPr>
      <w:r>
        <w:rPr>
          <w:noProof/>
          <w:sz w:val="20"/>
          <w:lang w:val="es-MX" w:eastAsia="es-MX"/>
        </w:rPr>
        <mc:AlternateContent>
          <mc:Choice Requires="wps">
            <w:drawing>
              <wp:anchor distT="45720" distB="45720" distL="114300" distR="114300" simplePos="0" relativeHeight="251659264" behindDoc="0" locked="0" layoutInCell="1" allowOverlap="1" wp14:anchorId="3D91891A" wp14:editId="13459273">
                <wp:simplePos x="0" y="0"/>
                <wp:positionH relativeFrom="column">
                  <wp:posOffset>2722245</wp:posOffset>
                </wp:positionH>
                <wp:positionV relativeFrom="paragraph">
                  <wp:posOffset>322580</wp:posOffset>
                </wp:positionV>
                <wp:extent cx="3418205" cy="325755"/>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8205" cy="325755"/>
                        </a:xfrm>
                        <a:prstGeom prst="rect">
                          <a:avLst/>
                        </a:prstGeom>
                        <a:solidFill>
                          <a:srgbClr val="FFFFFF"/>
                        </a:solidFill>
                        <a:ln w="9525">
                          <a:noFill/>
                          <a:miter lim="800000"/>
                          <a:headEnd/>
                          <a:tailEnd/>
                        </a:ln>
                      </wps:spPr>
                      <wps:txbx>
                        <w:txbxContent>
                          <w:p w14:paraId="080799D3" w14:textId="77777777" w:rsidR="00841E11" w:rsidRPr="00265B8C" w:rsidRDefault="00841E11" w:rsidP="00841E11">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29 de abril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91891A" id="_x0000_t202" coordsize="21600,21600" o:spt="202" path="m,l,21600r21600,l21600,xe">
                <v:stroke joinstyle="miter"/>
                <v:path gradientshapeok="t" o:connecttype="rect"/>
              </v:shapetype>
              <v:shape id="Cuadro de texto 217" o:spid="_x0000_s1026" type="#_x0000_t202" style="position:absolute;left:0;text-align:left;margin-left:214.35pt;margin-top:25.4pt;width:269.15pt;height:25.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" stroked="f">
                <v:textbox>
                  <w:txbxContent>
                    <w:p w14:paraId="080799D3" w14:textId="77777777" w:rsidR="00841E11" w:rsidRPr="00265B8C" w:rsidRDefault="00841E11" w:rsidP="00841E11">
                      <w:pPr>
                        <w:jc w:val="right"/>
                        <w:rPr>
                          <w:rFonts w:cs="Arial"/>
                          <w:szCs w:val="24"/>
                        </w:rPr>
                      </w:pPr>
                      <w:r w:rsidRPr="00265B8C">
                        <w:rPr>
                          <w:rFonts w:cs="Arial"/>
                          <w:b/>
                          <w:color w:val="FFFFFF" w:themeColor="background1"/>
                          <w:szCs w:val="24"/>
                          <w:shd w:val="clear" w:color="auto" w:fill="365F91" w:themeFill="accent1" w:themeFillShade="BF"/>
                          <w:lang w:val="pt-BR"/>
                        </w:rPr>
                        <w:t xml:space="preserve">Próxima </w:t>
                      </w:r>
                      <w:proofErr w:type="spellStart"/>
                      <w:r w:rsidRPr="00265B8C">
                        <w:rPr>
                          <w:rFonts w:cs="Arial"/>
                          <w:b/>
                          <w:color w:val="FFFFFF" w:themeColor="background1"/>
                          <w:szCs w:val="24"/>
                          <w:shd w:val="clear" w:color="auto" w:fill="365F91" w:themeFill="accent1" w:themeFillShade="BF"/>
                          <w:lang w:val="pt-BR"/>
                        </w:rPr>
                        <w:t>publicación</w:t>
                      </w:r>
                      <w:proofErr w:type="spellEnd"/>
                      <w:r>
                        <w:rPr>
                          <w:rFonts w:cs="Arial"/>
                          <w:b/>
                          <w:color w:val="FFFFFF" w:themeColor="background1"/>
                          <w:szCs w:val="24"/>
                          <w:shd w:val="clear" w:color="auto" w:fill="365F91" w:themeFill="accent1" w:themeFillShade="BF"/>
                          <w:lang w:val="pt-BR"/>
                        </w:rPr>
                        <w:t>:  29 de abril</w:t>
                      </w:r>
                    </w:p>
                  </w:txbxContent>
                </v:textbox>
                <w10:wrap type="square"/>
              </v:shape>
            </w:pict>
          </mc:Fallback>
        </mc:AlternateContent>
      </w:r>
    </w:p>
    <w:p w14:paraId="101ED973" w14:textId="77777777" w:rsidR="00841E11" w:rsidRDefault="00841E11" w:rsidP="00841E11">
      <w:pPr>
        <w:tabs>
          <w:tab w:val="left" w:pos="8789"/>
        </w:tabs>
        <w:ind w:right="51"/>
        <w:jc w:val="center"/>
        <w:rPr>
          <w:b/>
          <w:sz w:val="28"/>
        </w:rPr>
      </w:pPr>
    </w:p>
    <w:p w14:paraId="0A88BFFC" w14:textId="77777777" w:rsidR="00841E11" w:rsidRDefault="00841E11" w:rsidP="00841E11">
      <w:pPr>
        <w:pStyle w:val="Default"/>
        <w:tabs>
          <w:tab w:val="left" w:pos="2410"/>
          <w:tab w:val="left" w:pos="3402"/>
          <w:tab w:val="left" w:pos="3686"/>
        </w:tabs>
        <w:ind w:left="-851" w:right="-232"/>
        <w:jc w:val="center"/>
        <w:rPr>
          <w:rFonts w:eastAsia="Times New Roman"/>
          <w:b/>
          <w:bCs/>
          <w:sz w:val="28"/>
          <w:szCs w:val="28"/>
          <w:lang w:val="es-ES_tradnl"/>
        </w:rPr>
      </w:pPr>
    </w:p>
    <w:p w14:paraId="3B39EAA8" w14:textId="3BC79D38" w:rsidR="00841E11" w:rsidRPr="007C2F3B" w:rsidRDefault="00841E11" w:rsidP="00841E11">
      <w:pPr>
        <w:pStyle w:val="Default"/>
        <w:tabs>
          <w:tab w:val="left" w:pos="2410"/>
          <w:tab w:val="left" w:pos="3402"/>
          <w:tab w:val="left" w:pos="3686"/>
        </w:tabs>
        <w:spacing w:before="120"/>
        <w:jc w:val="center"/>
        <w:rPr>
          <w:rFonts w:eastAsia="Times New Roman"/>
          <w:b/>
          <w:bCs/>
          <w:lang w:val="es-ES_tradnl"/>
        </w:rPr>
      </w:pPr>
      <w:bookmarkStart w:id="0" w:name="_GoBack"/>
      <w:bookmarkEnd w:id="0"/>
      <w:r w:rsidRPr="007C2F3B">
        <w:rPr>
          <w:rFonts w:eastAsia="Times New Roman"/>
          <w:b/>
          <w:bCs/>
          <w:lang w:val="es-ES_tradnl"/>
        </w:rPr>
        <w:t>INDICADORES TRIMESTRALES DE LA ACTIVIDAD TURÍSTICA</w:t>
      </w:r>
      <w:r w:rsidRPr="007C2F3B">
        <w:rPr>
          <w:b/>
          <w:color w:val="auto"/>
          <w:vertAlign w:val="superscript"/>
        </w:rPr>
        <w:footnoteReference w:id="1"/>
      </w:r>
      <w:r w:rsidRPr="007C2F3B">
        <w:rPr>
          <w:rFonts w:eastAsia="Times New Roman"/>
          <w:b/>
          <w:bCs/>
          <w:lang w:val="es-ES_tradnl"/>
        </w:rPr>
        <w:t xml:space="preserve"> </w:t>
      </w:r>
    </w:p>
    <w:p w14:paraId="37EC0D24" w14:textId="77777777" w:rsidR="00841E11" w:rsidRPr="007C2F3B" w:rsidRDefault="00841E11" w:rsidP="00841E11">
      <w:pPr>
        <w:pStyle w:val="Default"/>
        <w:tabs>
          <w:tab w:val="left" w:pos="2410"/>
          <w:tab w:val="left" w:pos="3402"/>
          <w:tab w:val="left" w:pos="3686"/>
        </w:tabs>
        <w:jc w:val="center"/>
        <w:rPr>
          <w:rFonts w:eastAsia="Times New Roman"/>
          <w:b/>
          <w:bCs/>
          <w:lang w:val="es-ES_tradnl"/>
        </w:rPr>
      </w:pPr>
      <w:r w:rsidRPr="007C2F3B">
        <w:rPr>
          <w:rFonts w:eastAsia="Times New Roman"/>
          <w:b/>
          <w:bCs/>
          <w:lang w:val="es-ES_tradnl"/>
        </w:rPr>
        <w:t>TERCER TRIMESTRE DE 2021</w:t>
      </w:r>
    </w:p>
    <w:p w14:paraId="75C0FD4F" w14:textId="77777777" w:rsidR="00841E11" w:rsidRPr="00BC008C" w:rsidRDefault="00841E11" w:rsidP="00841E11">
      <w:pPr>
        <w:pStyle w:val="bullet"/>
        <w:widowControl/>
        <w:numPr>
          <w:ilvl w:val="0"/>
          <w:numId w:val="0"/>
        </w:numPr>
        <w:tabs>
          <w:tab w:val="left" w:pos="8364"/>
        </w:tabs>
        <w:spacing w:before="360"/>
        <w:ind w:left="-426" w:right="-547"/>
        <w:rPr>
          <w:b w:val="0"/>
          <w:snapToGrid/>
          <w:color w:val="auto"/>
          <w:sz w:val="24"/>
          <w:szCs w:val="24"/>
        </w:rPr>
      </w:pPr>
      <w:r w:rsidRPr="00BC008C">
        <w:rPr>
          <w:b w:val="0"/>
          <w:snapToGrid/>
          <w:color w:val="auto"/>
          <w:sz w:val="24"/>
          <w:szCs w:val="24"/>
        </w:rPr>
        <w:t>En el tercer trimestre de 2021 y con cifras desestacionalizadas</w:t>
      </w:r>
      <w:r w:rsidRPr="00BC008C">
        <w:rPr>
          <w:b w:val="0"/>
          <w:color w:val="auto"/>
          <w:sz w:val="24"/>
          <w:szCs w:val="24"/>
          <w:vertAlign w:val="superscript"/>
        </w:rPr>
        <w:footnoteReference w:id="2"/>
      </w:r>
      <w:r w:rsidRPr="00BC008C">
        <w:rPr>
          <w:b w:val="0"/>
          <w:snapToGrid/>
          <w:color w:val="auto"/>
          <w:sz w:val="24"/>
          <w:szCs w:val="24"/>
        </w:rPr>
        <w:t>, el Indicador Trimestral del PIB Turístico registró un aumento trimestral de 2.5% en términos reales y el del Consumo Turístico Interior se incrementó 4.6%.</w:t>
      </w:r>
    </w:p>
    <w:p w14:paraId="07C2BABC" w14:textId="77777777" w:rsidR="00841E11" w:rsidRDefault="00841E11" w:rsidP="00841E11">
      <w:pPr>
        <w:pStyle w:val="Default"/>
        <w:jc w:val="center"/>
        <w:rPr>
          <w:rFonts w:eastAsia="Times New Roman"/>
          <w:b/>
          <w:smallCaps/>
          <w:snapToGrid w:val="0"/>
          <w:color w:val="auto"/>
          <w:sz w:val="22"/>
          <w:szCs w:val="22"/>
          <w:lang w:val="es-ES_tradnl"/>
        </w:rPr>
      </w:pPr>
    </w:p>
    <w:p w14:paraId="54827BAA" w14:textId="77777777" w:rsidR="00841E11" w:rsidRDefault="00841E11" w:rsidP="00F45E8B">
      <w:pPr>
        <w:pStyle w:val="Default"/>
        <w:spacing w:before="120"/>
        <w:jc w:val="center"/>
        <w:rPr>
          <w:b/>
          <w:smallCaps/>
          <w:color w:val="auto"/>
          <w:sz w:val="22"/>
          <w:szCs w:val="22"/>
        </w:rPr>
      </w:pPr>
      <w:r w:rsidRPr="003F5A16">
        <w:rPr>
          <w:rFonts w:eastAsia="Times New Roman"/>
          <w:b/>
          <w:smallCaps/>
          <w:snapToGrid w:val="0"/>
          <w:color w:val="auto"/>
          <w:sz w:val="22"/>
          <w:szCs w:val="22"/>
          <w:lang w:val="es-ES_tradnl"/>
        </w:rPr>
        <w:t xml:space="preserve">Indicador trimestral del </w:t>
      </w:r>
      <w:r>
        <w:rPr>
          <w:rFonts w:eastAsia="Times New Roman"/>
          <w:b/>
          <w:smallCaps/>
          <w:snapToGrid w:val="0"/>
          <w:color w:val="auto"/>
          <w:sz w:val="22"/>
          <w:szCs w:val="22"/>
          <w:lang w:val="es-ES_tradnl"/>
        </w:rPr>
        <w:t>PIB</w:t>
      </w:r>
      <w:r w:rsidRPr="003F5A16">
        <w:rPr>
          <w:rFonts w:eastAsia="Times New Roman"/>
          <w:b/>
          <w:smallCaps/>
          <w:snapToGrid w:val="0"/>
          <w:color w:val="auto"/>
          <w:sz w:val="22"/>
          <w:szCs w:val="22"/>
          <w:lang w:val="es-ES_tradnl"/>
        </w:rPr>
        <w:t xml:space="preserve"> turístico </w:t>
      </w:r>
      <w:r w:rsidRPr="003F5A16">
        <w:rPr>
          <w:b/>
          <w:smallCaps/>
          <w:color w:val="auto"/>
          <w:sz w:val="22"/>
          <w:szCs w:val="22"/>
        </w:rPr>
        <w:t xml:space="preserve">y del consumo </w:t>
      </w:r>
    </w:p>
    <w:p w14:paraId="2CCEF988" w14:textId="77777777" w:rsidR="00841E11" w:rsidRPr="00D41962" w:rsidRDefault="00841E11" w:rsidP="00841E11">
      <w:pPr>
        <w:pStyle w:val="Default"/>
        <w:jc w:val="center"/>
        <w:rPr>
          <w:b/>
          <w:iCs/>
          <w:smallCaps/>
          <w:color w:val="auto"/>
          <w:sz w:val="22"/>
          <w:szCs w:val="22"/>
          <w:lang w:val="es-MX" w:eastAsia="es-MX"/>
        </w:rPr>
      </w:pPr>
      <w:r w:rsidRPr="003F5A16">
        <w:rPr>
          <w:b/>
          <w:smallCaps/>
          <w:color w:val="auto"/>
          <w:sz w:val="22"/>
          <w:szCs w:val="22"/>
        </w:rPr>
        <w:t>turístico</w:t>
      </w:r>
      <w:r w:rsidRPr="002D5B11">
        <w:rPr>
          <w:b/>
          <w:smallCaps/>
          <w:color w:val="auto"/>
          <w:sz w:val="22"/>
          <w:szCs w:val="22"/>
        </w:rPr>
        <w:t xml:space="preserve"> </w:t>
      </w:r>
      <w:r>
        <w:rPr>
          <w:b/>
          <w:smallCaps/>
          <w:color w:val="auto"/>
          <w:sz w:val="22"/>
          <w:szCs w:val="22"/>
        </w:rPr>
        <w:t>i</w:t>
      </w:r>
      <w:r w:rsidRPr="002D5B11">
        <w:rPr>
          <w:b/>
          <w:smallCaps/>
          <w:color w:val="auto"/>
          <w:sz w:val="22"/>
          <w:szCs w:val="22"/>
        </w:rPr>
        <w:t>nterior</w:t>
      </w:r>
      <w:r>
        <w:rPr>
          <w:b/>
          <w:smallCaps/>
          <w:color w:val="auto"/>
          <w:sz w:val="22"/>
          <w:szCs w:val="22"/>
        </w:rPr>
        <w:t>,</w:t>
      </w:r>
      <w:r w:rsidRPr="002D5B11">
        <w:rPr>
          <w:b/>
          <w:smallCaps/>
          <w:color w:val="auto"/>
          <w:sz w:val="22"/>
          <w:szCs w:val="22"/>
        </w:rPr>
        <w:t xml:space="preserve"> </w:t>
      </w:r>
      <w:r>
        <w:rPr>
          <w:b/>
          <w:smallCaps/>
          <w:color w:val="auto"/>
          <w:sz w:val="22"/>
          <w:szCs w:val="22"/>
        </w:rPr>
        <w:t>tercer</w:t>
      </w:r>
      <w:r w:rsidRPr="002D5B11">
        <w:rPr>
          <w:b/>
          <w:smallCaps/>
          <w:color w:val="auto"/>
          <w:sz w:val="22"/>
          <w:szCs w:val="22"/>
        </w:rPr>
        <w:t xml:space="preserve"> trimestre de 20</w:t>
      </w:r>
      <w:r>
        <w:rPr>
          <w:b/>
          <w:smallCaps/>
          <w:color w:val="auto"/>
          <w:sz w:val="22"/>
          <w:szCs w:val="22"/>
        </w:rPr>
        <w:t>21</w:t>
      </w:r>
      <w:r>
        <w:rPr>
          <w:b/>
          <w:iCs/>
          <w:smallCaps/>
          <w:sz w:val="22"/>
          <w:szCs w:val="22"/>
          <w:lang w:val="es-MX" w:eastAsia="es-MX"/>
        </w:rPr>
        <w:t xml:space="preserve"> </w:t>
      </w:r>
    </w:p>
    <w:p w14:paraId="1B47A8E8" w14:textId="77777777" w:rsidR="00841E11" w:rsidRDefault="00841E11" w:rsidP="00841E11">
      <w:pPr>
        <w:pStyle w:val="p0"/>
        <w:spacing w:before="0"/>
        <w:jc w:val="center"/>
        <w:rPr>
          <w:rFonts w:cs="Arial"/>
          <w:b/>
          <w:smallCaps/>
          <w:color w:val="auto"/>
          <w:sz w:val="22"/>
          <w:szCs w:val="22"/>
        </w:rPr>
      </w:pPr>
      <w:r>
        <w:rPr>
          <w:rFonts w:cs="Arial"/>
          <w:b/>
          <w:smallCaps/>
          <w:color w:val="auto"/>
          <w:sz w:val="22"/>
          <w:szCs w:val="22"/>
        </w:rPr>
        <w:t xml:space="preserve">cifras desestacionalizadas </w:t>
      </w:r>
    </w:p>
    <w:tbl>
      <w:tblPr>
        <w:tblW w:w="0" w:type="auto"/>
        <w:jc w:val="center"/>
        <w:tblLayout w:type="fixed"/>
        <w:tblCellMar>
          <w:left w:w="107" w:type="dxa"/>
          <w:right w:w="107" w:type="dxa"/>
        </w:tblCellMar>
        <w:tblLook w:val="04A0" w:firstRow="1" w:lastRow="0" w:firstColumn="1" w:lastColumn="0" w:noHBand="0" w:noVBand="1"/>
      </w:tblPr>
      <w:tblGrid>
        <w:gridCol w:w="3104"/>
        <w:gridCol w:w="1559"/>
        <w:gridCol w:w="1701"/>
      </w:tblGrid>
      <w:tr w:rsidR="00841E11" w14:paraId="54FB30F5" w14:textId="77777777" w:rsidTr="00DA4D6E">
        <w:trPr>
          <w:cantSplit/>
          <w:trHeight w:val="283"/>
          <w:jc w:val="center"/>
        </w:trPr>
        <w:tc>
          <w:tcPr>
            <w:tcW w:w="3104" w:type="dxa"/>
            <w:vMerge w:val="restart"/>
            <w:tcBorders>
              <w:top w:val="double" w:sz="4" w:space="0" w:color="auto"/>
              <w:left w:val="double" w:sz="4" w:space="0" w:color="auto"/>
              <w:right w:val="single" w:sz="8" w:space="0" w:color="404040"/>
            </w:tcBorders>
            <w:shd w:val="clear" w:color="auto" w:fill="C2D69B" w:themeFill="accent3" w:themeFillTint="99"/>
            <w:vAlign w:val="center"/>
            <w:hideMark/>
          </w:tcPr>
          <w:p w14:paraId="27277F3C" w14:textId="77777777" w:rsidR="00841E11" w:rsidRDefault="00841E11" w:rsidP="00DA4D6E">
            <w:pPr>
              <w:pStyle w:val="p0"/>
              <w:tabs>
                <w:tab w:val="left" w:pos="546"/>
              </w:tabs>
              <w:spacing w:before="120" w:after="120"/>
              <w:ind w:right="284"/>
              <w:jc w:val="center"/>
              <w:rPr>
                <w:rFonts w:cs="Arial"/>
                <w:color w:val="auto"/>
                <w:sz w:val="18"/>
                <w:lang w:val="es-ES"/>
              </w:rPr>
            </w:pPr>
            <w:r>
              <w:rPr>
                <w:rFonts w:cs="Arial"/>
                <w:color w:val="auto"/>
                <w:sz w:val="18"/>
                <w:lang w:val="es-ES"/>
              </w:rPr>
              <w:t>Concepto</w:t>
            </w:r>
          </w:p>
        </w:tc>
        <w:tc>
          <w:tcPr>
            <w:tcW w:w="3260" w:type="dxa"/>
            <w:gridSpan w:val="2"/>
            <w:tcBorders>
              <w:top w:val="double" w:sz="4" w:space="0" w:color="auto"/>
              <w:left w:val="single" w:sz="8" w:space="0" w:color="404040"/>
              <w:bottom w:val="single" w:sz="4" w:space="0" w:color="auto"/>
              <w:right w:val="double" w:sz="4" w:space="0" w:color="auto"/>
            </w:tcBorders>
            <w:shd w:val="clear" w:color="auto" w:fill="C2D69B" w:themeFill="accent3" w:themeFillTint="99"/>
            <w:vAlign w:val="center"/>
            <w:hideMark/>
          </w:tcPr>
          <w:p w14:paraId="3148E80E" w14:textId="77777777" w:rsidR="00841E11" w:rsidRDefault="00841E11" w:rsidP="00DA4D6E">
            <w:pPr>
              <w:pStyle w:val="p0"/>
              <w:keepNext/>
              <w:spacing w:before="0"/>
              <w:jc w:val="center"/>
              <w:rPr>
                <w:rFonts w:cs="Arial"/>
                <w:color w:val="auto"/>
                <w:sz w:val="18"/>
                <w:lang w:val="es-ES"/>
              </w:rPr>
            </w:pPr>
            <w:r>
              <w:rPr>
                <w:rFonts w:cs="Arial"/>
                <w:color w:val="auto"/>
                <w:sz w:val="18"/>
                <w:lang w:val="es-ES"/>
              </w:rPr>
              <w:t>Variación porcentual respecto al:</w:t>
            </w:r>
          </w:p>
        </w:tc>
      </w:tr>
      <w:tr w:rsidR="00841E11" w14:paraId="30B4E11C" w14:textId="77777777" w:rsidTr="00DA4D6E">
        <w:trPr>
          <w:cantSplit/>
          <w:trHeight w:val="283"/>
          <w:jc w:val="center"/>
        </w:trPr>
        <w:tc>
          <w:tcPr>
            <w:tcW w:w="3104" w:type="dxa"/>
            <w:vMerge/>
            <w:tcBorders>
              <w:left w:val="double" w:sz="4" w:space="0" w:color="auto"/>
              <w:bottom w:val="single" w:sz="8" w:space="0" w:color="404040"/>
              <w:right w:val="single" w:sz="8" w:space="0" w:color="404040"/>
            </w:tcBorders>
            <w:shd w:val="clear" w:color="auto" w:fill="C2D69B" w:themeFill="accent3" w:themeFillTint="99"/>
            <w:vAlign w:val="center"/>
          </w:tcPr>
          <w:p w14:paraId="439218F8" w14:textId="77777777" w:rsidR="00841E11" w:rsidRDefault="00841E11" w:rsidP="00DA4D6E">
            <w:pPr>
              <w:pStyle w:val="p0"/>
              <w:tabs>
                <w:tab w:val="left" w:pos="546"/>
              </w:tabs>
              <w:spacing w:before="120" w:after="120"/>
              <w:ind w:right="284"/>
              <w:jc w:val="center"/>
              <w:rPr>
                <w:rFonts w:cs="Arial"/>
                <w:color w:val="auto"/>
                <w:sz w:val="18"/>
                <w:lang w:val="es-ES"/>
              </w:rPr>
            </w:pPr>
          </w:p>
        </w:tc>
        <w:tc>
          <w:tcPr>
            <w:tcW w:w="1559" w:type="dxa"/>
            <w:tcBorders>
              <w:top w:val="single" w:sz="4" w:space="0" w:color="auto"/>
              <w:left w:val="single" w:sz="8" w:space="0" w:color="404040"/>
              <w:bottom w:val="single" w:sz="8" w:space="0" w:color="404040"/>
              <w:right w:val="single" w:sz="8" w:space="0" w:color="404040"/>
            </w:tcBorders>
            <w:shd w:val="clear" w:color="auto" w:fill="C2D69B" w:themeFill="accent3" w:themeFillTint="99"/>
            <w:vAlign w:val="center"/>
          </w:tcPr>
          <w:p w14:paraId="56D4C67F" w14:textId="77777777" w:rsidR="00841E11" w:rsidRDefault="00841E11" w:rsidP="00DA4D6E">
            <w:pPr>
              <w:pStyle w:val="p0"/>
              <w:keepNext/>
              <w:spacing w:before="0"/>
              <w:jc w:val="center"/>
              <w:rPr>
                <w:rFonts w:cs="Arial"/>
                <w:color w:val="auto"/>
                <w:sz w:val="18"/>
                <w:lang w:val="es-ES"/>
              </w:rPr>
            </w:pPr>
            <w:r>
              <w:rPr>
                <w:rFonts w:cs="Arial"/>
                <w:color w:val="auto"/>
                <w:sz w:val="18"/>
                <w:lang w:val="es-ES"/>
              </w:rPr>
              <w:t>Trimestre previo</w:t>
            </w:r>
          </w:p>
        </w:tc>
        <w:tc>
          <w:tcPr>
            <w:tcW w:w="1701" w:type="dxa"/>
            <w:tcBorders>
              <w:top w:val="single" w:sz="4" w:space="0" w:color="auto"/>
              <w:left w:val="single" w:sz="8" w:space="0" w:color="404040"/>
              <w:bottom w:val="single" w:sz="8" w:space="0" w:color="404040"/>
              <w:right w:val="double" w:sz="4" w:space="0" w:color="auto"/>
            </w:tcBorders>
            <w:shd w:val="clear" w:color="auto" w:fill="C2D69B" w:themeFill="accent3" w:themeFillTint="99"/>
            <w:vAlign w:val="center"/>
          </w:tcPr>
          <w:p w14:paraId="3BCFDF43" w14:textId="77777777" w:rsidR="00841E11" w:rsidRDefault="00841E11" w:rsidP="00DA4D6E">
            <w:pPr>
              <w:pStyle w:val="p0"/>
              <w:keepNext/>
              <w:spacing w:before="0"/>
              <w:jc w:val="center"/>
              <w:rPr>
                <w:rFonts w:cs="Arial"/>
                <w:color w:val="auto"/>
                <w:sz w:val="18"/>
                <w:lang w:val="es-ES"/>
              </w:rPr>
            </w:pPr>
            <w:r>
              <w:rPr>
                <w:rFonts w:cs="Arial"/>
                <w:color w:val="auto"/>
                <w:sz w:val="18"/>
                <w:lang w:val="es-ES"/>
              </w:rPr>
              <w:t>Mismo trimestre del año anterior</w:t>
            </w:r>
          </w:p>
        </w:tc>
      </w:tr>
      <w:tr w:rsidR="00841E11" w14:paraId="60E4685D" w14:textId="77777777" w:rsidTr="00DA4D6E">
        <w:trPr>
          <w:cantSplit/>
          <w:trHeight w:val="284"/>
          <w:jc w:val="center"/>
        </w:trPr>
        <w:tc>
          <w:tcPr>
            <w:tcW w:w="3104" w:type="dxa"/>
            <w:tcBorders>
              <w:top w:val="single" w:sz="8" w:space="0" w:color="404040"/>
              <w:left w:val="double" w:sz="4" w:space="0" w:color="auto"/>
              <w:bottom w:val="nil"/>
              <w:right w:val="single" w:sz="8" w:space="0" w:color="404040"/>
            </w:tcBorders>
            <w:vAlign w:val="center"/>
            <w:hideMark/>
          </w:tcPr>
          <w:p w14:paraId="262CCBDC" w14:textId="77777777" w:rsidR="00841E11" w:rsidRPr="002F10D1" w:rsidRDefault="00841E11" w:rsidP="00DA4D6E">
            <w:pPr>
              <w:pStyle w:val="p0"/>
              <w:spacing w:before="0"/>
              <w:ind w:firstLine="159"/>
              <w:jc w:val="left"/>
              <w:rPr>
                <w:rFonts w:cs="Arial"/>
                <w:b/>
                <w:color w:val="auto"/>
                <w:sz w:val="18"/>
                <w:lang w:val="es-ES"/>
              </w:rPr>
            </w:pPr>
            <w:r>
              <w:rPr>
                <w:rFonts w:cs="Arial"/>
                <w:sz w:val="18"/>
              </w:rPr>
              <w:br w:type="page"/>
            </w:r>
            <w:r w:rsidRPr="002F10D1">
              <w:rPr>
                <w:rFonts w:cs="Arial"/>
                <w:b/>
                <w:color w:val="auto"/>
                <w:sz w:val="18"/>
                <w:lang w:val="es-ES"/>
              </w:rPr>
              <w:t xml:space="preserve">PIB </w:t>
            </w:r>
            <w:r>
              <w:rPr>
                <w:rFonts w:cs="Arial"/>
                <w:b/>
                <w:color w:val="auto"/>
                <w:sz w:val="18"/>
                <w:lang w:val="es-ES"/>
              </w:rPr>
              <w:t>t</w:t>
            </w:r>
            <w:r w:rsidRPr="002F10D1">
              <w:rPr>
                <w:rFonts w:cs="Arial"/>
                <w:b/>
                <w:color w:val="auto"/>
                <w:sz w:val="18"/>
                <w:lang w:val="es-ES"/>
              </w:rPr>
              <w:t xml:space="preserve">urístico </w:t>
            </w:r>
          </w:p>
        </w:tc>
        <w:tc>
          <w:tcPr>
            <w:tcW w:w="1559" w:type="dxa"/>
            <w:tcBorders>
              <w:top w:val="single" w:sz="8" w:space="0" w:color="404040"/>
              <w:left w:val="single" w:sz="8" w:space="0" w:color="404040"/>
              <w:bottom w:val="nil"/>
              <w:right w:val="single" w:sz="8" w:space="0" w:color="404040"/>
            </w:tcBorders>
            <w:vAlign w:val="center"/>
          </w:tcPr>
          <w:p w14:paraId="1F9584D9" w14:textId="77777777" w:rsidR="00841E11" w:rsidRPr="00495F1D" w:rsidRDefault="00841E11" w:rsidP="00DA4D6E">
            <w:pPr>
              <w:tabs>
                <w:tab w:val="decimal" w:pos="709"/>
              </w:tabs>
              <w:rPr>
                <w:rFonts w:cs="Arial"/>
                <w:b/>
                <w:sz w:val="18"/>
                <w:lang w:val="es-ES" w:eastAsia="en-US"/>
              </w:rPr>
            </w:pPr>
            <w:r>
              <w:rPr>
                <w:rFonts w:cs="Arial"/>
                <w:b/>
                <w:sz w:val="18"/>
                <w:lang w:val="es-ES" w:eastAsia="en-US"/>
              </w:rPr>
              <w:t>2.5</w:t>
            </w:r>
          </w:p>
        </w:tc>
        <w:tc>
          <w:tcPr>
            <w:tcW w:w="1701" w:type="dxa"/>
            <w:tcBorders>
              <w:top w:val="single" w:sz="8" w:space="0" w:color="404040"/>
              <w:left w:val="single" w:sz="8" w:space="0" w:color="404040"/>
              <w:bottom w:val="nil"/>
              <w:right w:val="double" w:sz="4" w:space="0" w:color="auto"/>
            </w:tcBorders>
            <w:vAlign w:val="center"/>
          </w:tcPr>
          <w:p w14:paraId="46164F13" w14:textId="77777777" w:rsidR="00841E11" w:rsidRPr="00495F1D" w:rsidRDefault="00841E11" w:rsidP="00DA4D6E">
            <w:pPr>
              <w:tabs>
                <w:tab w:val="decimal" w:pos="709"/>
              </w:tabs>
              <w:rPr>
                <w:rFonts w:cs="Arial"/>
                <w:b/>
                <w:sz w:val="18"/>
                <w:lang w:val="es-ES" w:eastAsia="en-US"/>
              </w:rPr>
            </w:pPr>
            <w:r>
              <w:rPr>
                <w:rFonts w:cs="Arial"/>
                <w:b/>
                <w:sz w:val="18"/>
                <w:lang w:val="es-ES" w:eastAsia="en-US"/>
              </w:rPr>
              <w:t>24.9</w:t>
            </w:r>
          </w:p>
        </w:tc>
      </w:tr>
      <w:tr w:rsidR="00841E11" w14:paraId="6E7842BA" w14:textId="77777777" w:rsidTr="00DA4D6E">
        <w:trPr>
          <w:cantSplit/>
          <w:trHeight w:val="284"/>
          <w:jc w:val="center"/>
        </w:trPr>
        <w:tc>
          <w:tcPr>
            <w:tcW w:w="3104" w:type="dxa"/>
            <w:tcBorders>
              <w:top w:val="nil"/>
              <w:left w:val="double" w:sz="4" w:space="0" w:color="auto"/>
              <w:bottom w:val="nil"/>
              <w:right w:val="single" w:sz="8" w:space="0" w:color="404040"/>
            </w:tcBorders>
            <w:vAlign w:val="center"/>
            <w:hideMark/>
          </w:tcPr>
          <w:p w14:paraId="3584972B" w14:textId="77777777" w:rsidR="00841E11" w:rsidRDefault="00841E11" w:rsidP="00DA4D6E">
            <w:pPr>
              <w:pStyle w:val="p0"/>
              <w:spacing w:before="0"/>
              <w:ind w:firstLine="454"/>
              <w:jc w:val="left"/>
              <w:rPr>
                <w:rFonts w:cs="Arial"/>
                <w:color w:val="auto"/>
                <w:sz w:val="18"/>
                <w:lang w:val="es-ES"/>
              </w:rPr>
            </w:pPr>
            <w:r>
              <w:rPr>
                <w:rFonts w:cs="Arial"/>
                <w:color w:val="auto"/>
                <w:sz w:val="18"/>
                <w:lang w:val="es-ES"/>
              </w:rPr>
              <w:t>Bienes</w:t>
            </w:r>
          </w:p>
        </w:tc>
        <w:tc>
          <w:tcPr>
            <w:tcW w:w="1559" w:type="dxa"/>
            <w:tcBorders>
              <w:top w:val="nil"/>
              <w:left w:val="single" w:sz="8" w:space="0" w:color="404040"/>
              <w:bottom w:val="nil"/>
              <w:right w:val="single" w:sz="8" w:space="0" w:color="404040"/>
            </w:tcBorders>
            <w:vAlign w:val="center"/>
            <w:hideMark/>
          </w:tcPr>
          <w:p w14:paraId="3AA82F3A" w14:textId="77777777" w:rsidR="00841E11" w:rsidRPr="00495F1D" w:rsidRDefault="00841E11" w:rsidP="00DA4D6E">
            <w:pPr>
              <w:tabs>
                <w:tab w:val="decimal" w:pos="709"/>
              </w:tabs>
              <w:rPr>
                <w:rFonts w:cs="Arial"/>
                <w:sz w:val="18"/>
                <w:lang w:val="es-ES" w:eastAsia="en-US"/>
              </w:rPr>
            </w:pPr>
            <w:r>
              <w:rPr>
                <w:rFonts w:cs="Arial"/>
                <w:sz w:val="18"/>
                <w:lang w:val="es-ES" w:eastAsia="en-US"/>
              </w:rPr>
              <w:t>-2.5</w:t>
            </w:r>
          </w:p>
        </w:tc>
        <w:tc>
          <w:tcPr>
            <w:tcW w:w="1701" w:type="dxa"/>
            <w:tcBorders>
              <w:top w:val="nil"/>
              <w:left w:val="single" w:sz="8" w:space="0" w:color="404040"/>
              <w:bottom w:val="nil"/>
              <w:right w:val="double" w:sz="4" w:space="0" w:color="auto"/>
            </w:tcBorders>
            <w:vAlign w:val="center"/>
            <w:hideMark/>
          </w:tcPr>
          <w:p w14:paraId="61289F68" w14:textId="77777777" w:rsidR="00841E11" w:rsidRPr="00495F1D" w:rsidRDefault="00841E11" w:rsidP="00DA4D6E">
            <w:pPr>
              <w:tabs>
                <w:tab w:val="decimal" w:pos="709"/>
              </w:tabs>
              <w:rPr>
                <w:rFonts w:cs="Arial"/>
                <w:sz w:val="18"/>
                <w:lang w:val="es-ES" w:eastAsia="en-US"/>
              </w:rPr>
            </w:pPr>
            <w:r>
              <w:rPr>
                <w:rFonts w:cs="Arial"/>
                <w:sz w:val="18"/>
                <w:lang w:val="es-ES" w:eastAsia="en-US"/>
              </w:rPr>
              <w:t>5.6</w:t>
            </w:r>
          </w:p>
        </w:tc>
      </w:tr>
      <w:tr w:rsidR="00841E11" w14:paraId="378EE5BB" w14:textId="77777777" w:rsidTr="00DA4D6E">
        <w:trPr>
          <w:cantSplit/>
          <w:trHeight w:val="284"/>
          <w:jc w:val="center"/>
        </w:trPr>
        <w:tc>
          <w:tcPr>
            <w:tcW w:w="3104" w:type="dxa"/>
            <w:tcBorders>
              <w:top w:val="nil"/>
              <w:left w:val="double" w:sz="4" w:space="0" w:color="auto"/>
              <w:bottom w:val="nil"/>
              <w:right w:val="single" w:sz="8" w:space="0" w:color="404040"/>
            </w:tcBorders>
            <w:vAlign w:val="center"/>
            <w:hideMark/>
          </w:tcPr>
          <w:p w14:paraId="16A4D3A2" w14:textId="77777777" w:rsidR="00841E11" w:rsidRDefault="00841E11" w:rsidP="00DA4D6E">
            <w:pPr>
              <w:pStyle w:val="p0"/>
              <w:spacing w:before="0"/>
              <w:ind w:firstLine="454"/>
              <w:jc w:val="left"/>
              <w:rPr>
                <w:rFonts w:cs="Arial"/>
                <w:color w:val="auto"/>
                <w:sz w:val="18"/>
                <w:lang w:val="es-ES"/>
              </w:rPr>
            </w:pPr>
            <w:r>
              <w:rPr>
                <w:rFonts w:cs="Arial"/>
                <w:color w:val="auto"/>
                <w:sz w:val="18"/>
                <w:lang w:val="es-ES"/>
              </w:rPr>
              <w:t>Servicios</w:t>
            </w:r>
          </w:p>
        </w:tc>
        <w:tc>
          <w:tcPr>
            <w:tcW w:w="1559" w:type="dxa"/>
            <w:tcBorders>
              <w:top w:val="nil"/>
              <w:left w:val="single" w:sz="8" w:space="0" w:color="404040"/>
              <w:bottom w:val="nil"/>
              <w:right w:val="single" w:sz="8" w:space="0" w:color="404040"/>
            </w:tcBorders>
            <w:vAlign w:val="center"/>
            <w:hideMark/>
          </w:tcPr>
          <w:p w14:paraId="4C579D48" w14:textId="77777777" w:rsidR="00841E11" w:rsidRPr="00495F1D" w:rsidRDefault="00841E11" w:rsidP="00DA4D6E">
            <w:pPr>
              <w:tabs>
                <w:tab w:val="decimal" w:pos="709"/>
              </w:tabs>
              <w:rPr>
                <w:rFonts w:cs="Arial"/>
                <w:sz w:val="18"/>
                <w:lang w:val="es-ES" w:eastAsia="en-US"/>
              </w:rPr>
            </w:pPr>
            <w:r>
              <w:rPr>
                <w:rFonts w:cs="Arial"/>
                <w:sz w:val="18"/>
                <w:lang w:val="es-ES" w:eastAsia="en-US"/>
              </w:rPr>
              <w:t>3.1</w:t>
            </w:r>
          </w:p>
        </w:tc>
        <w:tc>
          <w:tcPr>
            <w:tcW w:w="1701" w:type="dxa"/>
            <w:tcBorders>
              <w:top w:val="nil"/>
              <w:left w:val="single" w:sz="8" w:space="0" w:color="404040"/>
              <w:bottom w:val="nil"/>
              <w:right w:val="double" w:sz="4" w:space="0" w:color="auto"/>
            </w:tcBorders>
            <w:vAlign w:val="center"/>
            <w:hideMark/>
          </w:tcPr>
          <w:p w14:paraId="5839AC2B" w14:textId="77777777" w:rsidR="00841E11" w:rsidRPr="00495F1D" w:rsidRDefault="00841E11" w:rsidP="00DA4D6E">
            <w:pPr>
              <w:tabs>
                <w:tab w:val="decimal" w:pos="709"/>
              </w:tabs>
              <w:rPr>
                <w:rFonts w:cs="Arial"/>
                <w:sz w:val="18"/>
                <w:lang w:val="es-ES" w:eastAsia="en-US"/>
              </w:rPr>
            </w:pPr>
            <w:r>
              <w:rPr>
                <w:rFonts w:cs="Arial"/>
                <w:sz w:val="18"/>
                <w:lang w:val="es-ES" w:eastAsia="en-US"/>
              </w:rPr>
              <w:t>28.5</w:t>
            </w:r>
          </w:p>
        </w:tc>
      </w:tr>
      <w:tr w:rsidR="00841E11" w14:paraId="1DB98EC4" w14:textId="77777777" w:rsidTr="00DA4D6E">
        <w:trPr>
          <w:cantSplit/>
          <w:trHeight w:val="284"/>
          <w:jc w:val="center"/>
        </w:trPr>
        <w:tc>
          <w:tcPr>
            <w:tcW w:w="3104" w:type="dxa"/>
            <w:tcBorders>
              <w:top w:val="nil"/>
              <w:left w:val="double" w:sz="4" w:space="0" w:color="auto"/>
              <w:bottom w:val="nil"/>
              <w:right w:val="single" w:sz="8" w:space="0" w:color="404040"/>
            </w:tcBorders>
            <w:vAlign w:val="center"/>
            <w:hideMark/>
          </w:tcPr>
          <w:p w14:paraId="0010174C" w14:textId="77777777" w:rsidR="00841E11" w:rsidRPr="002F10D1" w:rsidRDefault="00841E11" w:rsidP="00DA4D6E">
            <w:pPr>
              <w:pStyle w:val="p0"/>
              <w:spacing w:before="0"/>
              <w:ind w:firstLine="159"/>
              <w:jc w:val="left"/>
              <w:rPr>
                <w:rFonts w:cs="Arial"/>
                <w:b/>
                <w:color w:val="auto"/>
                <w:sz w:val="18"/>
                <w:lang w:val="es-ES"/>
              </w:rPr>
            </w:pPr>
            <w:r w:rsidRPr="002F10D1">
              <w:rPr>
                <w:rFonts w:cs="Arial"/>
                <w:b/>
                <w:color w:val="auto"/>
                <w:sz w:val="18"/>
                <w:lang w:val="es-ES"/>
              </w:rPr>
              <w:t xml:space="preserve">Consumo </w:t>
            </w:r>
            <w:r>
              <w:rPr>
                <w:rFonts w:cs="Arial"/>
                <w:b/>
                <w:color w:val="auto"/>
                <w:sz w:val="18"/>
                <w:lang w:val="es-ES"/>
              </w:rPr>
              <w:t>t</w:t>
            </w:r>
            <w:r w:rsidRPr="002F10D1">
              <w:rPr>
                <w:rFonts w:cs="Arial"/>
                <w:b/>
                <w:color w:val="auto"/>
                <w:sz w:val="18"/>
                <w:lang w:val="es-ES"/>
              </w:rPr>
              <w:t xml:space="preserve">urístico </w:t>
            </w:r>
            <w:r>
              <w:rPr>
                <w:rFonts w:cs="Arial"/>
                <w:b/>
                <w:color w:val="auto"/>
                <w:sz w:val="18"/>
                <w:lang w:val="es-ES"/>
              </w:rPr>
              <w:t>i</w:t>
            </w:r>
            <w:r w:rsidRPr="002F10D1">
              <w:rPr>
                <w:rFonts w:cs="Arial"/>
                <w:b/>
                <w:color w:val="auto"/>
                <w:sz w:val="18"/>
                <w:lang w:val="es-ES"/>
              </w:rPr>
              <w:t>nterior</w:t>
            </w:r>
          </w:p>
        </w:tc>
        <w:tc>
          <w:tcPr>
            <w:tcW w:w="1559" w:type="dxa"/>
            <w:tcBorders>
              <w:top w:val="nil"/>
              <w:left w:val="single" w:sz="8" w:space="0" w:color="404040"/>
              <w:bottom w:val="nil"/>
              <w:right w:val="single" w:sz="8" w:space="0" w:color="404040"/>
            </w:tcBorders>
            <w:vAlign w:val="center"/>
          </w:tcPr>
          <w:p w14:paraId="045A625B" w14:textId="77777777" w:rsidR="00841E11" w:rsidRPr="00495F1D" w:rsidRDefault="00841E11" w:rsidP="00DA4D6E">
            <w:pPr>
              <w:tabs>
                <w:tab w:val="decimal" w:pos="709"/>
              </w:tabs>
              <w:rPr>
                <w:rFonts w:cs="Arial"/>
                <w:b/>
                <w:sz w:val="18"/>
                <w:lang w:val="es-ES" w:eastAsia="en-US"/>
              </w:rPr>
            </w:pPr>
            <w:r>
              <w:rPr>
                <w:rFonts w:cs="Arial"/>
                <w:b/>
                <w:sz w:val="18"/>
                <w:lang w:val="es-ES" w:eastAsia="en-US"/>
              </w:rPr>
              <w:t>4.6</w:t>
            </w:r>
          </w:p>
        </w:tc>
        <w:tc>
          <w:tcPr>
            <w:tcW w:w="1701" w:type="dxa"/>
            <w:tcBorders>
              <w:top w:val="nil"/>
              <w:left w:val="single" w:sz="8" w:space="0" w:color="404040"/>
              <w:bottom w:val="nil"/>
              <w:right w:val="double" w:sz="4" w:space="0" w:color="auto"/>
            </w:tcBorders>
            <w:vAlign w:val="center"/>
          </w:tcPr>
          <w:p w14:paraId="1A7BE2D4" w14:textId="77777777" w:rsidR="00841E11" w:rsidRPr="00495F1D" w:rsidRDefault="00841E11" w:rsidP="00DA4D6E">
            <w:pPr>
              <w:tabs>
                <w:tab w:val="decimal" w:pos="709"/>
              </w:tabs>
              <w:rPr>
                <w:rFonts w:cs="Arial"/>
                <w:b/>
                <w:sz w:val="18"/>
                <w:lang w:val="es-ES" w:eastAsia="en-US"/>
              </w:rPr>
            </w:pPr>
            <w:r>
              <w:rPr>
                <w:rFonts w:cs="Arial"/>
                <w:b/>
                <w:sz w:val="18"/>
                <w:lang w:val="es-ES" w:eastAsia="en-US"/>
              </w:rPr>
              <w:t>31.7</w:t>
            </w:r>
          </w:p>
        </w:tc>
      </w:tr>
      <w:tr w:rsidR="00841E11" w14:paraId="4835045B" w14:textId="77777777" w:rsidTr="00DA4D6E">
        <w:trPr>
          <w:cantSplit/>
          <w:trHeight w:val="284"/>
          <w:jc w:val="center"/>
        </w:trPr>
        <w:tc>
          <w:tcPr>
            <w:tcW w:w="3104" w:type="dxa"/>
            <w:tcBorders>
              <w:top w:val="nil"/>
              <w:left w:val="double" w:sz="4" w:space="0" w:color="auto"/>
              <w:right w:val="single" w:sz="8" w:space="0" w:color="404040"/>
            </w:tcBorders>
            <w:vAlign w:val="center"/>
          </w:tcPr>
          <w:p w14:paraId="72A6BBE0" w14:textId="77777777" w:rsidR="00841E11" w:rsidRPr="00053A68" w:rsidRDefault="00841E11" w:rsidP="00DA4D6E">
            <w:pPr>
              <w:pStyle w:val="p0"/>
              <w:spacing w:before="0"/>
              <w:ind w:firstLine="454"/>
              <w:jc w:val="left"/>
              <w:rPr>
                <w:rFonts w:cs="Arial"/>
                <w:color w:val="auto"/>
                <w:sz w:val="18"/>
                <w:lang w:val="es-ES"/>
              </w:rPr>
            </w:pPr>
            <w:r w:rsidRPr="002D5B11">
              <w:rPr>
                <w:rFonts w:cs="Arial"/>
                <w:color w:val="auto"/>
                <w:sz w:val="18"/>
                <w:lang w:val="es-ES"/>
              </w:rPr>
              <w:t>Interno</w:t>
            </w:r>
          </w:p>
        </w:tc>
        <w:tc>
          <w:tcPr>
            <w:tcW w:w="1559" w:type="dxa"/>
            <w:tcBorders>
              <w:top w:val="nil"/>
              <w:left w:val="single" w:sz="8" w:space="0" w:color="404040"/>
              <w:right w:val="single" w:sz="8" w:space="0" w:color="404040"/>
            </w:tcBorders>
            <w:vAlign w:val="center"/>
          </w:tcPr>
          <w:p w14:paraId="018283BA" w14:textId="77777777" w:rsidR="00841E11" w:rsidRPr="00495F1D" w:rsidRDefault="00841E11" w:rsidP="00DA4D6E">
            <w:pPr>
              <w:tabs>
                <w:tab w:val="decimal" w:pos="709"/>
              </w:tabs>
              <w:rPr>
                <w:rFonts w:cs="Arial"/>
                <w:sz w:val="18"/>
                <w:lang w:val="es-ES"/>
              </w:rPr>
            </w:pPr>
            <w:r>
              <w:rPr>
                <w:rFonts w:cs="Arial"/>
                <w:sz w:val="18"/>
                <w:lang w:val="es-ES"/>
              </w:rPr>
              <w:t>-1.7</w:t>
            </w:r>
          </w:p>
        </w:tc>
        <w:tc>
          <w:tcPr>
            <w:tcW w:w="1701" w:type="dxa"/>
            <w:tcBorders>
              <w:top w:val="nil"/>
              <w:left w:val="single" w:sz="8" w:space="0" w:color="404040"/>
              <w:right w:val="double" w:sz="4" w:space="0" w:color="auto"/>
            </w:tcBorders>
            <w:vAlign w:val="center"/>
          </w:tcPr>
          <w:p w14:paraId="07043A16" w14:textId="77777777" w:rsidR="00841E11" w:rsidRPr="00495F1D" w:rsidRDefault="00841E11" w:rsidP="00DA4D6E">
            <w:pPr>
              <w:tabs>
                <w:tab w:val="decimal" w:pos="709"/>
              </w:tabs>
              <w:rPr>
                <w:rFonts w:cs="Arial"/>
                <w:sz w:val="18"/>
                <w:lang w:val="es-ES"/>
              </w:rPr>
            </w:pPr>
            <w:r>
              <w:rPr>
                <w:rFonts w:cs="Arial"/>
                <w:sz w:val="18"/>
                <w:lang w:val="es-ES"/>
              </w:rPr>
              <w:t>14.8</w:t>
            </w:r>
          </w:p>
        </w:tc>
      </w:tr>
      <w:tr w:rsidR="00841E11" w14:paraId="0220EC2B" w14:textId="77777777" w:rsidTr="00DA4D6E">
        <w:trPr>
          <w:cantSplit/>
          <w:trHeight w:val="284"/>
          <w:jc w:val="center"/>
        </w:trPr>
        <w:tc>
          <w:tcPr>
            <w:tcW w:w="3104" w:type="dxa"/>
            <w:tcBorders>
              <w:top w:val="nil"/>
              <w:left w:val="double" w:sz="4" w:space="0" w:color="auto"/>
              <w:bottom w:val="double" w:sz="4" w:space="0" w:color="auto"/>
              <w:right w:val="single" w:sz="8" w:space="0" w:color="404040"/>
            </w:tcBorders>
            <w:vAlign w:val="center"/>
          </w:tcPr>
          <w:p w14:paraId="34F4FC66" w14:textId="77777777" w:rsidR="00841E11" w:rsidRDefault="00841E11" w:rsidP="00DA4D6E">
            <w:pPr>
              <w:pStyle w:val="p0"/>
              <w:spacing w:before="0"/>
              <w:ind w:firstLine="454"/>
              <w:jc w:val="left"/>
              <w:rPr>
                <w:rFonts w:cs="Arial"/>
                <w:color w:val="auto"/>
                <w:sz w:val="18"/>
                <w:lang w:val="es-ES"/>
              </w:rPr>
            </w:pPr>
            <w:r>
              <w:rPr>
                <w:rFonts w:cs="Arial"/>
                <w:color w:val="auto"/>
                <w:sz w:val="18"/>
                <w:lang w:val="es-ES"/>
              </w:rPr>
              <w:t>Receptivo</w:t>
            </w:r>
          </w:p>
        </w:tc>
        <w:tc>
          <w:tcPr>
            <w:tcW w:w="1559" w:type="dxa"/>
            <w:tcBorders>
              <w:top w:val="nil"/>
              <w:left w:val="single" w:sz="8" w:space="0" w:color="404040"/>
              <w:bottom w:val="double" w:sz="4" w:space="0" w:color="auto"/>
              <w:right w:val="single" w:sz="8" w:space="0" w:color="404040"/>
            </w:tcBorders>
            <w:vAlign w:val="center"/>
          </w:tcPr>
          <w:p w14:paraId="3583B56A" w14:textId="77777777" w:rsidR="00841E11" w:rsidRPr="00495F1D" w:rsidRDefault="00841E11" w:rsidP="00DA4D6E">
            <w:pPr>
              <w:tabs>
                <w:tab w:val="decimal" w:pos="709"/>
              </w:tabs>
              <w:rPr>
                <w:rFonts w:cs="Arial"/>
                <w:sz w:val="18"/>
                <w:lang w:val="es-ES"/>
              </w:rPr>
            </w:pPr>
            <w:r>
              <w:rPr>
                <w:rFonts w:cs="Arial"/>
                <w:sz w:val="18"/>
                <w:lang w:val="es-ES"/>
              </w:rPr>
              <w:t>30.4</w:t>
            </w:r>
          </w:p>
        </w:tc>
        <w:tc>
          <w:tcPr>
            <w:tcW w:w="1701" w:type="dxa"/>
            <w:tcBorders>
              <w:top w:val="nil"/>
              <w:left w:val="single" w:sz="8" w:space="0" w:color="404040"/>
              <w:bottom w:val="double" w:sz="4" w:space="0" w:color="auto"/>
              <w:right w:val="double" w:sz="4" w:space="0" w:color="auto"/>
            </w:tcBorders>
            <w:vAlign w:val="center"/>
          </w:tcPr>
          <w:p w14:paraId="18D36D9D" w14:textId="77777777" w:rsidR="00841E11" w:rsidRPr="00495F1D" w:rsidRDefault="00841E11" w:rsidP="00DA4D6E">
            <w:pPr>
              <w:tabs>
                <w:tab w:val="decimal" w:pos="709"/>
              </w:tabs>
              <w:rPr>
                <w:rFonts w:cs="Arial"/>
                <w:sz w:val="18"/>
                <w:lang w:val="es-ES"/>
              </w:rPr>
            </w:pPr>
            <w:r>
              <w:rPr>
                <w:rFonts w:cs="Arial"/>
                <w:sz w:val="18"/>
                <w:lang w:val="es-ES"/>
              </w:rPr>
              <w:t>190.8</w:t>
            </w:r>
          </w:p>
        </w:tc>
      </w:tr>
    </w:tbl>
    <w:p w14:paraId="4410CFB7" w14:textId="77777777" w:rsidR="00841E11" w:rsidRDefault="00841E11" w:rsidP="00DE083A">
      <w:pPr>
        <w:pStyle w:val="Textoindependiente"/>
        <w:tabs>
          <w:tab w:val="left" w:pos="2835"/>
        </w:tabs>
        <w:ind w:left="1985" w:right="1327" w:hanging="567"/>
        <w:contextualSpacing/>
        <w:jc w:val="both"/>
        <w:rPr>
          <w:sz w:val="16"/>
          <w:szCs w:val="16"/>
        </w:rPr>
      </w:pPr>
      <w:r>
        <w:rPr>
          <w:sz w:val="16"/>
          <w:szCs w:val="16"/>
        </w:rPr>
        <w:t>Nota:</w:t>
      </w:r>
      <w:r>
        <w:rPr>
          <w:sz w:val="16"/>
          <w:szCs w:val="16"/>
        </w:rPr>
        <w:tab/>
        <w:t>L</w:t>
      </w:r>
      <w:r w:rsidRPr="00CD2934">
        <w:rPr>
          <w:color w:val="auto"/>
          <w:sz w:val="16"/>
        </w:rPr>
        <w:t>a</w:t>
      </w:r>
      <w:r>
        <w:rPr>
          <w:color w:val="auto"/>
          <w:sz w:val="16"/>
        </w:rPr>
        <w:t>s</w:t>
      </w:r>
      <w:r w:rsidRPr="00CD2934">
        <w:rPr>
          <w:color w:val="auto"/>
          <w:sz w:val="16"/>
        </w:rPr>
        <w:t xml:space="preserve"> serie</w:t>
      </w:r>
      <w:r>
        <w:rPr>
          <w:color w:val="auto"/>
          <w:sz w:val="16"/>
        </w:rPr>
        <w:t>s</w:t>
      </w:r>
      <w:r w:rsidRPr="00CD2934">
        <w:rPr>
          <w:color w:val="auto"/>
          <w:sz w:val="16"/>
        </w:rPr>
        <w:t xml:space="preserve"> desestacionalizada</w:t>
      </w:r>
      <w:r>
        <w:rPr>
          <w:color w:val="auto"/>
          <w:sz w:val="16"/>
        </w:rPr>
        <w:t>s</w:t>
      </w:r>
      <w:r w:rsidRPr="00CD2934">
        <w:rPr>
          <w:color w:val="auto"/>
          <w:sz w:val="16"/>
        </w:rPr>
        <w:t xml:space="preserve"> del </w:t>
      </w:r>
      <w:r w:rsidRPr="00CD2934">
        <w:rPr>
          <w:snapToGrid/>
          <w:color w:val="auto"/>
          <w:sz w:val="16"/>
          <w:szCs w:val="22"/>
        </w:rPr>
        <w:t>Indicador Trimestral del PIB Turístico</w:t>
      </w:r>
      <w:r w:rsidRPr="00E81E9F">
        <w:rPr>
          <w:color w:val="auto"/>
          <w:sz w:val="16"/>
        </w:rPr>
        <w:t xml:space="preserve"> </w:t>
      </w:r>
      <w:r>
        <w:rPr>
          <w:color w:val="auto"/>
          <w:sz w:val="16"/>
        </w:rPr>
        <w:t xml:space="preserve">y del Consumo Turístico Interior </w:t>
      </w:r>
      <w:r w:rsidRPr="00CD2934">
        <w:rPr>
          <w:color w:val="auto"/>
          <w:sz w:val="16"/>
        </w:rPr>
        <w:t>se calcula</w:t>
      </w:r>
      <w:r>
        <w:rPr>
          <w:color w:val="auto"/>
          <w:sz w:val="16"/>
        </w:rPr>
        <w:t xml:space="preserve">n </w:t>
      </w:r>
      <w:r w:rsidRPr="00CD2934">
        <w:rPr>
          <w:color w:val="auto"/>
          <w:sz w:val="16"/>
        </w:rPr>
        <w:t>de manera</w:t>
      </w:r>
      <w:r>
        <w:rPr>
          <w:color w:val="auto"/>
          <w:sz w:val="16"/>
        </w:rPr>
        <w:t xml:space="preserve"> </w:t>
      </w:r>
      <w:r w:rsidRPr="00CD2934">
        <w:rPr>
          <w:color w:val="auto"/>
          <w:sz w:val="16"/>
        </w:rPr>
        <w:t>independiente a la</w:t>
      </w:r>
      <w:r>
        <w:rPr>
          <w:color w:val="auto"/>
          <w:sz w:val="16"/>
        </w:rPr>
        <w:t>s</w:t>
      </w:r>
      <w:r w:rsidRPr="00CD2934">
        <w:rPr>
          <w:color w:val="auto"/>
          <w:sz w:val="16"/>
        </w:rPr>
        <w:t xml:space="preserve"> de sus</w:t>
      </w:r>
      <w:r>
        <w:rPr>
          <w:color w:val="auto"/>
          <w:sz w:val="16"/>
        </w:rPr>
        <w:t xml:space="preserve"> componentes.</w:t>
      </w:r>
    </w:p>
    <w:p w14:paraId="53FD6BC2" w14:textId="77777777" w:rsidR="00841E11" w:rsidRDefault="00841E11" w:rsidP="00DE083A">
      <w:pPr>
        <w:pStyle w:val="Textoindependiente"/>
        <w:widowControl w:val="0"/>
        <w:spacing w:after="360"/>
        <w:ind w:left="1253" w:right="1327" w:firstLine="165"/>
        <w:rPr>
          <w:sz w:val="16"/>
          <w:szCs w:val="16"/>
        </w:rPr>
      </w:pPr>
      <w:r>
        <w:rPr>
          <w:sz w:val="16"/>
          <w:szCs w:val="16"/>
        </w:rPr>
        <w:t>Fuente: INEGI.</w:t>
      </w:r>
    </w:p>
    <w:p w14:paraId="3C1BDEDF" w14:textId="77777777" w:rsidR="00841E11" w:rsidRDefault="00841E11" w:rsidP="00841E11">
      <w:pPr>
        <w:pStyle w:val="p0"/>
        <w:spacing w:before="360"/>
        <w:rPr>
          <w:rFonts w:cs="Arial"/>
          <w:color w:val="000000"/>
          <w:szCs w:val="24"/>
        </w:rPr>
      </w:pPr>
      <w:r w:rsidRPr="0073632D">
        <w:rPr>
          <w:rFonts w:cs="Arial"/>
          <w:color w:val="000000"/>
          <w:szCs w:val="24"/>
        </w:rPr>
        <w:tab/>
      </w:r>
    </w:p>
    <w:p w14:paraId="1441F259" w14:textId="77777777" w:rsidR="00841E11" w:rsidRPr="00BC008C" w:rsidRDefault="00841E11" w:rsidP="00841E11">
      <w:pPr>
        <w:pStyle w:val="bullet"/>
        <w:widowControl/>
        <w:numPr>
          <w:ilvl w:val="0"/>
          <w:numId w:val="0"/>
        </w:numPr>
        <w:tabs>
          <w:tab w:val="left" w:pos="8364"/>
        </w:tabs>
        <w:spacing w:before="360"/>
        <w:ind w:left="-426" w:right="-547"/>
        <w:rPr>
          <w:b w:val="0"/>
          <w:snapToGrid/>
          <w:color w:val="auto"/>
          <w:sz w:val="24"/>
          <w:szCs w:val="24"/>
        </w:rPr>
      </w:pPr>
      <w:r w:rsidRPr="00BC008C">
        <w:rPr>
          <w:b w:val="0"/>
          <w:snapToGrid/>
          <w:color w:val="auto"/>
          <w:sz w:val="24"/>
          <w:szCs w:val="24"/>
        </w:rPr>
        <w:t>A tasa anual, el Indicador Trimestral del PIB Turístico reportó un aumento de 24.9%</w:t>
      </w:r>
      <w:r w:rsidRPr="00BC008C">
        <w:rPr>
          <w:b w:val="0"/>
          <w:snapToGrid/>
          <w:color w:val="FF0000"/>
          <w:sz w:val="24"/>
          <w:szCs w:val="24"/>
        </w:rPr>
        <w:t xml:space="preserve"> </w:t>
      </w:r>
      <w:r w:rsidRPr="00BC008C">
        <w:rPr>
          <w:b w:val="0"/>
          <w:snapToGrid/>
          <w:color w:val="auto"/>
          <w:sz w:val="24"/>
          <w:szCs w:val="24"/>
        </w:rPr>
        <w:t xml:space="preserve">y el del Consumo Turístico Interior creció 31.7%. </w:t>
      </w:r>
    </w:p>
    <w:p w14:paraId="7EB6E192" w14:textId="38505439" w:rsidR="007C2F3B" w:rsidRDefault="007C2F3B">
      <w:pPr>
        <w:widowControl/>
        <w:rPr>
          <w:rFonts w:cs="Arial"/>
          <w:color w:val="000000"/>
          <w:szCs w:val="24"/>
        </w:rPr>
      </w:pPr>
      <w:r>
        <w:rPr>
          <w:rFonts w:cs="Arial"/>
          <w:color w:val="000000"/>
          <w:szCs w:val="24"/>
        </w:rPr>
        <w:br w:type="page"/>
      </w:r>
    </w:p>
    <w:p w14:paraId="7CBBD061" w14:textId="77777777" w:rsidR="00841E11" w:rsidRDefault="00841E11" w:rsidP="00841E11">
      <w:pPr>
        <w:pStyle w:val="p0"/>
        <w:spacing w:before="360"/>
        <w:ind w:left="-284" w:right="-547"/>
        <w:rPr>
          <w:b/>
          <w:i/>
          <w:color w:val="auto"/>
        </w:rPr>
      </w:pPr>
    </w:p>
    <w:p w14:paraId="04712722" w14:textId="77777777" w:rsidR="00841E11" w:rsidRDefault="00841E11" w:rsidP="00B879A8">
      <w:pPr>
        <w:pStyle w:val="p0"/>
        <w:ind w:left="-284" w:right="-547"/>
        <w:rPr>
          <w:b/>
          <w:i/>
          <w:color w:val="auto"/>
        </w:rPr>
      </w:pPr>
    </w:p>
    <w:p w14:paraId="03F70358" w14:textId="77777777" w:rsidR="00841E11" w:rsidRDefault="00841E11" w:rsidP="00841E11">
      <w:pPr>
        <w:pStyle w:val="p0"/>
        <w:spacing w:before="0"/>
        <w:ind w:left="-284" w:right="-547"/>
        <w:rPr>
          <w:b/>
          <w:i/>
          <w:color w:val="auto"/>
        </w:rPr>
      </w:pPr>
      <w:r>
        <w:rPr>
          <w:b/>
          <w:i/>
          <w:color w:val="auto"/>
        </w:rPr>
        <w:t>Nota al usuario</w:t>
      </w:r>
    </w:p>
    <w:p w14:paraId="3647FF17" w14:textId="77777777" w:rsidR="00841E11" w:rsidRDefault="00841E11" w:rsidP="00841E11">
      <w:pPr>
        <w:spacing w:before="240"/>
        <w:ind w:left="-284" w:right="-547"/>
        <w:jc w:val="both"/>
        <w:rPr>
          <w:rFonts w:eastAsiaTheme="minorEastAsia" w:cs="Arial"/>
          <w:snapToGrid/>
          <w:color w:val="000000"/>
          <w:szCs w:val="24"/>
          <w:lang w:val="es-ES"/>
        </w:rPr>
      </w:pPr>
      <w:r w:rsidRPr="0020266D">
        <w:rPr>
          <w:rFonts w:eastAsiaTheme="minorEastAsia" w:cs="Arial"/>
          <w:snapToGrid/>
          <w:color w:val="000000"/>
          <w:szCs w:val="24"/>
          <w:lang w:val="es-ES"/>
        </w:rPr>
        <w:t>La actualización de los indicadores se realizó con base en los “Lineamientos de cambios a la información divulgada en las publicaciones estadísticas y geográficas del INEGI”, que complementan las “Normas Especiales para la Divulgación de Datos” del FMI, y con base en la actualización de los cálculos trimestrales del Sistema de Cuentas Nacionales de México (SCNM)</w:t>
      </w:r>
      <w:r>
        <w:rPr>
          <w:rFonts w:eastAsiaTheme="minorEastAsia" w:cs="Arial"/>
          <w:snapToGrid/>
          <w:color w:val="000000"/>
          <w:szCs w:val="24"/>
          <w:lang w:val="es-ES"/>
        </w:rPr>
        <w:t>. A</w:t>
      </w:r>
      <w:r w:rsidRPr="0020266D">
        <w:rPr>
          <w:rFonts w:eastAsiaTheme="minorEastAsia" w:cs="Arial"/>
          <w:snapToGrid/>
          <w:color w:val="000000"/>
          <w:szCs w:val="24"/>
          <w:lang w:val="es-ES"/>
        </w:rPr>
        <w:t>dicionalmente</w:t>
      </w:r>
      <w:r>
        <w:rPr>
          <w:rFonts w:eastAsiaTheme="minorEastAsia" w:cs="Arial"/>
          <w:snapToGrid/>
          <w:color w:val="000000"/>
          <w:szCs w:val="24"/>
          <w:lang w:val="es-ES"/>
        </w:rPr>
        <w:t>,</w:t>
      </w:r>
      <w:r w:rsidRPr="0020266D">
        <w:rPr>
          <w:rFonts w:eastAsiaTheme="minorEastAsia" w:cs="Arial"/>
          <w:snapToGrid/>
          <w:color w:val="000000"/>
          <w:szCs w:val="24"/>
          <w:lang w:val="es-ES"/>
        </w:rPr>
        <w:t xml:space="preserve"> </w:t>
      </w:r>
      <w:r>
        <w:rPr>
          <w:rFonts w:eastAsiaTheme="minorEastAsia" w:cs="Arial"/>
          <w:snapToGrid/>
          <w:color w:val="000000"/>
          <w:szCs w:val="24"/>
          <w:lang w:val="es-ES"/>
        </w:rPr>
        <w:t>se incorporó la</w:t>
      </w:r>
      <w:r w:rsidRPr="0020266D">
        <w:rPr>
          <w:rFonts w:eastAsiaTheme="minorEastAsia" w:cs="Arial"/>
          <w:snapToGrid/>
          <w:color w:val="000000"/>
          <w:szCs w:val="24"/>
          <w:lang w:val="es-ES"/>
        </w:rPr>
        <w:t xml:space="preserve"> información estadística </w:t>
      </w:r>
      <w:r>
        <w:rPr>
          <w:rFonts w:eastAsiaTheme="minorEastAsia" w:cs="Arial"/>
          <w:snapToGrid/>
          <w:color w:val="000000"/>
          <w:szCs w:val="24"/>
          <w:lang w:val="es-ES"/>
        </w:rPr>
        <w:t xml:space="preserve">más </w:t>
      </w:r>
      <w:r w:rsidRPr="0020266D">
        <w:rPr>
          <w:rFonts w:eastAsiaTheme="minorEastAsia" w:cs="Arial"/>
          <w:snapToGrid/>
          <w:color w:val="000000"/>
          <w:szCs w:val="24"/>
          <w:lang w:val="es-ES"/>
        </w:rPr>
        <w:t>reciente de la Cuenta Satélite del Turismo de México 2020.</w:t>
      </w:r>
    </w:p>
    <w:p w14:paraId="0311F112" w14:textId="77777777" w:rsidR="00841E11" w:rsidRPr="0020266D" w:rsidRDefault="00841E11" w:rsidP="00B879A8">
      <w:pPr>
        <w:spacing w:before="240"/>
        <w:ind w:left="-284" w:right="-547"/>
        <w:jc w:val="both"/>
        <w:rPr>
          <w:rFonts w:eastAsiaTheme="minorEastAsia" w:cs="Arial"/>
          <w:snapToGrid/>
          <w:color w:val="000000"/>
          <w:szCs w:val="24"/>
          <w:lang w:val="es-ES"/>
        </w:rPr>
      </w:pPr>
      <w:r w:rsidRPr="0020266D">
        <w:rPr>
          <w:rFonts w:eastAsiaTheme="minorEastAsia" w:cs="Arial"/>
          <w:snapToGrid/>
          <w:color w:val="000000"/>
          <w:szCs w:val="24"/>
          <w:lang w:val="es-ES"/>
        </w:rPr>
        <w:t xml:space="preserve">Además de lo anterior, la </w:t>
      </w:r>
      <w:r>
        <w:rPr>
          <w:rFonts w:eastAsiaTheme="minorEastAsia" w:cs="Arial"/>
          <w:snapToGrid/>
          <w:color w:val="000000"/>
          <w:szCs w:val="24"/>
          <w:lang w:val="es-ES"/>
        </w:rPr>
        <w:t>t</w:t>
      </w:r>
      <w:r w:rsidRPr="0020266D">
        <w:rPr>
          <w:rFonts w:eastAsiaTheme="minorEastAsia" w:cs="Arial"/>
          <w:snapToGrid/>
          <w:color w:val="000000"/>
          <w:szCs w:val="24"/>
          <w:lang w:val="es-ES"/>
        </w:rPr>
        <w:t xml:space="preserve">asa de </w:t>
      </w:r>
      <w:r>
        <w:rPr>
          <w:rFonts w:eastAsiaTheme="minorEastAsia" w:cs="Arial"/>
          <w:snapToGrid/>
          <w:color w:val="000000"/>
          <w:szCs w:val="24"/>
          <w:lang w:val="es-ES"/>
        </w:rPr>
        <w:t>n</w:t>
      </w:r>
      <w:r w:rsidRPr="0020266D">
        <w:rPr>
          <w:rFonts w:eastAsiaTheme="minorEastAsia" w:cs="Arial"/>
          <w:snapToGrid/>
          <w:color w:val="000000"/>
          <w:szCs w:val="24"/>
          <w:lang w:val="es-ES"/>
        </w:rPr>
        <w:t xml:space="preserve">o </w:t>
      </w:r>
      <w:r>
        <w:rPr>
          <w:rFonts w:eastAsiaTheme="minorEastAsia" w:cs="Arial"/>
          <w:snapToGrid/>
          <w:color w:val="000000"/>
          <w:szCs w:val="24"/>
          <w:lang w:val="es-ES"/>
        </w:rPr>
        <w:t>r</w:t>
      </w:r>
      <w:r w:rsidRPr="0020266D">
        <w:rPr>
          <w:rFonts w:eastAsiaTheme="minorEastAsia" w:cs="Arial"/>
          <w:snapToGrid/>
          <w:color w:val="000000"/>
          <w:szCs w:val="24"/>
          <w:lang w:val="es-ES"/>
        </w:rPr>
        <w:t xml:space="preserve">espuesta en la captación de las </w:t>
      </w:r>
      <w:r>
        <w:rPr>
          <w:rFonts w:eastAsiaTheme="minorEastAsia" w:cs="Arial"/>
          <w:snapToGrid/>
          <w:color w:val="000000"/>
          <w:szCs w:val="24"/>
          <w:lang w:val="es-ES"/>
        </w:rPr>
        <w:t>e</w:t>
      </w:r>
      <w:r w:rsidRPr="0020266D">
        <w:rPr>
          <w:rFonts w:eastAsiaTheme="minorEastAsia" w:cs="Arial"/>
          <w:snapToGrid/>
          <w:color w:val="000000"/>
          <w:szCs w:val="24"/>
          <w:lang w:val="es-ES"/>
        </w:rPr>
        <w:t xml:space="preserve">ncuestas </w:t>
      </w:r>
      <w:r>
        <w:rPr>
          <w:rFonts w:eastAsiaTheme="minorEastAsia" w:cs="Arial"/>
          <w:snapToGrid/>
          <w:color w:val="000000"/>
          <w:szCs w:val="24"/>
          <w:lang w:val="es-ES"/>
        </w:rPr>
        <w:t>e</w:t>
      </w:r>
      <w:r w:rsidRPr="0020266D">
        <w:rPr>
          <w:rFonts w:eastAsiaTheme="minorEastAsia" w:cs="Arial"/>
          <w:snapToGrid/>
          <w:color w:val="000000"/>
          <w:szCs w:val="24"/>
          <w:lang w:val="es-ES"/>
        </w:rPr>
        <w:t>conómicas que se consideraron para la integración de los Indicadores Trimestrales de la Actividad Turística (ITAT) en el tercer trimestre de 2021 registró porcentajes apropiados de acuerdo con el diseño estadístico de las muestras</w:t>
      </w:r>
      <w:r>
        <w:rPr>
          <w:rFonts w:eastAsiaTheme="minorEastAsia" w:cs="Arial"/>
          <w:snapToGrid/>
          <w:color w:val="000000"/>
          <w:szCs w:val="24"/>
          <w:lang w:val="es-ES"/>
        </w:rPr>
        <w:t>.</w:t>
      </w:r>
      <w:r w:rsidRPr="0020266D">
        <w:rPr>
          <w:rFonts w:eastAsiaTheme="minorEastAsia" w:cs="Arial"/>
          <w:snapToGrid/>
          <w:color w:val="000000"/>
          <w:szCs w:val="24"/>
          <w:lang w:val="es-ES"/>
        </w:rPr>
        <w:t xml:space="preserve"> </w:t>
      </w:r>
      <w:r>
        <w:rPr>
          <w:rFonts w:eastAsiaTheme="minorEastAsia" w:cs="Arial"/>
          <w:snapToGrid/>
          <w:color w:val="000000"/>
          <w:szCs w:val="24"/>
          <w:lang w:val="es-ES"/>
        </w:rPr>
        <w:t>Esto</w:t>
      </w:r>
      <w:r w:rsidRPr="0020266D">
        <w:rPr>
          <w:rFonts w:eastAsiaTheme="minorEastAsia" w:cs="Arial"/>
          <w:snapToGrid/>
          <w:color w:val="000000"/>
          <w:szCs w:val="24"/>
          <w:lang w:val="es-ES"/>
        </w:rPr>
        <w:t xml:space="preserve"> permitió la generación de estadísticas con niveles altos de cobertura y precisión para su inclusión en los ITAT del trimestre de referencia.</w:t>
      </w:r>
    </w:p>
    <w:p w14:paraId="6259FF9A" w14:textId="77777777" w:rsidR="00841E11" w:rsidRDefault="00841E11" w:rsidP="00841E11">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31AF9C67" w14:textId="77777777" w:rsidR="00841E11" w:rsidRDefault="00841E11" w:rsidP="00841E11">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ab/>
      </w:r>
    </w:p>
    <w:p w14:paraId="390FE3A6" w14:textId="77777777" w:rsidR="00841E11" w:rsidRDefault="00841E11" w:rsidP="00841E11">
      <w:pPr>
        <w:pStyle w:val="p01"/>
        <w:keepLines w:val="0"/>
        <w:tabs>
          <w:tab w:val="left" w:pos="3261"/>
        </w:tabs>
        <w:spacing w:before="0"/>
        <w:ind w:left="1418"/>
        <w:outlineLvl w:val="0"/>
        <w:rPr>
          <w:b/>
          <w:sz w:val="28"/>
        </w:rPr>
      </w:pPr>
      <w:r>
        <w:rPr>
          <w:rFonts w:ascii="Arial" w:hAnsi="Arial" w:cs="Arial"/>
          <w:b/>
          <w:color w:val="000000"/>
          <w:szCs w:val="24"/>
        </w:rPr>
        <w:tab/>
      </w:r>
    </w:p>
    <w:p w14:paraId="319D350B" w14:textId="77777777" w:rsidR="00841E11" w:rsidRDefault="00841E11" w:rsidP="00841E11"/>
    <w:p w14:paraId="7708A363"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2170F63E"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05A363F2"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683DEFF6"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2B2BA149"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43D73D18"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334F97D0"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0F7FD517"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4E385341"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61DEC6FE"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3A84EB12"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183AE17E"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25E94AFC"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01EE5F78"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30D141BB" w14:textId="77777777" w:rsidR="00841E11" w:rsidRPr="00A13916" w:rsidRDefault="00841E11" w:rsidP="00841E11">
      <w:pPr>
        <w:pStyle w:val="bullet"/>
        <w:numPr>
          <w:ilvl w:val="0"/>
          <w:numId w:val="0"/>
        </w:numPr>
        <w:tabs>
          <w:tab w:val="left" w:pos="8789"/>
        </w:tabs>
        <w:spacing w:before="0"/>
        <w:ind w:left="2880" w:right="51" w:hanging="360"/>
        <w:jc w:val="center"/>
        <w:rPr>
          <w:rFonts w:cs="Arial"/>
          <w:szCs w:val="22"/>
        </w:rPr>
      </w:pPr>
    </w:p>
    <w:p w14:paraId="66D3732F" w14:textId="77777777" w:rsidR="00841E11" w:rsidRPr="00A13916" w:rsidRDefault="00841E11" w:rsidP="00841E11">
      <w:pPr>
        <w:pStyle w:val="NormalWeb"/>
        <w:spacing w:before="0" w:beforeAutospacing="0" w:after="0" w:afterAutospacing="0"/>
        <w:ind w:left="-426" w:right="-518"/>
        <w:contextualSpacing/>
        <w:jc w:val="center"/>
        <w:rPr>
          <w:sz w:val="22"/>
          <w:szCs w:val="22"/>
        </w:rPr>
      </w:pPr>
      <w:r w:rsidRPr="00A13916">
        <w:rPr>
          <w:sz w:val="22"/>
          <w:szCs w:val="22"/>
        </w:rPr>
        <w:t xml:space="preserve">Para consultas de medios y periodistas, contactar a: </w:t>
      </w:r>
      <w:hyperlink r:id="rId8" w:history="1">
        <w:r w:rsidRPr="00A13916">
          <w:rPr>
            <w:rStyle w:val="Hipervnculo"/>
            <w:sz w:val="22"/>
            <w:szCs w:val="22"/>
          </w:rPr>
          <w:t>comunicacionsocial@inegi.org.mx</w:t>
        </w:r>
      </w:hyperlink>
      <w:r w:rsidRPr="00A13916">
        <w:rPr>
          <w:sz w:val="22"/>
          <w:szCs w:val="22"/>
        </w:rPr>
        <w:t xml:space="preserve"> </w:t>
      </w:r>
    </w:p>
    <w:p w14:paraId="58F6B128" w14:textId="77777777" w:rsidR="00841E11" w:rsidRPr="00A13916" w:rsidRDefault="00841E11" w:rsidP="00841E11">
      <w:pPr>
        <w:pStyle w:val="NormalWeb"/>
        <w:spacing w:before="0" w:beforeAutospacing="0" w:after="0" w:afterAutospacing="0"/>
        <w:ind w:left="-426" w:right="-518"/>
        <w:contextualSpacing/>
        <w:jc w:val="center"/>
        <w:rPr>
          <w:sz w:val="22"/>
          <w:szCs w:val="22"/>
        </w:rPr>
      </w:pPr>
      <w:r w:rsidRPr="00A13916">
        <w:rPr>
          <w:sz w:val="22"/>
          <w:szCs w:val="22"/>
        </w:rPr>
        <w:t xml:space="preserve">o llamar al teléfono (55) 52-78-10-00, </w:t>
      </w:r>
      <w:proofErr w:type="spellStart"/>
      <w:r w:rsidRPr="00A13916">
        <w:rPr>
          <w:sz w:val="22"/>
          <w:szCs w:val="22"/>
        </w:rPr>
        <w:t>exts</w:t>
      </w:r>
      <w:proofErr w:type="spellEnd"/>
      <w:r w:rsidRPr="00A13916">
        <w:rPr>
          <w:sz w:val="22"/>
          <w:szCs w:val="22"/>
        </w:rPr>
        <w:t>. 1134, 1260 y 1241.</w:t>
      </w:r>
    </w:p>
    <w:p w14:paraId="0AF738A1" w14:textId="77777777" w:rsidR="00841E11" w:rsidRPr="00A13916" w:rsidRDefault="00841E11" w:rsidP="00841E11">
      <w:pPr>
        <w:ind w:left="-426" w:right="-518"/>
        <w:contextualSpacing/>
        <w:jc w:val="center"/>
        <w:rPr>
          <w:rFonts w:cs="Arial"/>
          <w:sz w:val="22"/>
          <w:szCs w:val="22"/>
        </w:rPr>
      </w:pPr>
    </w:p>
    <w:p w14:paraId="49443DF2" w14:textId="77777777" w:rsidR="00841E11" w:rsidRPr="00A13916" w:rsidRDefault="00841E11" w:rsidP="00841E11">
      <w:pPr>
        <w:ind w:left="-426" w:right="-518"/>
        <w:contextualSpacing/>
        <w:jc w:val="center"/>
        <w:rPr>
          <w:rFonts w:cs="Arial"/>
          <w:sz w:val="22"/>
          <w:szCs w:val="22"/>
        </w:rPr>
      </w:pPr>
      <w:r w:rsidRPr="00A13916">
        <w:rPr>
          <w:rFonts w:cs="Arial"/>
          <w:sz w:val="22"/>
          <w:szCs w:val="22"/>
        </w:rPr>
        <w:t>Dirección de Atención a Medios / Dirección General Adjunta de Comunicación</w:t>
      </w:r>
    </w:p>
    <w:p w14:paraId="5A09555D" w14:textId="77777777" w:rsidR="00841E11" w:rsidRPr="00A13916" w:rsidRDefault="00841E11" w:rsidP="00841E11">
      <w:pPr>
        <w:ind w:left="-426" w:right="-518"/>
        <w:contextualSpacing/>
        <w:jc w:val="center"/>
        <w:rPr>
          <w:sz w:val="22"/>
          <w:szCs w:val="22"/>
        </w:rPr>
      </w:pPr>
    </w:p>
    <w:p w14:paraId="331CB291" w14:textId="77777777" w:rsidR="00841E11" w:rsidRDefault="00841E11" w:rsidP="00841E11">
      <w:pPr>
        <w:ind w:left="-425" w:right="-516"/>
        <w:contextualSpacing/>
        <w:jc w:val="center"/>
        <w:rPr>
          <w:rFonts w:cs="Arial"/>
          <w:szCs w:val="24"/>
        </w:rPr>
      </w:pPr>
      <w:r w:rsidRPr="00FF1218">
        <w:rPr>
          <w:noProof/>
          <w:lang w:val="es-MX" w:eastAsia="es-MX"/>
        </w:rPr>
        <w:drawing>
          <wp:inline distT="0" distB="0" distL="0" distR="0" wp14:anchorId="6F0FFDBF" wp14:editId="53867C86">
            <wp:extent cx="274320" cy="365760"/>
            <wp:effectExtent l="0" t="0" r="0" b="0"/>
            <wp:docPr id="3" name="Imagen 3"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9640F7F" wp14:editId="3EB36DC7">
            <wp:extent cx="365760" cy="365760"/>
            <wp:effectExtent l="0" t="0" r="0" b="0"/>
            <wp:docPr id="4" name="Imagen 4"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048741B0" wp14:editId="53EFC0F9">
            <wp:extent cx="365760" cy="365760"/>
            <wp:effectExtent l="0" t="0" r="0" b="0"/>
            <wp:docPr id="30" name="Imagen 30"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2FCAE79A" wp14:editId="1623BBF1">
            <wp:extent cx="365760" cy="365760"/>
            <wp:effectExtent l="0" t="0" r="0" b="0"/>
            <wp:docPr id="15" name="Imagen 15"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73EDBA7B" wp14:editId="0217E7CA">
            <wp:extent cx="2286000" cy="274320"/>
            <wp:effectExtent l="0" t="0" r="0" b="0"/>
            <wp:docPr id="5" name="Imagen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EFB4016" w14:textId="77777777" w:rsidR="00841E11" w:rsidRDefault="00841E11" w:rsidP="00841E11">
      <w:pPr>
        <w:pStyle w:val="bullet"/>
        <w:numPr>
          <w:ilvl w:val="0"/>
          <w:numId w:val="0"/>
        </w:numPr>
        <w:tabs>
          <w:tab w:val="left" w:pos="8789"/>
        </w:tabs>
        <w:spacing w:before="0"/>
        <w:ind w:left="2880" w:right="51" w:hanging="360"/>
        <w:jc w:val="center"/>
        <w:rPr>
          <w:rFonts w:cs="Arial"/>
          <w:szCs w:val="24"/>
        </w:rPr>
      </w:pPr>
    </w:p>
    <w:p w14:paraId="37D67CE9" w14:textId="77777777" w:rsidR="00841E11" w:rsidRPr="00157C43" w:rsidRDefault="00841E11" w:rsidP="00841E11">
      <w:pPr>
        <w:pStyle w:val="bullet"/>
        <w:numPr>
          <w:ilvl w:val="0"/>
          <w:numId w:val="0"/>
        </w:numPr>
        <w:tabs>
          <w:tab w:val="left" w:pos="8789"/>
        </w:tabs>
        <w:spacing w:before="0"/>
        <w:ind w:left="2880" w:right="51" w:hanging="360"/>
        <w:jc w:val="center"/>
        <w:rPr>
          <w:rFonts w:cs="Arial"/>
          <w:szCs w:val="24"/>
        </w:rPr>
        <w:sectPr w:rsidR="00841E11" w:rsidRPr="00157C43" w:rsidSect="004C150C">
          <w:headerReference w:type="default" r:id="rId19"/>
          <w:footerReference w:type="default" r:id="rId20"/>
          <w:pgSz w:w="12240" w:h="15840" w:code="1"/>
          <w:pgMar w:top="1" w:right="1701" w:bottom="0" w:left="1588" w:header="510" w:footer="510" w:gutter="0"/>
          <w:cols w:space="720"/>
          <w:docGrid w:linePitch="272"/>
        </w:sectPr>
      </w:pPr>
    </w:p>
    <w:p w14:paraId="3A82C64B" w14:textId="1E7011A2" w:rsidR="00841E11" w:rsidRPr="007C2F3B" w:rsidRDefault="00841E11" w:rsidP="007C2F3B">
      <w:pPr>
        <w:widowControl/>
        <w:tabs>
          <w:tab w:val="left" w:pos="8399"/>
        </w:tabs>
        <w:autoSpaceDE w:val="0"/>
        <w:autoSpaceDN w:val="0"/>
        <w:adjustRightInd w:val="0"/>
        <w:contextualSpacing/>
        <w:jc w:val="center"/>
        <w:rPr>
          <w:b/>
          <w:szCs w:val="24"/>
        </w:rPr>
      </w:pPr>
      <w:r w:rsidRPr="007C2F3B">
        <w:rPr>
          <w:b/>
          <w:szCs w:val="24"/>
        </w:rPr>
        <w:lastRenderedPageBreak/>
        <w:t>ANEXO</w:t>
      </w:r>
    </w:p>
    <w:p w14:paraId="2E4F1AF8" w14:textId="77777777" w:rsidR="00841E11" w:rsidRPr="00841E11" w:rsidRDefault="00841E11" w:rsidP="007C2F3B">
      <w:pPr>
        <w:widowControl/>
        <w:tabs>
          <w:tab w:val="left" w:pos="8399"/>
        </w:tabs>
        <w:autoSpaceDE w:val="0"/>
        <w:autoSpaceDN w:val="0"/>
        <w:adjustRightInd w:val="0"/>
        <w:spacing w:before="120"/>
        <w:ind w:firstLine="720"/>
        <w:contextualSpacing/>
        <w:jc w:val="center"/>
        <w:rPr>
          <w:b/>
          <w:sz w:val="16"/>
          <w:szCs w:val="16"/>
        </w:rPr>
      </w:pPr>
    </w:p>
    <w:p w14:paraId="45FE084F" w14:textId="63C3FD71" w:rsidR="00841E11" w:rsidRPr="007C2F3B" w:rsidRDefault="00841E11" w:rsidP="001E5E68">
      <w:pPr>
        <w:widowControl/>
        <w:tabs>
          <w:tab w:val="left" w:pos="8399"/>
        </w:tabs>
        <w:autoSpaceDE w:val="0"/>
        <w:autoSpaceDN w:val="0"/>
        <w:adjustRightInd w:val="0"/>
        <w:spacing w:before="480"/>
        <w:contextualSpacing/>
        <w:jc w:val="center"/>
        <w:rPr>
          <w:b/>
          <w:szCs w:val="24"/>
        </w:rPr>
      </w:pPr>
      <w:r w:rsidRPr="007C2F3B">
        <w:rPr>
          <w:b/>
          <w:szCs w:val="24"/>
        </w:rPr>
        <w:t>NOTA TÉCNICA</w:t>
      </w:r>
    </w:p>
    <w:p w14:paraId="4E9F9A2F" w14:textId="027330BB" w:rsidR="008452B0" w:rsidRPr="007C2F3B" w:rsidRDefault="00F203A4" w:rsidP="007C2F3B">
      <w:pPr>
        <w:pStyle w:val="Default"/>
        <w:tabs>
          <w:tab w:val="left" w:pos="2410"/>
          <w:tab w:val="left" w:pos="3402"/>
          <w:tab w:val="left" w:pos="3686"/>
        </w:tabs>
        <w:spacing w:before="120"/>
        <w:jc w:val="center"/>
        <w:rPr>
          <w:rFonts w:eastAsia="Times New Roman"/>
          <w:b/>
          <w:bCs/>
          <w:lang w:val="es-ES_tradnl"/>
        </w:rPr>
      </w:pPr>
      <w:r w:rsidRPr="007C2F3B">
        <w:rPr>
          <w:rFonts w:eastAsia="Times New Roman"/>
          <w:b/>
          <w:bCs/>
          <w:lang w:val="es-ES_tradnl"/>
        </w:rPr>
        <w:t>INDICADORES TRIMESTRALES DE LA ACTIVIDAD</w:t>
      </w:r>
      <w:r w:rsidR="008452B0" w:rsidRPr="007C2F3B">
        <w:rPr>
          <w:rFonts w:eastAsia="Times New Roman"/>
          <w:b/>
          <w:bCs/>
          <w:lang w:val="es-ES_tradnl"/>
        </w:rPr>
        <w:t xml:space="preserve"> </w:t>
      </w:r>
      <w:r w:rsidRPr="007C2F3B">
        <w:rPr>
          <w:rFonts w:eastAsia="Times New Roman"/>
          <w:b/>
          <w:bCs/>
          <w:lang w:val="es-ES_tradnl"/>
        </w:rPr>
        <w:t>TURÍSTICA</w:t>
      </w:r>
      <w:r w:rsidR="00C55A68" w:rsidRPr="007C2F3B">
        <w:rPr>
          <w:b/>
          <w:color w:val="auto"/>
          <w:vertAlign w:val="superscript"/>
        </w:rPr>
        <w:footnoteReference w:id="3"/>
      </w:r>
    </w:p>
    <w:p w14:paraId="5BEAED9D" w14:textId="5A6E40AF" w:rsidR="00F203A4" w:rsidRPr="007C2F3B" w:rsidRDefault="005356CD" w:rsidP="007C2F3B">
      <w:pPr>
        <w:pStyle w:val="Default"/>
        <w:tabs>
          <w:tab w:val="left" w:pos="2410"/>
          <w:tab w:val="left" w:pos="3402"/>
          <w:tab w:val="left" w:pos="3686"/>
        </w:tabs>
        <w:jc w:val="center"/>
        <w:rPr>
          <w:rFonts w:eastAsia="Times New Roman"/>
          <w:b/>
          <w:bCs/>
          <w:lang w:val="es-ES_tradnl"/>
        </w:rPr>
      </w:pPr>
      <w:r w:rsidRPr="007C2F3B">
        <w:rPr>
          <w:rFonts w:eastAsia="Times New Roman"/>
          <w:b/>
          <w:bCs/>
          <w:lang w:val="es-ES_tradnl"/>
        </w:rPr>
        <w:t>TERCER</w:t>
      </w:r>
      <w:r w:rsidR="00D46BA8" w:rsidRPr="007C2F3B">
        <w:rPr>
          <w:rFonts w:eastAsia="Times New Roman"/>
          <w:b/>
          <w:bCs/>
          <w:lang w:val="es-ES_tradnl"/>
        </w:rPr>
        <w:t xml:space="preserve"> </w:t>
      </w:r>
      <w:r w:rsidR="00CC0001" w:rsidRPr="007C2F3B">
        <w:rPr>
          <w:rFonts w:eastAsia="Times New Roman"/>
          <w:b/>
          <w:bCs/>
          <w:lang w:val="es-ES_tradnl"/>
        </w:rPr>
        <w:t>TRIMESTRE DE</w:t>
      </w:r>
      <w:r w:rsidR="00F203A4" w:rsidRPr="007C2F3B">
        <w:rPr>
          <w:rFonts w:eastAsia="Times New Roman"/>
          <w:b/>
          <w:bCs/>
          <w:lang w:val="es-ES_tradnl"/>
        </w:rPr>
        <w:t xml:space="preserve"> 20</w:t>
      </w:r>
      <w:r w:rsidR="0009654D" w:rsidRPr="007C2F3B">
        <w:rPr>
          <w:rFonts w:eastAsia="Times New Roman"/>
          <w:b/>
          <w:bCs/>
          <w:lang w:val="es-ES_tradnl"/>
        </w:rPr>
        <w:t>2</w:t>
      </w:r>
      <w:r w:rsidR="00D22C3E" w:rsidRPr="007C2F3B">
        <w:rPr>
          <w:rFonts w:eastAsia="Times New Roman"/>
          <w:b/>
          <w:bCs/>
          <w:lang w:val="es-ES_tradnl"/>
        </w:rPr>
        <w:t>1</w:t>
      </w:r>
    </w:p>
    <w:p w14:paraId="0909E491" w14:textId="10F0E846" w:rsidR="00905C6D" w:rsidRDefault="00905C6D">
      <w:pPr>
        <w:widowControl/>
        <w:rPr>
          <w:rFonts w:cs="Arial"/>
          <w:b/>
          <w:iCs/>
          <w:smallCaps/>
          <w:snapToGrid/>
          <w:szCs w:val="24"/>
          <w:lang w:val="es-MX" w:eastAsia="es-MX"/>
        </w:rPr>
      </w:pPr>
    </w:p>
    <w:p w14:paraId="50097F27" w14:textId="66B3422F" w:rsidR="00F636F8" w:rsidRDefault="00F636F8" w:rsidP="00841E11">
      <w:pPr>
        <w:pStyle w:val="Textoindependiente"/>
        <w:tabs>
          <w:tab w:val="center" w:pos="3348"/>
        </w:tabs>
        <w:spacing w:before="360"/>
        <w:rPr>
          <w:rFonts w:cs="Arial"/>
          <w:b/>
          <w:iCs/>
          <w:smallCaps/>
          <w:snapToGrid/>
          <w:color w:val="auto"/>
          <w:szCs w:val="24"/>
          <w:lang w:val="es-MX" w:eastAsia="es-MX"/>
        </w:rPr>
      </w:pPr>
      <w:r w:rsidRPr="0077014C">
        <w:rPr>
          <w:rFonts w:cs="Arial"/>
          <w:b/>
          <w:i/>
          <w:iCs/>
          <w:color w:val="auto"/>
          <w:szCs w:val="24"/>
          <w:lang w:val="es-MX"/>
        </w:rPr>
        <w:t xml:space="preserve">Cifras </w:t>
      </w:r>
      <w:r>
        <w:rPr>
          <w:rFonts w:cs="Arial"/>
          <w:b/>
          <w:i/>
          <w:iCs/>
          <w:color w:val="auto"/>
          <w:szCs w:val="24"/>
          <w:lang w:val="es-MX"/>
        </w:rPr>
        <w:t>desestacionalizadas</w:t>
      </w:r>
    </w:p>
    <w:p w14:paraId="41B7A019" w14:textId="68C96892" w:rsidR="00B25993" w:rsidRPr="00280516" w:rsidRDefault="00F636F8" w:rsidP="00DE32F9">
      <w:pPr>
        <w:pStyle w:val="Textoindependiente"/>
        <w:tabs>
          <w:tab w:val="center" w:pos="3348"/>
        </w:tabs>
        <w:spacing w:before="240"/>
        <w:ind w:firstLine="284"/>
        <w:rPr>
          <w:rFonts w:cs="Arial"/>
          <w:b/>
          <w:iCs/>
          <w:smallCaps/>
          <w:snapToGrid/>
          <w:color w:val="auto"/>
          <w:szCs w:val="24"/>
          <w:lang w:val="es-MX" w:eastAsia="es-MX"/>
        </w:rPr>
      </w:pPr>
      <w:r>
        <w:rPr>
          <w:rFonts w:cs="Arial"/>
          <w:b/>
          <w:iCs/>
          <w:smallCaps/>
          <w:snapToGrid/>
          <w:color w:val="auto"/>
          <w:szCs w:val="24"/>
          <w:lang w:val="es-MX" w:eastAsia="es-MX"/>
        </w:rPr>
        <w:tab/>
      </w:r>
      <w:r w:rsidR="00BA49C8" w:rsidRPr="00F636F8">
        <w:rPr>
          <w:rFonts w:cs="Arial"/>
          <w:b/>
          <w:iCs/>
          <w:snapToGrid/>
          <w:color w:val="auto"/>
          <w:szCs w:val="24"/>
          <w:lang w:val="es-MX" w:eastAsia="es-MX"/>
        </w:rPr>
        <w:t xml:space="preserve">Indicador </w:t>
      </w:r>
      <w:r w:rsidR="008E5697" w:rsidRPr="00F636F8">
        <w:rPr>
          <w:rFonts w:cs="Arial"/>
          <w:b/>
          <w:iCs/>
          <w:snapToGrid/>
          <w:color w:val="auto"/>
          <w:szCs w:val="24"/>
          <w:lang w:val="es-MX" w:eastAsia="es-MX"/>
        </w:rPr>
        <w:t xml:space="preserve">Trimestral </w:t>
      </w:r>
      <w:r w:rsidR="008E5697">
        <w:rPr>
          <w:rFonts w:cs="Arial"/>
          <w:b/>
          <w:iCs/>
          <w:snapToGrid/>
          <w:color w:val="auto"/>
          <w:szCs w:val="24"/>
          <w:lang w:val="es-MX" w:eastAsia="es-MX"/>
        </w:rPr>
        <w:t>d</w:t>
      </w:r>
      <w:r w:rsidR="008E5697" w:rsidRPr="00F636F8">
        <w:rPr>
          <w:rFonts w:cs="Arial"/>
          <w:b/>
          <w:iCs/>
          <w:snapToGrid/>
          <w:color w:val="auto"/>
          <w:szCs w:val="24"/>
          <w:lang w:val="es-MX" w:eastAsia="es-MX"/>
        </w:rPr>
        <w:t>el Producto Interno Bruto Turístico</w:t>
      </w:r>
      <w:r w:rsidR="00BA49C8" w:rsidRPr="00F636F8">
        <w:rPr>
          <w:rFonts w:cs="Arial"/>
          <w:b/>
          <w:iCs/>
          <w:snapToGrid/>
          <w:color w:val="auto"/>
          <w:szCs w:val="24"/>
          <w:lang w:val="es-MX" w:eastAsia="es-MX"/>
        </w:rPr>
        <w:t xml:space="preserve"> (</w:t>
      </w:r>
      <w:r>
        <w:rPr>
          <w:rFonts w:cs="Arial"/>
          <w:b/>
          <w:iCs/>
          <w:snapToGrid/>
          <w:color w:val="auto"/>
          <w:szCs w:val="24"/>
          <w:lang w:val="es-MX" w:eastAsia="es-MX"/>
        </w:rPr>
        <w:t>IT</w:t>
      </w:r>
      <w:r w:rsidRPr="00F636F8">
        <w:rPr>
          <w:rFonts w:cs="Arial"/>
          <w:b/>
          <w:iCs/>
          <w:snapToGrid/>
          <w:color w:val="auto"/>
          <w:szCs w:val="24"/>
          <w:lang w:val="es-MX" w:eastAsia="es-MX"/>
        </w:rPr>
        <w:t>PIBT</w:t>
      </w:r>
      <w:r w:rsidR="00BA49C8" w:rsidRPr="00280516">
        <w:rPr>
          <w:rFonts w:cs="Arial"/>
          <w:b/>
          <w:iCs/>
          <w:smallCaps/>
          <w:snapToGrid/>
          <w:color w:val="auto"/>
          <w:szCs w:val="24"/>
          <w:lang w:val="es-MX" w:eastAsia="es-MX"/>
        </w:rPr>
        <w:t>)</w:t>
      </w:r>
    </w:p>
    <w:p w14:paraId="3C85C702" w14:textId="7956D845" w:rsidR="006F48F0" w:rsidRDefault="009F23EB" w:rsidP="00E1763C">
      <w:pPr>
        <w:pStyle w:val="Default"/>
        <w:spacing w:before="240"/>
        <w:jc w:val="both"/>
        <w:rPr>
          <w:color w:val="auto"/>
        </w:rPr>
      </w:pPr>
      <w:r>
        <w:rPr>
          <w:color w:val="auto"/>
        </w:rPr>
        <w:t>E</w:t>
      </w:r>
      <w:r w:rsidRPr="003F5A16">
        <w:rPr>
          <w:color w:val="auto"/>
        </w:rPr>
        <w:t xml:space="preserve">n el </w:t>
      </w:r>
      <w:r>
        <w:rPr>
          <w:color w:val="auto"/>
        </w:rPr>
        <w:t>tercer</w:t>
      </w:r>
      <w:r w:rsidRPr="003F5A16">
        <w:rPr>
          <w:color w:val="auto"/>
        </w:rPr>
        <w:t xml:space="preserve"> trimestre de 202</w:t>
      </w:r>
      <w:r>
        <w:rPr>
          <w:color w:val="auto"/>
        </w:rPr>
        <w:t>1</w:t>
      </w:r>
      <w:r w:rsidRPr="003F5A16">
        <w:rPr>
          <w:color w:val="auto"/>
        </w:rPr>
        <w:t xml:space="preserve"> </w:t>
      </w:r>
      <w:r>
        <w:rPr>
          <w:color w:val="auto"/>
        </w:rPr>
        <w:t>y a tasa trimestral, e</w:t>
      </w:r>
      <w:r w:rsidR="00DC6CFE" w:rsidRPr="003F5A16">
        <w:rPr>
          <w:color w:val="auto"/>
        </w:rPr>
        <w:t>l</w:t>
      </w:r>
      <w:r w:rsidR="00280516" w:rsidRPr="003F5A16">
        <w:rPr>
          <w:color w:val="auto"/>
        </w:rPr>
        <w:t xml:space="preserve"> ITPIBT</w:t>
      </w:r>
      <w:r w:rsidR="00847CE2" w:rsidRPr="003F5A16">
        <w:rPr>
          <w:color w:val="auto"/>
        </w:rPr>
        <w:t xml:space="preserve"> </w:t>
      </w:r>
      <w:r w:rsidR="00665BB6" w:rsidRPr="003F5A16">
        <w:rPr>
          <w:color w:val="auto"/>
        </w:rPr>
        <w:t>presentó</w:t>
      </w:r>
      <w:r w:rsidR="00D87EA6" w:rsidRPr="003F5A16">
        <w:rPr>
          <w:color w:val="auto"/>
        </w:rPr>
        <w:t xml:space="preserve"> </w:t>
      </w:r>
      <w:r w:rsidR="00BE7195" w:rsidRPr="003F5A16">
        <w:rPr>
          <w:color w:val="auto"/>
        </w:rPr>
        <w:t>un</w:t>
      </w:r>
      <w:r w:rsidR="00130B75">
        <w:rPr>
          <w:color w:val="auto"/>
        </w:rPr>
        <w:t xml:space="preserve"> </w:t>
      </w:r>
      <w:r w:rsidR="00F33388">
        <w:rPr>
          <w:color w:val="auto"/>
        </w:rPr>
        <w:t>aumento</w:t>
      </w:r>
      <w:r w:rsidR="006E01F9" w:rsidRPr="003F5A16">
        <w:rPr>
          <w:color w:val="auto"/>
        </w:rPr>
        <w:t xml:space="preserve"> </w:t>
      </w:r>
      <w:r w:rsidR="00D41962">
        <w:rPr>
          <w:color w:val="auto"/>
        </w:rPr>
        <w:t xml:space="preserve">real </w:t>
      </w:r>
      <w:r w:rsidR="006E01F9" w:rsidRPr="003F5A16">
        <w:rPr>
          <w:color w:val="auto"/>
        </w:rPr>
        <w:t xml:space="preserve">de </w:t>
      </w:r>
      <w:r w:rsidR="00F33388">
        <w:rPr>
          <w:color w:val="auto"/>
        </w:rPr>
        <w:t>2</w:t>
      </w:r>
      <w:r w:rsidR="00357B37">
        <w:rPr>
          <w:color w:val="auto"/>
        </w:rPr>
        <w:t>.5</w:t>
      </w:r>
      <w:r w:rsidR="006E01F9" w:rsidRPr="003F5A16">
        <w:rPr>
          <w:color w:val="auto"/>
        </w:rPr>
        <w:t>%</w:t>
      </w:r>
      <w:r>
        <w:rPr>
          <w:color w:val="auto"/>
        </w:rPr>
        <w:t>.</w:t>
      </w:r>
      <w:r w:rsidR="0070717E" w:rsidRPr="003F5A16">
        <w:rPr>
          <w:color w:val="auto"/>
        </w:rPr>
        <w:t xml:space="preserve"> </w:t>
      </w:r>
      <w:r w:rsidR="006F48F0" w:rsidRPr="003F5A16">
        <w:rPr>
          <w:color w:val="auto"/>
          <w:szCs w:val="22"/>
        </w:rPr>
        <w:t>A su interior</w:t>
      </w:r>
      <w:r w:rsidR="002F10D1" w:rsidRPr="003F5A16">
        <w:rPr>
          <w:color w:val="auto"/>
          <w:szCs w:val="22"/>
        </w:rPr>
        <w:t>,</w:t>
      </w:r>
      <w:r w:rsidR="00D7231E">
        <w:rPr>
          <w:color w:val="auto"/>
          <w:szCs w:val="22"/>
        </w:rPr>
        <w:t xml:space="preserve"> el de</w:t>
      </w:r>
      <w:r w:rsidR="00F527F2" w:rsidRPr="003F5A16">
        <w:rPr>
          <w:color w:val="auto"/>
          <w:szCs w:val="22"/>
        </w:rPr>
        <w:t xml:space="preserve"> </w:t>
      </w:r>
      <w:r w:rsidR="00270136" w:rsidRPr="003F5A16">
        <w:rPr>
          <w:color w:val="auto"/>
        </w:rPr>
        <w:t>Servicios</w:t>
      </w:r>
      <w:r w:rsidR="00270136" w:rsidRPr="00130B75">
        <w:rPr>
          <w:color w:val="auto"/>
        </w:rPr>
        <w:t xml:space="preserve"> </w:t>
      </w:r>
      <w:r w:rsidR="00F33388">
        <w:rPr>
          <w:color w:val="auto"/>
        </w:rPr>
        <w:t>a</w:t>
      </w:r>
      <w:r w:rsidR="00130B75">
        <w:rPr>
          <w:color w:val="auto"/>
        </w:rPr>
        <w:t>scendi</w:t>
      </w:r>
      <w:r w:rsidR="00D7231E">
        <w:rPr>
          <w:color w:val="auto"/>
        </w:rPr>
        <w:t>ó</w:t>
      </w:r>
      <w:r w:rsidR="006D7D71" w:rsidRPr="003F5A16">
        <w:rPr>
          <w:color w:val="auto"/>
        </w:rPr>
        <w:t xml:space="preserve"> </w:t>
      </w:r>
      <w:r w:rsidR="00357B37">
        <w:rPr>
          <w:color w:val="auto"/>
        </w:rPr>
        <w:t>3.1</w:t>
      </w:r>
      <w:r w:rsidR="006D7D71" w:rsidRPr="003F5A16">
        <w:rPr>
          <w:color w:val="auto"/>
        </w:rPr>
        <w:t>%</w:t>
      </w:r>
      <w:r w:rsidR="00F93AD3">
        <w:rPr>
          <w:color w:val="auto"/>
        </w:rPr>
        <w:t xml:space="preserve"> y</w:t>
      </w:r>
      <w:r w:rsidR="006D7D71">
        <w:rPr>
          <w:color w:val="auto"/>
        </w:rPr>
        <w:t xml:space="preserve"> </w:t>
      </w:r>
      <w:r w:rsidR="00D87EA6" w:rsidRPr="003F5A16">
        <w:rPr>
          <w:color w:val="auto"/>
        </w:rPr>
        <w:t>el</w:t>
      </w:r>
      <w:r w:rsidR="004A5C0E">
        <w:rPr>
          <w:color w:val="auto"/>
        </w:rPr>
        <w:t xml:space="preserve"> de</w:t>
      </w:r>
      <w:r w:rsidR="00130B75" w:rsidRPr="003F5A16">
        <w:rPr>
          <w:color w:val="auto"/>
        </w:rPr>
        <w:t xml:space="preserve"> </w:t>
      </w:r>
      <w:r w:rsidR="00270136" w:rsidRPr="003F5A16">
        <w:rPr>
          <w:color w:val="auto"/>
        </w:rPr>
        <w:t>Bie</w:t>
      </w:r>
      <w:r w:rsidR="00270136">
        <w:rPr>
          <w:color w:val="auto"/>
        </w:rPr>
        <w:t>n</w:t>
      </w:r>
      <w:r w:rsidR="00270136" w:rsidRPr="003F5A16">
        <w:rPr>
          <w:color w:val="auto"/>
        </w:rPr>
        <w:t xml:space="preserve">es </w:t>
      </w:r>
      <w:r w:rsidR="00AA6AEF">
        <w:rPr>
          <w:color w:val="auto"/>
        </w:rPr>
        <w:t>disminuy</w:t>
      </w:r>
      <w:r w:rsidR="00C17853">
        <w:rPr>
          <w:color w:val="auto"/>
        </w:rPr>
        <w:t xml:space="preserve">ó </w:t>
      </w:r>
      <w:r w:rsidR="00AA6AEF">
        <w:rPr>
          <w:color w:val="auto"/>
        </w:rPr>
        <w:t>2.5%</w:t>
      </w:r>
      <w:r w:rsidR="006F48F0" w:rsidRPr="003F5A16">
        <w:rPr>
          <w:color w:val="auto"/>
          <w:szCs w:val="22"/>
        </w:rPr>
        <w:t>.</w:t>
      </w:r>
      <w:r w:rsidR="006F48F0" w:rsidRPr="00274992">
        <w:rPr>
          <w:color w:val="auto"/>
          <w:szCs w:val="22"/>
        </w:rPr>
        <w:t xml:space="preserve"> </w:t>
      </w:r>
    </w:p>
    <w:p w14:paraId="2422BD9E" w14:textId="0F3DBEF5" w:rsidR="00280516" w:rsidRPr="003D2E2E" w:rsidRDefault="00280516" w:rsidP="006D3D10">
      <w:pPr>
        <w:spacing w:before="360"/>
        <w:jc w:val="center"/>
        <w:rPr>
          <w:rFonts w:cs="Arial"/>
          <w:sz w:val="18"/>
          <w:szCs w:val="18"/>
        </w:rPr>
      </w:pPr>
      <w:r w:rsidRPr="00894A51">
        <w:rPr>
          <w:rFonts w:cs="Arial"/>
          <w:sz w:val="20"/>
        </w:rPr>
        <w:t xml:space="preserve">Gráfica </w:t>
      </w:r>
      <w:r w:rsidR="00B4562D" w:rsidRPr="00894A51">
        <w:rPr>
          <w:rFonts w:cs="Arial"/>
          <w:sz w:val="20"/>
        </w:rPr>
        <w:t>1</w:t>
      </w:r>
    </w:p>
    <w:p w14:paraId="63D11E67" w14:textId="429CF6A4" w:rsidR="00280516" w:rsidRPr="005B4B9E" w:rsidRDefault="00BA49C8" w:rsidP="00280516">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sidR="00524D79">
        <w:rPr>
          <w:rFonts w:cs="Arial"/>
          <w:b/>
          <w:iCs/>
          <w:smallCaps/>
          <w:snapToGrid/>
          <w:sz w:val="22"/>
          <w:szCs w:val="22"/>
          <w:lang w:val="es-MX" w:eastAsia="es-MX"/>
        </w:rPr>
        <w:t>PIB</w:t>
      </w:r>
      <w:r w:rsidRPr="005B4B9E">
        <w:rPr>
          <w:rFonts w:cs="Arial"/>
          <w:b/>
          <w:iCs/>
          <w:smallCaps/>
          <w:snapToGrid/>
          <w:sz w:val="22"/>
          <w:szCs w:val="22"/>
          <w:lang w:val="es-MX" w:eastAsia="es-MX"/>
        </w:rPr>
        <w:t xml:space="preserve"> turístico</w:t>
      </w:r>
    </w:p>
    <w:p w14:paraId="4EBD03CA" w14:textId="20A5A368" w:rsidR="00280516" w:rsidRPr="003D2E2E" w:rsidRDefault="00280516" w:rsidP="00280516">
      <w:pPr>
        <w:contextualSpacing/>
        <w:jc w:val="center"/>
        <w:rPr>
          <w:rFonts w:cs="Arial"/>
          <w:sz w:val="18"/>
          <w:szCs w:val="18"/>
        </w:rPr>
      </w:pPr>
      <w:r w:rsidRPr="003D2E2E">
        <w:rPr>
          <w:rFonts w:cs="Arial"/>
          <w:sz w:val="18"/>
          <w:szCs w:val="18"/>
        </w:rPr>
        <w:t xml:space="preserve">(Índice </w:t>
      </w:r>
      <w:r w:rsidR="008F692E">
        <w:rPr>
          <w:rFonts w:cs="Arial"/>
          <w:sz w:val="18"/>
          <w:szCs w:val="18"/>
        </w:rPr>
        <w:t xml:space="preserve">base </w:t>
      </w:r>
      <w:r w:rsidR="00B604CA">
        <w:rPr>
          <w:rFonts w:cs="Arial"/>
          <w:sz w:val="18"/>
          <w:szCs w:val="18"/>
        </w:rPr>
        <w:t>20</w:t>
      </w:r>
      <w:r w:rsidR="002A618E">
        <w:rPr>
          <w:rFonts w:cs="Arial"/>
          <w:sz w:val="18"/>
          <w:szCs w:val="18"/>
        </w:rPr>
        <w:t>13</w:t>
      </w:r>
      <w:r w:rsidRPr="003D2E2E">
        <w:rPr>
          <w:rFonts w:cs="Arial"/>
          <w:sz w:val="18"/>
          <w:szCs w:val="18"/>
        </w:rPr>
        <w:t>=100)</w:t>
      </w:r>
      <w:r w:rsidR="00FF3110" w:rsidRPr="00FF3110">
        <w:rPr>
          <w:noProof/>
          <w:snapToGrid/>
        </w:rPr>
        <w:t xml:space="preserve"> </w:t>
      </w:r>
    </w:p>
    <w:p w14:paraId="44474488" w14:textId="77E7BFDA" w:rsidR="00BA6B74" w:rsidRPr="00004A7D" w:rsidRDefault="00502EDC" w:rsidP="00BA6B74">
      <w:pPr>
        <w:contextualSpacing/>
        <w:jc w:val="center"/>
        <w:rPr>
          <w:rFonts w:cs="Arial"/>
          <w:szCs w:val="24"/>
        </w:rPr>
      </w:pPr>
      <w:r>
        <w:rPr>
          <w:noProof/>
          <w:snapToGrid/>
        </w:rPr>
        <w:drawing>
          <wp:inline distT="0" distB="0" distL="0" distR="0" wp14:anchorId="10B7F5D3" wp14:editId="3C496810">
            <wp:extent cx="4320000" cy="2520000"/>
            <wp:effectExtent l="0" t="0" r="23495" b="33020"/>
            <wp:docPr id="1" name="Gráfico 1">
              <a:extLst xmlns:a="http://schemas.openxmlformats.org/drawingml/2006/main">
                <a:ext uri="{FF2B5EF4-FFF2-40B4-BE49-F238E27FC236}">
                  <a16:creationId xmlns:a16="http://schemas.microsoft.com/office/drawing/2014/main" id="{BAF51839-45D5-4E24-9CA1-04A79F4E95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D1D01AD" w14:textId="77777777" w:rsidR="000E2C66" w:rsidRPr="003D2E2E" w:rsidRDefault="000E2C66" w:rsidP="00593A80">
      <w:pPr>
        <w:ind w:left="1134"/>
        <w:contextualSpacing/>
        <w:rPr>
          <w:rFonts w:cs="Arial"/>
          <w:sz w:val="16"/>
          <w:szCs w:val="16"/>
        </w:rPr>
      </w:pPr>
      <w:r w:rsidRPr="003D2E2E">
        <w:rPr>
          <w:rFonts w:cs="Arial"/>
          <w:sz w:val="16"/>
          <w:szCs w:val="16"/>
        </w:rPr>
        <w:t>Fuente: INEGI</w:t>
      </w:r>
      <w:r w:rsidR="007806B1">
        <w:rPr>
          <w:rFonts w:cs="Arial"/>
          <w:sz w:val="16"/>
          <w:szCs w:val="16"/>
        </w:rPr>
        <w:t>.</w:t>
      </w:r>
    </w:p>
    <w:p w14:paraId="50CE8924" w14:textId="77777777" w:rsidR="007C2F3B" w:rsidRDefault="007C2F3B">
      <w:pPr>
        <w:widowControl/>
        <w:rPr>
          <w:rFonts w:cs="Arial"/>
          <w:sz w:val="20"/>
        </w:rPr>
      </w:pPr>
      <w:r>
        <w:rPr>
          <w:rFonts w:cs="Arial"/>
          <w:sz w:val="20"/>
        </w:rPr>
        <w:br w:type="page"/>
      </w:r>
    </w:p>
    <w:p w14:paraId="6659C02F" w14:textId="4C360E47" w:rsidR="00506982" w:rsidRPr="00894A51" w:rsidRDefault="00506982" w:rsidP="00AD19F0">
      <w:pPr>
        <w:spacing w:before="360"/>
        <w:jc w:val="center"/>
        <w:rPr>
          <w:rFonts w:cs="Arial"/>
          <w:sz w:val="20"/>
        </w:rPr>
      </w:pPr>
      <w:r w:rsidRPr="00894A51">
        <w:rPr>
          <w:rFonts w:cs="Arial"/>
          <w:sz w:val="20"/>
        </w:rPr>
        <w:lastRenderedPageBreak/>
        <w:t xml:space="preserve">Gráfica </w:t>
      </w:r>
      <w:r w:rsidR="00146BEE" w:rsidRPr="00894A51">
        <w:rPr>
          <w:rFonts w:cs="Arial"/>
          <w:sz w:val="20"/>
        </w:rPr>
        <w:t>2</w:t>
      </w:r>
    </w:p>
    <w:p w14:paraId="65A494FA" w14:textId="49F7F04D" w:rsidR="005919C0" w:rsidRPr="005B4B9E" w:rsidRDefault="00BA49C8" w:rsidP="005919C0">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sidR="00524D79">
        <w:rPr>
          <w:rFonts w:cs="Arial"/>
          <w:b/>
          <w:iCs/>
          <w:smallCaps/>
          <w:snapToGrid/>
          <w:sz w:val="22"/>
          <w:szCs w:val="22"/>
          <w:lang w:val="es-MX" w:eastAsia="es-MX"/>
        </w:rPr>
        <w:t>PIB</w:t>
      </w:r>
      <w:r w:rsidRPr="005B4B9E">
        <w:rPr>
          <w:rFonts w:cs="Arial"/>
          <w:b/>
          <w:iCs/>
          <w:smallCaps/>
          <w:snapToGrid/>
          <w:sz w:val="22"/>
          <w:szCs w:val="22"/>
          <w:lang w:val="es-MX" w:eastAsia="es-MX"/>
        </w:rPr>
        <w:t xml:space="preserve"> turístico</w:t>
      </w:r>
      <w:r w:rsidRPr="005B4B9E">
        <w:rPr>
          <w:rFonts w:cs="Arial"/>
          <w:b/>
          <w:smallCaps/>
          <w:sz w:val="22"/>
          <w:szCs w:val="22"/>
        </w:rPr>
        <w:t xml:space="preserve"> de </w:t>
      </w:r>
      <w:r>
        <w:rPr>
          <w:rFonts w:cs="Arial"/>
          <w:b/>
          <w:smallCaps/>
          <w:sz w:val="22"/>
          <w:szCs w:val="22"/>
        </w:rPr>
        <w:t>servicios</w:t>
      </w:r>
    </w:p>
    <w:p w14:paraId="1F7144AB" w14:textId="77777777" w:rsidR="00506982" w:rsidRPr="003D2E2E" w:rsidRDefault="00506982" w:rsidP="00506982">
      <w:pPr>
        <w:contextualSpacing/>
        <w:jc w:val="center"/>
        <w:rPr>
          <w:rFonts w:cs="Arial"/>
          <w:sz w:val="18"/>
          <w:szCs w:val="18"/>
        </w:rPr>
      </w:pPr>
      <w:r w:rsidRPr="003D2E2E">
        <w:rPr>
          <w:rFonts w:cs="Arial"/>
          <w:sz w:val="18"/>
          <w:szCs w:val="18"/>
        </w:rPr>
        <w:t xml:space="preserve">(Índice </w:t>
      </w:r>
      <w:r>
        <w:rPr>
          <w:rFonts w:cs="Arial"/>
          <w:sz w:val="18"/>
          <w:szCs w:val="18"/>
        </w:rPr>
        <w:t>base 2013</w:t>
      </w:r>
      <w:r w:rsidRPr="003D2E2E">
        <w:rPr>
          <w:rFonts w:cs="Arial"/>
          <w:sz w:val="18"/>
          <w:szCs w:val="18"/>
        </w:rPr>
        <w:t>=100)</w:t>
      </w:r>
    </w:p>
    <w:p w14:paraId="5764147C" w14:textId="7DAA1071" w:rsidR="00506982" w:rsidRPr="002959AC" w:rsidRDefault="00502EDC" w:rsidP="00506982">
      <w:pPr>
        <w:contextualSpacing/>
        <w:jc w:val="center"/>
        <w:rPr>
          <w:rFonts w:cs="Arial"/>
          <w:sz w:val="20"/>
          <w14:shadow w14:blurRad="50800" w14:dist="50800" w14:dir="3600000" w14:sx="0" w14:sy="0" w14:kx="0" w14:ky="0" w14:algn="ctr">
            <w14:srgbClr w14:val="000000">
              <w14:alpha w14:val="56870"/>
            </w14:srgbClr>
          </w14:shadow>
        </w:rPr>
      </w:pPr>
      <w:r>
        <w:rPr>
          <w:noProof/>
          <w:snapToGrid/>
        </w:rPr>
        <w:drawing>
          <wp:inline distT="0" distB="0" distL="0" distR="0" wp14:anchorId="0045ABED" wp14:editId="3A73714A">
            <wp:extent cx="4320000" cy="2520000"/>
            <wp:effectExtent l="0" t="0" r="23495" b="33020"/>
            <wp:docPr id="2" name="Gráfico 2">
              <a:extLst xmlns:a="http://schemas.openxmlformats.org/drawingml/2006/main">
                <a:ext uri="{FF2B5EF4-FFF2-40B4-BE49-F238E27FC236}">
                  <a16:creationId xmlns:a16="http://schemas.microsoft.com/office/drawing/2014/main" id="{B18219D0-63BE-4B06-B1C8-81A8A4C4F9D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72B403" w14:textId="77777777" w:rsidR="00506982" w:rsidRDefault="00506982" w:rsidP="00506982">
      <w:pPr>
        <w:spacing w:before="480"/>
        <w:ind w:left="1134"/>
        <w:contextualSpacing/>
        <w:rPr>
          <w:rFonts w:cs="Arial"/>
          <w:sz w:val="18"/>
          <w:szCs w:val="18"/>
        </w:rPr>
      </w:pPr>
      <w:r w:rsidRPr="003D2E2E">
        <w:rPr>
          <w:rFonts w:cs="Arial"/>
          <w:sz w:val="16"/>
          <w:szCs w:val="16"/>
        </w:rPr>
        <w:t>Fuente: INEGI</w:t>
      </w:r>
      <w:r>
        <w:rPr>
          <w:rFonts w:cs="Arial"/>
          <w:sz w:val="16"/>
          <w:szCs w:val="16"/>
        </w:rPr>
        <w:t>.</w:t>
      </w:r>
    </w:p>
    <w:p w14:paraId="6B1A8E3F" w14:textId="148F77E9" w:rsidR="00146BEE" w:rsidRPr="00894A51" w:rsidRDefault="00146BEE" w:rsidP="006D3D10">
      <w:pPr>
        <w:spacing w:before="360"/>
        <w:ind w:left="284" w:hanging="45"/>
        <w:contextualSpacing/>
        <w:jc w:val="center"/>
        <w:rPr>
          <w:rFonts w:cs="Arial"/>
          <w:sz w:val="20"/>
        </w:rPr>
      </w:pPr>
      <w:r w:rsidRPr="00894A51">
        <w:rPr>
          <w:rFonts w:cs="Arial"/>
          <w:sz w:val="20"/>
        </w:rPr>
        <w:t>Gráfica 3</w:t>
      </w:r>
    </w:p>
    <w:p w14:paraId="314A97BD" w14:textId="46FA50F3" w:rsidR="005919C0" w:rsidRPr="005B4B9E" w:rsidRDefault="00BA49C8" w:rsidP="005919C0">
      <w:pPr>
        <w:contextualSpacing/>
        <w:jc w:val="center"/>
        <w:rPr>
          <w:rFonts w:cs="Arial"/>
          <w:b/>
          <w:smallCaps/>
          <w:sz w:val="22"/>
          <w:szCs w:val="22"/>
        </w:rPr>
      </w:pPr>
      <w:r w:rsidRPr="005B4B9E">
        <w:rPr>
          <w:rFonts w:cs="Arial"/>
          <w:b/>
          <w:iCs/>
          <w:smallCaps/>
          <w:snapToGrid/>
          <w:sz w:val="22"/>
          <w:szCs w:val="22"/>
          <w:lang w:val="es-MX" w:eastAsia="es-MX"/>
        </w:rPr>
        <w:t xml:space="preserve">Indicador trimestral del </w:t>
      </w:r>
      <w:r w:rsidR="00524D79">
        <w:rPr>
          <w:rFonts w:cs="Arial"/>
          <w:b/>
          <w:iCs/>
          <w:smallCaps/>
          <w:snapToGrid/>
          <w:sz w:val="22"/>
          <w:szCs w:val="22"/>
          <w:lang w:val="es-MX" w:eastAsia="es-MX"/>
        </w:rPr>
        <w:t>PIB</w:t>
      </w:r>
      <w:r w:rsidRPr="005B4B9E">
        <w:rPr>
          <w:rFonts w:cs="Arial"/>
          <w:b/>
          <w:iCs/>
          <w:smallCaps/>
          <w:snapToGrid/>
          <w:sz w:val="22"/>
          <w:szCs w:val="22"/>
          <w:lang w:val="es-MX" w:eastAsia="es-MX"/>
        </w:rPr>
        <w:t xml:space="preserve"> turístico</w:t>
      </w:r>
      <w:r>
        <w:rPr>
          <w:rFonts w:cs="Arial"/>
          <w:b/>
          <w:smallCaps/>
          <w:sz w:val="22"/>
          <w:szCs w:val="22"/>
        </w:rPr>
        <w:t xml:space="preserve"> de bienes</w:t>
      </w:r>
    </w:p>
    <w:p w14:paraId="2E50018A" w14:textId="77777777" w:rsidR="00146BEE" w:rsidRDefault="00146BEE" w:rsidP="00146BEE">
      <w:pPr>
        <w:spacing w:before="240"/>
        <w:ind w:left="284" w:hanging="45"/>
        <w:contextualSpacing/>
        <w:jc w:val="center"/>
        <w:rPr>
          <w:rFonts w:cs="Arial"/>
          <w:sz w:val="18"/>
          <w:szCs w:val="18"/>
        </w:rPr>
      </w:pPr>
      <w:r w:rsidRPr="003D2E2E">
        <w:rPr>
          <w:rFonts w:cs="Arial"/>
          <w:sz w:val="18"/>
          <w:szCs w:val="18"/>
        </w:rPr>
        <w:t>(Índice</w:t>
      </w:r>
      <w:r>
        <w:rPr>
          <w:rFonts w:cs="Arial"/>
          <w:sz w:val="18"/>
          <w:szCs w:val="18"/>
        </w:rPr>
        <w:t xml:space="preserve"> base 2013</w:t>
      </w:r>
      <w:r w:rsidRPr="003D2E2E">
        <w:rPr>
          <w:rFonts w:cs="Arial"/>
          <w:sz w:val="18"/>
          <w:szCs w:val="18"/>
        </w:rPr>
        <w:t>=100)</w:t>
      </w:r>
    </w:p>
    <w:p w14:paraId="4E57E86B" w14:textId="2C5E5A39" w:rsidR="00146BEE" w:rsidRDefault="00502EDC" w:rsidP="00146BEE">
      <w:pPr>
        <w:spacing w:before="240"/>
        <w:ind w:left="284" w:hanging="45"/>
        <w:contextualSpacing/>
        <w:jc w:val="center"/>
        <w:rPr>
          <w:rFonts w:cs="Arial"/>
          <w:sz w:val="18"/>
          <w:szCs w:val="18"/>
        </w:rPr>
      </w:pPr>
      <w:r>
        <w:rPr>
          <w:noProof/>
          <w:snapToGrid/>
        </w:rPr>
        <w:drawing>
          <wp:inline distT="0" distB="0" distL="0" distR="0" wp14:anchorId="3AB8005E" wp14:editId="18650E58">
            <wp:extent cx="4320000" cy="2520000"/>
            <wp:effectExtent l="0" t="0" r="23495" b="33020"/>
            <wp:docPr id="6" name="Gráfico 6">
              <a:extLst xmlns:a="http://schemas.openxmlformats.org/drawingml/2006/main">
                <a:ext uri="{FF2B5EF4-FFF2-40B4-BE49-F238E27FC236}">
                  <a16:creationId xmlns:a16="http://schemas.microsoft.com/office/drawing/2014/main" id="{950FDDDC-E158-4AB5-AC35-968F956590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3102F3F" w14:textId="61E62A26" w:rsidR="00146BEE" w:rsidRDefault="00146BEE" w:rsidP="00146BEE">
      <w:pPr>
        <w:pStyle w:val="Textoindependiente"/>
        <w:tabs>
          <w:tab w:val="center" w:pos="3348"/>
        </w:tabs>
        <w:ind w:left="1276"/>
        <w:jc w:val="both"/>
        <w:rPr>
          <w:snapToGrid/>
          <w:color w:val="auto"/>
          <w:szCs w:val="22"/>
        </w:rPr>
      </w:pPr>
      <w:r w:rsidRPr="003D2E2E">
        <w:rPr>
          <w:rFonts w:cs="Arial"/>
          <w:sz w:val="16"/>
          <w:szCs w:val="16"/>
        </w:rPr>
        <w:t>Fuente: INEGI</w:t>
      </w:r>
      <w:r>
        <w:rPr>
          <w:rFonts w:cs="Arial"/>
          <w:sz w:val="16"/>
          <w:szCs w:val="16"/>
        </w:rPr>
        <w:t>.</w:t>
      </w:r>
    </w:p>
    <w:p w14:paraId="5771CC77" w14:textId="0564F534" w:rsidR="001D0F96" w:rsidRPr="003F5A16" w:rsidRDefault="00EA2E82" w:rsidP="00DE32F9">
      <w:pPr>
        <w:pStyle w:val="Textoindependiente"/>
        <w:tabs>
          <w:tab w:val="center" w:pos="3348"/>
        </w:tabs>
        <w:spacing w:before="360"/>
        <w:jc w:val="both"/>
        <w:rPr>
          <w:snapToGrid/>
          <w:color w:val="auto"/>
          <w:szCs w:val="22"/>
        </w:rPr>
      </w:pPr>
      <w:r>
        <w:rPr>
          <w:snapToGrid/>
          <w:color w:val="auto"/>
          <w:szCs w:val="22"/>
        </w:rPr>
        <w:t>A tasa</w:t>
      </w:r>
      <w:r w:rsidR="001D0F96" w:rsidRPr="003F5A16">
        <w:rPr>
          <w:snapToGrid/>
          <w:color w:val="auto"/>
          <w:szCs w:val="22"/>
        </w:rPr>
        <w:t xml:space="preserve"> anual</w:t>
      </w:r>
      <w:r w:rsidRPr="00EA2E82">
        <w:rPr>
          <w:snapToGrid/>
          <w:color w:val="auto"/>
          <w:szCs w:val="22"/>
        </w:rPr>
        <w:t xml:space="preserve"> </w:t>
      </w:r>
      <w:r>
        <w:rPr>
          <w:snapToGrid/>
          <w:color w:val="auto"/>
          <w:szCs w:val="22"/>
        </w:rPr>
        <w:t xml:space="preserve">y </w:t>
      </w:r>
      <w:r w:rsidRPr="003F5A16">
        <w:rPr>
          <w:snapToGrid/>
          <w:color w:val="auto"/>
          <w:szCs w:val="22"/>
        </w:rPr>
        <w:t>con cifras desestacionalizadas</w:t>
      </w:r>
      <w:r w:rsidR="001D0F96" w:rsidRPr="003F5A16">
        <w:rPr>
          <w:snapToGrid/>
          <w:color w:val="auto"/>
          <w:szCs w:val="22"/>
        </w:rPr>
        <w:t xml:space="preserve">, el </w:t>
      </w:r>
      <w:r w:rsidR="00B301A1" w:rsidRPr="003F5A16">
        <w:rPr>
          <w:snapToGrid/>
          <w:color w:val="auto"/>
          <w:szCs w:val="22"/>
        </w:rPr>
        <w:t>ITPIBT</w:t>
      </w:r>
      <w:r w:rsidR="001D0F96" w:rsidRPr="003F5A16">
        <w:rPr>
          <w:snapToGrid/>
          <w:color w:val="auto"/>
          <w:szCs w:val="22"/>
        </w:rPr>
        <w:t xml:space="preserve"> </w:t>
      </w:r>
      <w:r w:rsidR="005919C0">
        <w:rPr>
          <w:snapToGrid/>
          <w:color w:val="auto"/>
          <w:szCs w:val="22"/>
        </w:rPr>
        <w:t>aument</w:t>
      </w:r>
      <w:r w:rsidR="0044791B" w:rsidRPr="003F5A16">
        <w:rPr>
          <w:snapToGrid/>
          <w:color w:val="auto"/>
          <w:szCs w:val="22"/>
        </w:rPr>
        <w:t>ó</w:t>
      </w:r>
      <w:r w:rsidR="00B301A1" w:rsidRPr="003F5A16">
        <w:rPr>
          <w:snapToGrid/>
          <w:color w:val="auto"/>
          <w:szCs w:val="22"/>
        </w:rPr>
        <w:t xml:space="preserve"> </w:t>
      </w:r>
      <w:r w:rsidR="00AA6AEF">
        <w:rPr>
          <w:snapToGrid/>
          <w:color w:val="auto"/>
          <w:szCs w:val="22"/>
        </w:rPr>
        <w:t>24.9</w:t>
      </w:r>
      <w:r w:rsidR="00B301A1" w:rsidRPr="003F5A16">
        <w:rPr>
          <w:snapToGrid/>
          <w:color w:val="auto"/>
          <w:szCs w:val="22"/>
        </w:rPr>
        <w:t xml:space="preserve">% en términos reales en el trimestre </w:t>
      </w:r>
      <w:r w:rsidR="00B70A85">
        <w:rPr>
          <w:snapToGrid/>
          <w:color w:val="auto"/>
          <w:szCs w:val="22"/>
        </w:rPr>
        <w:t>julio-septiembre</w:t>
      </w:r>
      <w:r w:rsidR="00B301A1" w:rsidRPr="003F5A16">
        <w:rPr>
          <w:snapToGrid/>
          <w:color w:val="auto"/>
          <w:szCs w:val="22"/>
        </w:rPr>
        <w:t xml:space="preserve"> de 20</w:t>
      </w:r>
      <w:r w:rsidR="0044791B" w:rsidRPr="003F5A16">
        <w:rPr>
          <w:snapToGrid/>
          <w:color w:val="auto"/>
          <w:szCs w:val="22"/>
        </w:rPr>
        <w:t>2</w:t>
      </w:r>
      <w:r w:rsidR="00C2462A">
        <w:rPr>
          <w:snapToGrid/>
          <w:color w:val="auto"/>
          <w:szCs w:val="22"/>
        </w:rPr>
        <w:t>1</w:t>
      </w:r>
      <w:r w:rsidR="00B301A1" w:rsidRPr="003F5A16">
        <w:rPr>
          <w:snapToGrid/>
          <w:color w:val="auto"/>
          <w:szCs w:val="22"/>
        </w:rPr>
        <w:t>. P</w:t>
      </w:r>
      <w:r w:rsidR="002637EF" w:rsidRPr="003F5A16">
        <w:rPr>
          <w:snapToGrid/>
          <w:color w:val="auto"/>
          <w:szCs w:val="22"/>
        </w:rPr>
        <w:t>or componente</w:t>
      </w:r>
      <w:r w:rsidR="006D7CE5" w:rsidRPr="003F5A16">
        <w:rPr>
          <w:snapToGrid/>
          <w:color w:val="auto"/>
          <w:szCs w:val="22"/>
        </w:rPr>
        <w:t>,</w:t>
      </w:r>
      <w:r w:rsidR="002637EF" w:rsidRPr="003F5A16">
        <w:rPr>
          <w:snapToGrid/>
          <w:color w:val="auto"/>
          <w:szCs w:val="22"/>
        </w:rPr>
        <w:t xml:space="preserve"> </w:t>
      </w:r>
      <w:r w:rsidR="00AA6AEF" w:rsidRPr="003F5A16">
        <w:rPr>
          <w:snapToGrid/>
          <w:color w:val="auto"/>
          <w:szCs w:val="22"/>
        </w:rPr>
        <w:t xml:space="preserve">el de Servicios </w:t>
      </w:r>
      <w:r w:rsidR="00DE32F9">
        <w:rPr>
          <w:snapToGrid/>
          <w:color w:val="auto"/>
          <w:szCs w:val="22"/>
        </w:rPr>
        <w:t>creció</w:t>
      </w:r>
      <w:r w:rsidR="00AA6AEF">
        <w:rPr>
          <w:snapToGrid/>
          <w:color w:val="auto"/>
          <w:szCs w:val="22"/>
        </w:rPr>
        <w:t xml:space="preserve"> 28.5% y </w:t>
      </w:r>
      <w:r w:rsidR="00994340" w:rsidRPr="003F5A16">
        <w:rPr>
          <w:snapToGrid/>
          <w:color w:val="auto"/>
          <w:szCs w:val="22"/>
        </w:rPr>
        <w:t xml:space="preserve">el de </w:t>
      </w:r>
      <w:r w:rsidR="00130B75" w:rsidRPr="003F5A16">
        <w:rPr>
          <w:snapToGrid/>
          <w:color w:val="auto"/>
          <w:szCs w:val="22"/>
        </w:rPr>
        <w:t>Bienes</w:t>
      </w:r>
      <w:r w:rsidR="00130B75">
        <w:rPr>
          <w:snapToGrid/>
          <w:color w:val="auto"/>
          <w:szCs w:val="22"/>
        </w:rPr>
        <w:t xml:space="preserve"> </w:t>
      </w:r>
      <w:r w:rsidR="00B147E0">
        <w:rPr>
          <w:snapToGrid/>
          <w:color w:val="auto"/>
          <w:szCs w:val="22"/>
        </w:rPr>
        <w:t xml:space="preserve">se </w:t>
      </w:r>
      <w:r w:rsidR="005919C0">
        <w:rPr>
          <w:snapToGrid/>
          <w:color w:val="auto"/>
          <w:szCs w:val="22"/>
        </w:rPr>
        <w:t>incrementó 5.6</w:t>
      </w:r>
      <w:r w:rsidR="00130B75" w:rsidRPr="003F5A16">
        <w:rPr>
          <w:snapToGrid/>
          <w:color w:val="auto"/>
          <w:szCs w:val="22"/>
        </w:rPr>
        <w:t>%</w:t>
      </w:r>
      <w:r w:rsidR="00B301A1" w:rsidRPr="003F5A16">
        <w:rPr>
          <w:snapToGrid/>
          <w:color w:val="auto"/>
          <w:szCs w:val="22"/>
        </w:rPr>
        <w:t>.</w:t>
      </w:r>
      <w:r w:rsidR="001D0F96" w:rsidRPr="003F5A16">
        <w:rPr>
          <w:snapToGrid/>
          <w:color w:val="auto"/>
          <w:szCs w:val="22"/>
        </w:rPr>
        <w:t xml:space="preserve"> </w:t>
      </w:r>
    </w:p>
    <w:p w14:paraId="7E200CD7" w14:textId="77777777" w:rsidR="006D3D10" w:rsidRDefault="006D3D10" w:rsidP="00B97936">
      <w:pPr>
        <w:pStyle w:val="Textoindependiente"/>
        <w:tabs>
          <w:tab w:val="center" w:pos="3348"/>
        </w:tabs>
        <w:spacing w:before="360"/>
        <w:ind w:firstLine="284"/>
        <w:rPr>
          <w:rFonts w:cs="Arial"/>
          <w:b/>
          <w:szCs w:val="24"/>
        </w:rPr>
      </w:pPr>
    </w:p>
    <w:p w14:paraId="43BDC513" w14:textId="421015C5" w:rsidR="002C1ADA" w:rsidRPr="003F5A16" w:rsidRDefault="00BA49C8" w:rsidP="00B97936">
      <w:pPr>
        <w:pStyle w:val="Textoindependiente"/>
        <w:tabs>
          <w:tab w:val="center" w:pos="3348"/>
        </w:tabs>
        <w:spacing w:before="360"/>
        <w:ind w:firstLine="284"/>
        <w:rPr>
          <w:rFonts w:cs="Arial"/>
          <w:b/>
          <w:smallCaps/>
          <w:szCs w:val="24"/>
        </w:rPr>
      </w:pPr>
      <w:r w:rsidRPr="00DB0784">
        <w:rPr>
          <w:rFonts w:cs="Arial"/>
          <w:b/>
          <w:szCs w:val="24"/>
        </w:rPr>
        <w:lastRenderedPageBreak/>
        <w:t xml:space="preserve">Indicador </w:t>
      </w:r>
      <w:r w:rsidR="008E5697" w:rsidRPr="00DB0784">
        <w:rPr>
          <w:rFonts w:cs="Arial"/>
          <w:b/>
          <w:szCs w:val="24"/>
        </w:rPr>
        <w:t xml:space="preserve">Trimestral </w:t>
      </w:r>
      <w:r w:rsidR="00B97936">
        <w:rPr>
          <w:rFonts w:cs="Arial"/>
          <w:b/>
          <w:szCs w:val="24"/>
        </w:rPr>
        <w:t>d</w:t>
      </w:r>
      <w:r w:rsidR="008E5697" w:rsidRPr="00DB0784">
        <w:rPr>
          <w:rFonts w:cs="Arial"/>
          <w:b/>
          <w:szCs w:val="24"/>
        </w:rPr>
        <w:t>el Consumo Turístico Interior</w:t>
      </w:r>
      <w:r w:rsidRPr="003F5A16">
        <w:rPr>
          <w:rFonts w:cs="Arial"/>
          <w:b/>
          <w:smallCaps/>
          <w:szCs w:val="24"/>
        </w:rPr>
        <w:t xml:space="preserve"> (</w:t>
      </w:r>
      <w:r w:rsidR="00DB0784" w:rsidRPr="00DB0784">
        <w:rPr>
          <w:rFonts w:cs="Arial"/>
          <w:b/>
          <w:szCs w:val="24"/>
        </w:rPr>
        <w:t>ITCTI</w:t>
      </w:r>
      <w:r w:rsidRPr="003F5A16">
        <w:rPr>
          <w:rFonts w:cs="Arial"/>
          <w:b/>
          <w:smallCaps/>
          <w:szCs w:val="24"/>
        </w:rPr>
        <w:t>)</w:t>
      </w:r>
    </w:p>
    <w:p w14:paraId="424817C1" w14:textId="77777777" w:rsidR="006D3D10" w:rsidRDefault="00DB0784" w:rsidP="006D3D10">
      <w:pPr>
        <w:pStyle w:val="Textoindependiente"/>
        <w:tabs>
          <w:tab w:val="center" w:pos="3348"/>
        </w:tabs>
        <w:spacing w:before="240"/>
        <w:jc w:val="both"/>
        <w:rPr>
          <w:snapToGrid/>
          <w:color w:val="auto"/>
          <w:szCs w:val="22"/>
        </w:rPr>
      </w:pPr>
      <w:r>
        <w:rPr>
          <w:snapToGrid/>
          <w:color w:val="auto"/>
          <w:szCs w:val="22"/>
        </w:rPr>
        <w:t>E</w:t>
      </w:r>
      <w:r w:rsidRPr="003F5A16">
        <w:rPr>
          <w:snapToGrid/>
          <w:color w:val="auto"/>
          <w:szCs w:val="22"/>
        </w:rPr>
        <w:t xml:space="preserve">n el </w:t>
      </w:r>
      <w:r>
        <w:rPr>
          <w:snapToGrid/>
          <w:color w:val="auto"/>
          <w:szCs w:val="22"/>
        </w:rPr>
        <w:t xml:space="preserve">tercer </w:t>
      </w:r>
      <w:r w:rsidRPr="003F5A16">
        <w:rPr>
          <w:snapToGrid/>
          <w:color w:val="auto"/>
          <w:szCs w:val="22"/>
        </w:rPr>
        <w:t>trimestre de</w:t>
      </w:r>
      <w:r>
        <w:rPr>
          <w:snapToGrid/>
          <w:color w:val="auto"/>
          <w:szCs w:val="22"/>
        </w:rPr>
        <w:t xml:space="preserve"> 2021, e</w:t>
      </w:r>
      <w:r w:rsidR="00DD139F" w:rsidRPr="003F5A16">
        <w:rPr>
          <w:snapToGrid/>
          <w:color w:val="auto"/>
          <w:szCs w:val="22"/>
        </w:rPr>
        <w:t xml:space="preserve">l Indicador Trimestral del Consumo Turístico Interior </w:t>
      </w:r>
      <w:r>
        <w:rPr>
          <w:snapToGrid/>
          <w:color w:val="auto"/>
          <w:szCs w:val="22"/>
        </w:rPr>
        <w:t>avanzó</w:t>
      </w:r>
      <w:r w:rsidR="009921BB" w:rsidRPr="003F5A16">
        <w:rPr>
          <w:snapToGrid/>
          <w:color w:val="auto"/>
          <w:szCs w:val="22"/>
        </w:rPr>
        <w:t xml:space="preserve"> </w:t>
      </w:r>
      <w:r w:rsidR="00EB0CC0">
        <w:rPr>
          <w:snapToGrid/>
          <w:color w:val="auto"/>
          <w:szCs w:val="22"/>
        </w:rPr>
        <w:t>4</w:t>
      </w:r>
      <w:r w:rsidR="00160FB0">
        <w:rPr>
          <w:snapToGrid/>
          <w:color w:val="auto"/>
          <w:szCs w:val="22"/>
        </w:rPr>
        <w:t>.</w:t>
      </w:r>
      <w:r w:rsidR="00EB0CC0">
        <w:rPr>
          <w:snapToGrid/>
          <w:color w:val="auto"/>
          <w:szCs w:val="22"/>
        </w:rPr>
        <w:t>6</w:t>
      </w:r>
      <w:r w:rsidR="00EC052B" w:rsidRPr="003F5A16">
        <w:rPr>
          <w:snapToGrid/>
          <w:color w:val="auto"/>
          <w:szCs w:val="22"/>
        </w:rPr>
        <w:t>%</w:t>
      </w:r>
      <w:r w:rsidR="002A618E" w:rsidRPr="003F5A16">
        <w:rPr>
          <w:snapToGrid/>
          <w:color w:val="auto"/>
          <w:szCs w:val="22"/>
        </w:rPr>
        <w:t xml:space="preserve"> </w:t>
      </w:r>
      <w:r w:rsidR="00E81E9F" w:rsidRPr="003F5A16">
        <w:rPr>
          <w:snapToGrid/>
          <w:color w:val="auto"/>
          <w:szCs w:val="22"/>
        </w:rPr>
        <w:t xml:space="preserve">respecto al trimestre </w:t>
      </w:r>
      <w:r w:rsidR="00F65E92" w:rsidRPr="003F5A16">
        <w:rPr>
          <w:snapToGrid/>
          <w:color w:val="auto"/>
          <w:szCs w:val="22"/>
        </w:rPr>
        <w:t>anterior</w:t>
      </w:r>
      <w:r w:rsidR="00DD139F" w:rsidRPr="003F5A16">
        <w:rPr>
          <w:snapToGrid/>
          <w:color w:val="auto"/>
          <w:szCs w:val="22"/>
        </w:rPr>
        <w:t xml:space="preserve">. </w:t>
      </w:r>
      <w:r w:rsidR="007449C3" w:rsidRPr="003F5A16">
        <w:rPr>
          <w:snapToGrid/>
          <w:color w:val="auto"/>
          <w:szCs w:val="22"/>
        </w:rPr>
        <w:t>De manera desagregada</w:t>
      </w:r>
      <w:r w:rsidR="008B5024" w:rsidRPr="003F5A16">
        <w:rPr>
          <w:snapToGrid/>
          <w:color w:val="auto"/>
          <w:szCs w:val="22"/>
        </w:rPr>
        <w:t xml:space="preserve">, </w:t>
      </w:r>
      <w:r w:rsidR="006A4B36" w:rsidRPr="003F5A16">
        <w:rPr>
          <w:snapToGrid/>
          <w:color w:val="auto"/>
          <w:szCs w:val="22"/>
        </w:rPr>
        <w:t xml:space="preserve">el Receptivo </w:t>
      </w:r>
      <w:r>
        <w:rPr>
          <w:snapToGrid/>
          <w:color w:val="auto"/>
          <w:szCs w:val="22"/>
        </w:rPr>
        <w:t>mostró un alza de</w:t>
      </w:r>
      <w:r w:rsidR="006A4B36" w:rsidRPr="003F5A16">
        <w:rPr>
          <w:snapToGrid/>
          <w:color w:val="auto"/>
          <w:szCs w:val="22"/>
        </w:rPr>
        <w:t xml:space="preserve"> </w:t>
      </w:r>
      <w:r w:rsidR="00EB0CC0">
        <w:rPr>
          <w:snapToGrid/>
          <w:color w:val="auto"/>
          <w:szCs w:val="22"/>
        </w:rPr>
        <w:t>30.4</w:t>
      </w:r>
      <w:r w:rsidR="006A4B36" w:rsidRPr="003F5A16">
        <w:rPr>
          <w:snapToGrid/>
          <w:color w:val="auto"/>
          <w:szCs w:val="22"/>
        </w:rPr>
        <w:t>%</w:t>
      </w:r>
      <w:r w:rsidR="00A907A6">
        <w:rPr>
          <w:snapToGrid/>
          <w:color w:val="auto"/>
          <w:szCs w:val="22"/>
        </w:rPr>
        <w:t xml:space="preserve"> y </w:t>
      </w:r>
      <w:r w:rsidR="008B5024" w:rsidRPr="003F5A16">
        <w:rPr>
          <w:snapToGrid/>
          <w:color w:val="auto"/>
          <w:szCs w:val="22"/>
        </w:rPr>
        <w:t xml:space="preserve">el </w:t>
      </w:r>
      <w:r w:rsidR="00A90F04" w:rsidRPr="003F5A16">
        <w:rPr>
          <w:snapToGrid/>
          <w:color w:val="auto"/>
          <w:szCs w:val="22"/>
        </w:rPr>
        <w:t>Interno</w:t>
      </w:r>
      <w:r w:rsidR="00160FB0">
        <w:rPr>
          <w:snapToGrid/>
          <w:color w:val="auto"/>
          <w:szCs w:val="22"/>
        </w:rPr>
        <w:t xml:space="preserve"> </w:t>
      </w:r>
      <w:r w:rsidR="00F93AD3">
        <w:rPr>
          <w:snapToGrid/>
          <w:color w:val="auto"/>
          <w:szCs w:val="22"/>
        </w:rPr>
        <w:t>cay</w:t>
      </w:r>
      <w:r w:rsidR="00160FB0">
        <w:rPr>
          <w:snapToGrid/>
          <w:color w:val="auto"/>
          <w:szCs w:val="22"/>
        </w:rPr>
        <w:t>ó</w:t>
      </w:r>
      <w:r w:rsidR="00A90F04" w:rsidRPr="003F5A16">
        <w:rPr>
          <w:snapToGrid/>
          <w:color w:val="auto"/>
          <w:szCs w:val="22"/>
        </w:rPr>
        <w:t xml:space="preserve"> </w:t>
      </w:r>
      <w:r w:rsidR="00F93AD3">
        <w:rPr>
          <w:snapToGrid/>
          <w:color w:val="auto"/>
          <w:szCs w:val="22"/>
        </w:rPr>
        <w:t>1.7</w:t>
      </w:r>
      <w:r w:rsidR="00A90F04" w:rsidRPr="003F5A16">
        <w:rPr>
          <w:snapToGrid/>
          <w:color w:val="auto"/>
          <w:szCs w:val="22"/>
        </w:rPr>
        <w:t>%</w:t>
      </w:r>
      <w:r w:rsidR="00831C5E" w:rsidRPr="003F5A16">
        <w:rPr>
          <w:snapToGrid/>
          <w:color w:val="auto"/>
          <w:szCs w:val="22"/>
        </w:rPr>
        <w:t>.</w:t>
      </w:r>
    </w:p>
    <w:p w14:paraId="6D794427" w14:textId="45EA22DB" w:rsidR="000D65E2" w:rsidRPr="00894A51" w:rsidRDefault="000D65E2" w:rsidP="006D3D10">
      <w:pPr>
        <w:pStyle w:val="Textoindependiente"/>
        <w:tabs>
          <w:tab w:val="center" w:pos="3348"/>
        </w:tabs>
        <w:spacing w:before="240"/>
        <w:jc w:val="center"/>
        <w:rPr>
          <w:sz w:val="20"/>
        </w:rPr>
      </w:pPr>
      <w:r w:rsidRPr="00894A51">
        <w:rPr>
          <w:sz w:val="20"/>
        </w:rPr>
        <w:t xml:space="preserve">Gráfica </w:t>
      </w:r>
      <w:r w:rsidR="009910DB" w:rsidRPr="00894A51">
        <w:rPr>
          <w:sz w:val="20"/>
        </w:rPr>
        <w:t>4</w:t>
      </w:r>
    </w:p>
    <w:p w14:paraId="603870A5" w14:textId="0D564317" w:rsidR="000D65E2" w:rsidRPr="005B4B9E" w:rsidRDefault="00BA49C8" w:rsidP="000D65E2">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p>
    <w:p w14:paraId="55FBBACA" w14:textId="77777777" w:rsidR="000D65E2" w:rsidRPr="000A5EC0" w:rsidRDefault="000D65E2" w:rsidP="000D65E2">
      <w:pPr>
        <w:contextualSpacing/>
        <w:jc w:val="center"/>
        <w:rPr>
          <w:rFonts w:cs="Arial"/>
          <w:b/>
          <w:smallCaps/>
          <w:sz w:val="18"/>
          <w:szCs w:val="18"/>
        </w:rPr>
      </w:pPr>
      <w:r w:rsidRPr="000A5EC0">
        <w:rPr>
          <w:rFonts w:cs="Arial"/>
          <w:sz w:val="18"/>
          <w:szCs w:val="18"/>
        </w:rPr>
        <w:t xml:space="preserve">(Índice </w:t>
      </w:r>
      <w:r w:rsidR="008F692E">
        <w:rPr>
          <w:rFonts w:cs="Arial"/>
          <w:sz w:val="18"/>
          <w:szCs w:val="18"/>
        </w:rPr>
        <w:t xml:space="preserve">base </w:t>
      </w:r>
      <w:r w:rsidR="00B604CA">
        <w:rPr>
          <w:rFonts w:cs="Arial"/>
          <w:sz w:val="18"/>
          <w:szCs w:val="18"/>
        </w:rPr>
        <w:t>20</w:t>
      </w:r>
      <w:r w:rsidR="00FC221A">
        <w:rPr>
          <w:rFonts w:cs="Arial"/>
          <w:sz w:val="18"/>
          <w:szCs w:val="18"/>
        </w:rPr>
        <w:t>13</w:t>
      </w:r>
      <w:r w:rsidRPr="000A5EC0">
        <w:rPr>
          <w:rFonts w:cs="Arial"/>
          <w:sz w:val="18"/>
          <w:szCs w:val="18"/>
        </w:rPr>
        <w:t>=100)</w:t>
      </w:r>
    </w:p>
    <w:p w14:paraId="3539B053" w14:textId="38F2AC3E" w:rsidR="000D65E2" w:rsidRDefault="00617100" w:rsidP="00E06933">
      <w:pPr>
        <w:tabs>
          <w:tab w:val="left" w:pos="6145"/>
        </w:tabs>
        <w:jc w:val="center"/>
      </w:pPr>
      <w:r>
        <w:rPr>
          <w:noProof/>
          <w:snapToGrid/>
        </w:rPr>
        <w:drawing>
          <wp:inline distT="0" distB="0" distL="0" distR="0" wp14:anchorId="50C69DD0" wp14:editId="403F8389">
            <wp:extent cx="4320000" cy="2520000"/>
            <wp:effectExtent l="0" t="0" r="23495" b="33020"/>
            <wp:docPr id="9" name="Gráfico 9">
              <a:extLst xmlns:a="http://schemas.openxmlformats.org/drawingml/2006/main">
                <a:ext uri="{FF2B5EF4-FFF2-40B4-BE49-F238E27FC236}">
                  <a16:creationId xmlns:a16="http://schemas.microsoft.com/office/drawing/2014/main" id="{E265C962-09EB-4098-8E77-BE07C8CBD9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12E2AEF" w14:textId="77777777" w:rsidR="00E06933" w:rsidRPr="003D2E2E" w:rsidRDefault="00DB7239" w:rsidP="00E06933">
      <w:pPr>
        <w:ind w:left="993"/>
        <w:contextualSpacing/>
        <w:rPr>
          <w:rFonts w:cs="Arial"/>
          <w:sz w:val="16"/>
          <w:szCs w:val="16"/>
        </w:rPr>
      </w:pPr>
      <w:r>
        <w:rPr>
          <w:rFonts w:cs="Arial"/>
          <w:sz w:val="16"/>
          <w:szCs w:val="16"/>
        </w:rPr>
        <w:t xml:space="preserve">    </w:t>
      </w:r>
      <w:r w:rsidR="00E06933" w:rsidRPr="003D2E2E">
        <w:rPr>
          <w:rFonts w:cs="Arial"/>
          <w:sz w:val="16"/>
          <w:szCs w:val="16"/>
        </w:rPr>
        <w:t>Fuente: INEGI</w:t>
      </w:r>
      <w:r w:rsidR="007806B1">
        <w:rPr>
          <w:rFonts w:cs="Arial"/>
          <w:sz w:val="16"/>
          <w:szCs w:val="16"/>
        </w:rPr>
        <w:t>.</w:t>
      </w:r>
    </w:p>
    <w:p w14:paraId="09297749" w14:textId="77777777" w:rsidR="005A4D85" w:rsidRPr="00894A51" w:rsidRDefault="005A4D85" w:rsidP="005A4D85">
      <w:pPr>
        <w:pStyle w:val="Default"/>
        <w:spacing w:before="360"/>
        <w:jc w:val="center"/>
        <w:rPr>
          <w:sz w:val="20"/>
          <w:szCs w:val="20"/>
        </w:rPr>
      </w:pPr>
      <w:r w:rsidRPr="00894A51">
        <w:rPr>
          <w:sz w:val="20"/>
          <w:szCs w:val="20"/>
        </w:rPr>
        <w:t>Gráfica 5</w:t>
      </w:r>
    </w:p>
    <w:p w14:paraId="39A5B6B0" w14:textId="3784FE73" w:rsidR="006A4B36" w:rsidRPr="005B4B9E" w:rsidRDefault="00BA49C8" w:rsidP="006A4B36">
      <w:pPr>
        <w:contextualSpacing/>
        <w:jc w:val="center"/>
        <w:rPr>
          <w:rFonts w:cs="Arial"/>
          <w:b/>
          <w:smallCaps/>
          <w:sz w:val="22"/>
          <w:szCs w:val="22"/>
        </w:rPr>
      </w:pPr>
      <w:r w:rsidRPr="005B4B9E">
        <w:rPr>
          <w:rFonts w:cs="Arial"/>
          <w:b/>
          <w:smallCaps/>
          <w:sz w:val="22"/>
          <w:szCs w:val="22"/>
        </w:rPr>
        <w:t>Indicador trimestral del consumo turístico interior</w:t>
      </w:r>
      <w:r>
        <w:rPr>
          <w:rFonts w:cs="Arial"/>
          <w:b/>
          <w:smallCaps/>
          <w:sz w:val="22"/>
          <w:szCs w:val="22"/>
        </w:rPr>
        <w:t xml:space="preserve"> receptivo</w:t>
      </w:r>
      <w:r w:rsidRPr="005B4B9E" w:rsidDel="00CC2A9A">
        <w:rPr>
          <w:rFonts w:cs="Arial"/>
          <w:b/>
          <w:smallCaps/>
          <w:sz w:val="22"/>
          <w:szCs w:val="22"/>
        </w:rPr>
        <w:t xml:space="preserve"> </w:t>
      </w:r>
    </w:p>
    <w:p w14:paraId="602CEE3A" w14:textId="77777777" w:rsidR="005A4D85" w:rsidRPr="000A5EC0" w:rsidRDefault="005A4D85" w:rsidP="005A4D85">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36BC2207" w14:textId="1E7F6579" w:rsidR="005A4D85" w:rsidRDefault="00617100" w:rsidP="005A4D85">
      <w:pPr>
        <w:tabs>
          <w:tab w:val="left" w:pos="6145"/>
        </w:tabs>
        <w:jc w:val="center"/>
        <w:rPr>
          <w:sz w:val="16"/>
          <w:szCs w:val="16"/>
        </w:rPr>
      </w:pPr>
      <w:r>
        <w:rPr>
          <w:noProof/>
          <w:snapToGrid/>
        </w:rPr>
        <w:drawing>
          <wp:inline distT="0" distB="0" distL="0" distR="0" wp14:anchorId="18648E74" wp14:editId="187D0D3A">
            <wp:extent cx="4320000" cy="2520000"/>
            <wp:effectExtent l="0" t="0" r="23495" b="13970"/>
            <wp:docPr id="10" name="Gráfico 10">
              <a:extLst xmlns:a="http://schemas.openxmlformats.org/drawingml/2006/main">
                <a:ext uri="{FF2B5EF4-FFF2-40B4-BE49-F238E27FC236}">
                  <a16:creationId xmlns:a16="http://schemas.microsoft.com/office/drawing/2014/main" id="{AF9488A4-9DBF-4060-9CA1-A880202C07F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A724327" w14:textId="77777777" w:rsidR="005A4D85" w:rsidRDefault="005A4D85" w:rsidP="005A4D85">
      <w:pPr>
        <w:tabs>
          <w:tab w:val="left" w:pos="6145"/>
        </w:tabs>
        <w:ind w:left="993"/>
        <w:rPr>
          <w:sz w:val="18"/>
          <w:szCs w:val="18"/>
        </w:rPr>
      </w:pPr>
      <w:r>
        <w:rPr>
          <w:sz w:val="16"/>
          <w:szCs w:val="16"/>
        </w:rPr>
        <w:t xml:space="preserve">    </w:t>
      </w:r>
      <w:r w:rsidRPr="003D2E2E">
        <w:rPr>
          <w:sz w:val="16"/>
          <w:szCs w:val="16"/>
        </w:rPr>
        <w:t>Fuente: INEGI</w:t>
      </w:r>
      <w:r>
        <w:rPr>
          <w:sz w:val="16"/>
          <w:szCs w:val="16"/>
        </w:rPr>
        <w:t>.</w:t>
      </w:r>
    </w:p>
    <w:p w14:paraId="3C871C7D" w14:textId="77777777" w:rsidR="005A4D85" w:rsidRDefault="005A4D85">
      <w:pPr>
        <w:widowControl/>
        <w:rPr>
          <w:sz w:val="18"/>
          <w:szCs w:val="18"/>
        </w:rPr>
      </w:pPr>
      <w:r>
        <w:rPr>
          <w:sz w:val="18"/>
          <w:szCs w:val="18"/>
        </w:rPr>
        <w:br w:type="page"/>
      </w:r>
    </w:p>
    <w:p w14:paraId="4F82A504" w14:textId="77777777" w:rsidR="00593BE6" w:rsidRPr="00E652C0" w:rsidRDefault="00593BE6" w:rsidP="00593BE6">
      <w:pPr>
        <w:pStyle w:val="Default"/>
        <w:spacing w:before="360"/>
        <w:jc w:val="center"/>
        <w:rPr>
          <w:sz w:val="20"/>
          <w:szCs w:val="20"/>
        </w:rPr>
      </w:pPr>
      <w:r w:rsidRPr="00E652C0">
        <w:rPr>
          <w:sz w:val="20"/>
          <w:szCs w:val="20"/>
        </w:rPr>
        <w:lastRenderedPageBreak/>
        <w:t xml:space="preserve">Gráfica </w:t>
      </w:r>
      <w:r w:rsidR="005A4D85" w:rsidRPr="00E652C0">
        <w:rPr>
          <w:sz w:val="20"/>
          <w:szCs w:val="20"/>
        </w:rPr>
        <w:t>6</w:t>
      </w:r>
    </w:p>
    <w:p w14:paraId="29005B4F" w14:textId="50731E7F" w:rsidR="00DB6564" w:rsidRPr="005B4B9E" w:rsidRDefault="00BA49C8" w:rsidP="00DB6564">
      <w:pPr>
        <w:contextualSpacing/>
        <w:jc w:val="center"/>
        <w:rPr>
          <w:rFonts w:cs="Arial"/>
          <w:b/>
          <w:smallCaps/>
          <w:sz w:val="22"/>
          <w:szCs w:val="22"/>
        </w:rPr>
      </w:pPr>
      <w:r w:rsidRPr="005B4B9E">
        <w:rPr>
          <w:rFonts w:cs="Arial"/>
          <w:b/>
          <w:smallCaps/>
          <w:sz w:val="22"/>
          <w:szCs w:val="22"/>
        </w:rPr>
        <w:t>Indicador trimestral del consumo turístico interior</w:t>
      </w:r>
      <w:r w:rsidRPr="005B4B9E" w:rsidDel="00CC2A9A">
        <w:rPr>
          <w:rFonts w:cs="Arial"/>
          <w:b/>
          <w:smallCaps/>
          <w:sz w:val="22"/>
          <w:szCs w:val="22"/>
        </w:rPr>
        <w:t xml:space="preserve"> </w:t>
      </w:r>
      <w:r>
        <w:rPr>
          <w:rFonts w:cs="Arial"/>
          <w:b/>
          <w:smallCaps/>
          <w:sz w:val="22"/>
          <w:szCs w:val="22"/>
        </w:rPr>
        <w:t>interno</w:t>
      </w:r>
      <w:r w:rsidRPr="005B4B9E">
        <w:rPr>
          <w:rFonts w:cs="Arial"/>
          <w:b/>
          <w:smallCaps/>
          <w:sz w:val="22"/>
          <w:szCs w:val="22"/>
        </w:rPr>
        <w:t xml:space="preserve"> </w:t>
      </w:r>
    </w:p>
    <w:p w14:paraId="3A34B788" w14:textId="77777777" w:rsidR="00013DDD" w:rsidRPr="000A5EC0" w:rsidRDefault="00013DDD" w:rsidP="00013DDD">
      <w:pPr>
        <w:contextualSpacing/>
        <w:jc w:val="center"/>
        <w:rPr>
          <w:rFonts w:cs="Arial"/>
          <w:b/>
          <w:smallCaps/>
          <w:sz w:val="18"/>
          <w:szCs w:val="18"/>
        </w:rPr>
      </w:pPr>
      <w:r w:rsidRPr="000A5EC0">
        <w:rPr>
          <w:rFonts w:cs="Arial"/>
          <w:sz w:val="18"/>
          <w:szCs w:val="18"/>
        </w:rPr>
        <w:t xml:space="preserve">(Índice </w:t>
      </w:r>
      <w:r>
        <w:rPr>
          <w:rFonts w:cs="Arial"/>
          <w:sz w:val="18"/>
          <w:szCs w:val="18"/>
        </w:rPr>
        <w:t>base 2013</w:t>
      </w:r>
      <w:r w:rsidRPr="000A5EC0">
        <w:rPr>
          <w:rFonts w:cs="Arial"/>
          <w:sz w:val="18"/>
          <w:szCs w:val="18"/>
        </w:rPr>
        <w:t>=100)</w:t>
      </w:r>
    </w:p>
    <w:p w14:paraId="1371B1C1" w14:textId="7EDAC023" w:rsidR="00013DDD" w:rsidRDefault="00617100" w:rsidP="00013DDD">
      <w:pPr>
        <w:tabs>
          <w:tab w:val="left" w:pos="6145"/>
        </w:tabs>
        <w:jc w:val="center"/>
      </w:pPr>
      <w:r>
        <w:rPr>
          <w:noProof/>
          <w:snapToGrid/>
        </w:rPr>
        <w:drawing>
          <wp:inline distT="0" distB="0" distL="0" distR="0" wp14:anchorId="2909FB9F" wp14:editId="5B111434">
            <wp:extent cx="4320000" cy="2520000"/>
            <wp:effectExtent l="0" t="0" r="23495" b="33020"/>
            <wp:docPr id="12" name="Gráfico 12">
              <a:extLst xmlns:a="http://schemas.openxmlformats.org/drawingml/2006/main">
                <a:ext uri="{FF2B5EF4-FFF2-40B4-BE49-F238E27FC236}">
                  <a16:creationId xmlns:a16="http://schemas.microsoft.com/office/drawing/2014/main" id="{5A630631-AC38-4518-B28F-D761B9B99E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BBCE852" w14:textId="77777777" w:rsidR="00593BE6" w:rsidRDefault="00013DDD" w:rsidP="00013DDD">
      <w:pPr>
        <w:pStyle w:val="Default"/>
        <w:ind w:left="993"/>
        <w:rPr>
          <w:sz w:val="18"/>
          <w:szCs w:val="18"/>
        </w:rPr>
      </w:pPr>
      <w:r>
        <w:rPr>
          <w:sz w:val="16"/>
          <w:szCs w:val="16"/>
        </w:rPr>
        <w:t xml:space="preserve">   </w:t>
      </w:r>
      <w:r w:rsidRPr="003D2E2E">
        <w:rPr>
          <w:sz w:val="16"/>
          <w:szCs w:val="16"/>
        </w:rPr>
        <w:t>Fuente: INEGI</w:t>
      </w:r>
      <w:r>
        <w:rPr>
          <w:sz w:val="16"/>
          <w:szCs w:val="16"/>
        </w:rPr>
        <w:t>.</w:t>
      </w:r>
    </w:p>
    <w:p w14:paraId="022AF6FF" w14:textId="438AC36A" w:rsidR="00A74306" w:rsidRDefault="00A852EC" w:rsidP="00BD495A">
      <w:pPr>
        <w:pStyle w:val="n01"/>
        <w:keepNext/>
        <w:ind w:left="0" w:firstLine="0"/>
        <w:outlineLvl w:val="0"/>
        <w:rPr>
          <w:rFonts w:ascii="Arial" w:hAnsi="Arial" w:cs="Arial"/>
          <w:color w:val="auto"/>
          <w:szCs w:val="22"/>
        </w:rPr>
      </w:pPr>
      <w:r w:rsidRPr="00894A51">
        <w:rPr>
          <w:rFonts w:ascii="Arial" w:hAnsi="Arial" w:cs="Arial"/>
          <w:color w:val="auto"/>
        </w:rPr>
        <w:t>En su comparación a</w:t>
      </w:r>
      <w:r w:rsidR="00526FDF" w:rsidRPr="00894A51">
        <w:rPr>
          <w:rFonts w:ascii="Arial" w:hAnsi="Arial" w:cs="Arial"/>
          <w:color w:val="auto"/>
        </w:rPr>
        <w:t>nual</w:t>
      </w:r>
      <w:r w:rsidRPr="00894A51">
        <w:rPr>
          <w:rFonts w:ascii="Arial" w:hAnsi="Arial" w:cs="Arial"/>
          <w:color w:val="auto"/>
        </w:rPr>
        <w:t xml:space="preserve"> </w:t>
      </w:r>
      <w:r w:rsidR="00DD4A68" w:rsidRPr="00894A51">
        <w:rPr>
          <w:rFonts w:ascii="Arial" w:hAnsi="Arial" w:cs="Arial"/>
          <w:color w:val="auto"/>
        </w:rPr>
        <w:t xml:space="preserve">y </w:t>
      </w:r>
      <w:r w:rsidRPr="00894A51">
        <w:rPr>
          <w:rFonts w:ascii="Arial" w:hAnsi="Arial" w:cs="Arial"/>
          <w:color w:val="auto"/>
        </w:rPr>
        <w:t>con datos</w:t>
      </w:r>
      <w:r w:rsidR="00DD139F" w:rsidRPr="00894A51">
        <w:rPr>
          <w:rFonts w:ascii="Arial" w:hAnsi="Arial" w:cs="Arial"/>
          <w:color w:val="auto"/>
        </w:rPr>
        <w:t xml:space="preserve"> desestacionalizados, e</w:t>
      </w:r>
      <w:r w:rsidR="00DD139F" w:rsidRPr="00894A51">
        <w:rPr>
          <w:rFonts w:ascii="Arial" w:hAnsi="Arial" w:cs="Arial"/>
          <w:color w:val="auto"/>
          <w:szCs w:val="22"/>
        </w:rPr>
        <w:t xml:space="preserve">l Indicador Trimestral del Consumo Turístico Interior </w:t>
      </w:r>
      <w:r w:rsidR="00AD7608" w:rsidRPr="00894A51">
        <w:rPr>
          <w:rFonts w:ascii="Arial" w:hAnsi="Arial" w:cs="Arial"/>
          <w:color w:val="auto"/>
          <w:szCs w:val="22"/>
        </w:rPr>
        <w:t>r</w:t>
      </w:r>
      <w:r w:rsidR="00DD139F" w:rsidRPr="00894A51">
        <w:rPr>
          <w:rFonts w:ascii="Arial" w:hAnsi="Arial" w:cs="Arial"/>
          <w:color w:val="auto"/>
          <w:szCs w:val="22"/>
        </w:rPr>
        <w:t xml:space="preserve">egistró </w:t>
      </w:r>
      <w:r w:rsidR="00AD7608" w:rsidRPr="00894A51">
        <w:rPr>
          <w:rFonts w:ascii="Arial" w:hAnsi="Arial" w:cs="Arial"/>
          <w:color w:val="auto"/>
          <w:szCs w:val="22"/>
        </w:rPr>
        <w:t xml:space="preserve">un </w:t>
      </w:r>
      <w:r w:rsidR="00160FB0" w:rsidRPr="00894A51">
        <w:rPr>
          <w:rFonts w:ascii="Arial" w:hAnsi="Arial" w:cs="Arial"/>
          <w:color w:val="auto"/>
          <w:szCs w:val="22"/>
        </w:rPr>
        <w:t>a</w:t>
      </w:r>
      <w:r w:rsidR="00AD7608" w:rsidRPr="00894A51">
        <w:rPr>
          <w:rFonts w:ascii="Arial" w:hAnsi="Arial" w:cs="Arial"/>
          <w:color w:val="auto"/>
          <w:szCs w:val="22"/>
        </w:rPr>
        <w:t xml:space="preserve">scenso de </w:t>
      </w:r>
      <w:r w:rsidR="00E26A86" w:rsidRPr="00894A51">
        <w:rPr>
          <w:rFonts w:ascii="Arial" w:hAnsi="Arial" w:cs="Arial"/>
          <w:color w:val="auto"/>
          <w:szCs w:val="22"/>
        </w:rPr>
        <w:t>31.7</w:t>
      </w:r>
      <w:r w:rsidR="00AD7608" w:rsidRPr="00894A51">
        <w:rPr>
          <w:rFonts w:ascii="Arial" w:hAnsi="Arial" w:cs="Arial"/>
          <w:color w:val="auto"/>
          <w:szCs w:val="22"/>
        </w:rPr>
        <w:t>%</w:t>
      </w:r>
      <w:r w:rsidR="00AC3637" w:rsidRPr="00894A51">
        <w:rPr>
          <w:rFonts w:ascii="Arial" w:hAnsi="Arial" w:cs="Arial"/>
          <w:color w:val="auto"/>
          <w:szCs w:val="22"/>
        </w:rPr>
        <w:t xml:space="preserve"> d</w:t>
      </w:r>
      <w:r w:rsidR="00573E5B" w:rsidRPr="00894A51">
        <w:rPr>
          <w:rFonts w:ascii="Arial" w:hAnsi="Arial" w:cs="Arial"/>
          <w:color w:val="auto"/>
          <w:szCs w:val="22"/>
        </w:rPr>
        <w:t xml:space="preserve">urante el trimestre </w:t>
      </w:r>
      <w:r w:rsidR="0086696D" w:rsidRPr="00894A51">
        <w:rPr>
          <w:rFonts w:ascii="Arial" w:hAnsi="Arial" w:cs="Arial"/>
          <w:color w:val="auto"/>
          <w:szCs w:val="22"/>
        </w:rPr>
        <w:t>ju</w:t>
      </w:r>
      <w:r w:rsidR="00B70A85" w:rsidRPr="00894A51">
        <w:rPr>
          <w:rFonts w:ascii="Arial" w:hAnsi="Arial" w:cs="Arial"/>
          <w:color w:val="auto"/>
          <w:szCs w:val="22"/>
        </w:rPr>
        <w:t>l</w:t>
      </w:r>
      <w:r w:rsidR="0086696D" w:rsidRPr="00894A51">
        <w:rPr>
          <w:rFonts w:ascii="Arial" w:hAnsi="Arial" w:cs="Arial"/>
          <w:color w:val="auto"/>
          <w:szCs w:val="22"/>
        </w:rPr>
        <w:t>io</w:t>
      </w:r>
      <w:r w:rsidR="00B70A85" w:rsidRPr="00894A51">
        <w:rPr>
          <w:rFonts w:ascii="Arial" w:hAnsi="Arial" w:cs="Arial"/>
          <w:color w:val="auto"/>
          <w:szCs w:val="22"/>
        </w:rPr>
        <w:t>-septiembre</w:t>
      </w:r>
      <w:r w:rsidR="00573E5B" w:rsidRPr="00894A51">
        <w:rPr>
          <w:rFonts w:ascii="Arial" w:hAnsi="Arial" w:cs="Arial"/>
          <w:color w:val="auto"/>
          <w:szCs w:val="22"/>
        </w:rPr>
        <w:t xml:space="preserve"> de 20</w:t>
      </w:r>
      <w:r w:rsidR="00AD7608" w:rsidRPr="00894A51">
        <w:rPr>
          <w:rFonts w:ascii="Arial" w:hAnsi="Arial" w:cs="Arial"/>
          <w:color w:val="auto"/>
          <w:szCs w:val="22"/>
        </w:rPr>
        <w:t>2</w:t>
      </w:r>
      <w:r w:rsidR="00B147E0" w:rsidRPr="00894A51">
        <w:rPr>
          <w:rFonts w:ascii="Arial" w:hAnsi="Arial" w:cs="Arial"/>
          <w:color w:val="auto"/>
          <w:szCs w:val="22"/>
        </w:rPr>
        <w:t>1</w:t>
      </w:r>
      <w:r w:rsidR="008B5024" w:rsidRPr="00894A51">
        <w:rPr>
          <w:rFonts w:ascii="Arial" w:hAnsi="Arial" w:cs="Arial"/>
          <w:color w:val="auto"/>
          <w:szCs w:val="22"/>
        </w:rPr>
        <w:t xml:space="preserve">. Por componente, </w:t>
      </w:r>
      <w:r w:rsidR="006B675B" w:rsidRPr="00894A51">
        <w:rPr>
          <w:rFonts w:ascii="Arial" w:hAnsi="Arial" w:cs="Arial"/>
          <w:color w:val="auto"/>
          <w:szCs w:val="22"/>
        </w:rPr>
        <w:t xml:space="preserve">el </w:t>
      </w:r>
      <w:r w:rsidR="00C138FA" w:rsidRPr="00894A51">
        <w:rPr>
          <w:rFonts w:ascii="Arial" w:hAnsi="Arial" w:cs="Arial"/>
          <w:color w:val="auto"/>
          <w:szCs w:val="22"/>
        </w:rPr>
        <w:t xml:space="preserve">Consumo </w:t>
      </w:r>
      <w:r w:rsidR="00C500A3" w:rsidRPr="00894A51">
        <w:rPr>
          <w:rFonts w:ascii="Arial" w:hAnsi="Arial" w:cs="Arial"/>
          <w:color w:val="auto"/>
          <w:szCs w:val="22"/>
        </w:rPr>
        <w:t>Turístico</w:t>
      </w:r>
      <w:r w:rsidR="00AD7608" w:rsidRPr="00894A51">
        <w:rPr>
          <w:rFonts w:ascii="Arial" w:hAnsi="Arial" w:cs="Arial"/>
          <w:color w:val="auto"/>
          <w:szCs w:val="22"/>
        </w:rPr>
        <w:t xml:space="preserve"> Receptivo </w:t>
      </w:r>
      <w:r w:rsidR="000765F7" w:rsidRPr="00894A51">
        <w:rPr>
          <w:rFonts w:ascii="Arial" w:hAnsi="Arial" w:cs="Arial"/>
          <w:color w:val="auto"/>
          <w:szCs w:val="22"/>
        </w:rPr>
        <w:t>aumentó</w:t>
      </w:r>
      <w:r w:rsidR="00AD7608" w:rsidRPr="00894A51">
        <w:rPr>
          <w:rFonts w:ascii="Arial" w:hAnsi="Arial" w:cs="Arial"/>
          <w:color w:val="auto"/>
          <w:szCs w:val="22"/>
        </w:rPr>
        <w:t xml:space="preserve"> </w:t>
      </w:r>
      <w:r w:rsidR="00E26A86" w:rsidRPr="00894A51">
        <w:rPr>
          <w:rFonts w:ascii="Arial" w:hAnsi="Arial" w:cs="Arial"/>
          <w:color w:val="auto"/>
          <w:szCs w:val="22"/>
        </w:rPr>
        <w:t>190.8</w:t>
      </w:r>
      <w:r w:rsidR="006351A1" w:rsidRPr="00894A51">
        <w:rPr>
          <w:rFonts w:ascii="Arial" w:hAnsi="Arial" w:cs="Arial"/>
          <w:color w:val="auto"/>
          <w:szCs w:val="22"/>
        </w:rPr>
        <w:t>%</w:t>
      </w:r>
      <w:r w:rsidR="00AD7608" w:rsidRPr="00894A51">
        <w:rPr>
          <w:rFonts w:ascii="Arial" w:hAnsi="Arial" w:cs="Arial"/>
          <w:color w:val="auto"/>
          <w:szCs w:val="22"/>
        </w:rPr>
        <w:t xml:space="preserve"> y</w:t>
      </w:r>
      <w:r w:rsidR="000D7CA3" w:rsidRPr="00894A51">
        <w:rPr>
          <w:rFonts w:ascii="Arial" w:hAnsi="Arial" w:cs="Arial"/>
          <w:color w:val="auto"/>
          <w:szCs w:val="22"/>
        </w:rPr>
        <w:t xml:space="preserve"> </w:t>
      </w:r>
      <w:r w:rsidR="00F73E2B" w:rsidRPr="00894A51">
        <w:rPr>
          <w:rFonts w:ascii="Arial" w:hAnsi="Arial" w:cs="Arial"/>
          <w:color w:val="auto"/>
          <w:szCs w:val="22"/>
        </w:rPr>
        <w:t>el</w:t>
      </w:r>
      <w:r w:rsidR="006B675B" w:rsidRPr="00894A51">
        <w:rPr>
          <w:rFonts w:ascii="Arial" w:hAnsi="Arial" w:cs="Arial"/>
          <w:color w:val="auto"/>
          <w:szCs w:val="22"/>
        </w:rPr>
        <w:t xml:space="preserve"> </w:t>
      </w:r>
      <w:r w:rsidR="00AD7608" w:rsidRPr="00894A51">
        <w:rPr>
          <w:rFonts w:ascii="Arial" w:hAnsi="Arial" w:cs="Arial"/>
          <w:color w:val="auto"/>
          <w:szCs w:val="22"/>
        </w:rPr>
        <w:t xml:space="preserve">Turístico Interno </w:t>
      </w:r>
      <w:r w:rsidR="00114CEC" w:rsidRPr="00894A51">
        <w:rPr>
          <w:rFonts w:ascii="Arial" w:hAnsi="Arial" w:cs="Arial"/>
          <w:color w:val="auto"/>
          <w:szCs w:val="22"/>
        </w:rPr>
        <w:t>se incrementó 1</w:t>
      </w:r>
      <w:r w:rsidR="00E26A86" w:rsidRPr="00894A51">
        <w:rPr>
          <w:rFonts w:ascii="Arial" w:hAnsi="Arial" w:cs="Arial"/>
          <w:color w:val="auto"/>
          <w:szCs w:val="22"/>
        </w:rPr>
        <w:t>4</w:t>
      </w:r>
      <w:r w:rsidR="00114CEC" w:rsidRPr="00894A51">
        <w:rPr>
          <w:rFonts w:ascii="Arial" w:hAnsi="Arial" w:cs="Arial"/>
          <w:color w:val="auto"/>
          <w:szCs w:val="22"/>
        </w:rPr>
        <w:t>.</w:t>
      </w:r>
      <w:r w:rsidR="00E26A86" w:rsidRPr="00894A51">
        <w:rPr>
          <w:rFonts w:ascii="Arial" w:hAnsi="Arial" w:cs="Arial"/>
          <w:color w:val="auto"/>
          <w:szCs w:val="22"/>
        </w:rPr>
        <w:t>8</w:t>
      </w:r>
      <w:r w:rsidR="002D0961" w:rsidRPr="00894A51">
        <w:rPr>
          <w:rFonts w:ascii="Arial" w:hAnsi="Arial" w:cs="Arial"/>
          <w:color w:val="auto"/>
          <w:szCs w:val="22"/>
        </w:rPr>
        <w:t>%</w:t>
      </w:r>
      <w:r w:rsidR="00DD139F" w:rsidRPr="00894A51">
        <w:rPr>
          <w:rFonts w:ascii="Arial" w:hAnsi="Arial" w:cs="Arial"/>
          <w:color w:val="auto"/>
          <w:szCs w:val="22"/>
        </w:rPr>
        <w:t>.</w:t>
      </w:r>
    </w:p>
    <w:p w14:paraId="7FE1DB00" w14:textId="77777777" w:rsidR="00445596" w:rsidRPr="0077014C" w:rsidRDefault="00445596" w:rsidP="00BD495A">
      <w:pPr>
        <w:pStyle w:val="n01"/>
        <w:keepNext/>
        <w:spacing w:after="120"/>
        <w:ind w:left="0" w:firstLine="0"/>
        <w:outlineLvl w:val="0"/>
        <w:rPr>
          <w:rFonts w:ascii="Arial" w:hAnsi="Arial" w:cs="Arial"/>
          <w:b/>
          <w:i/>
          <w:iCs/>
          <w:color w:val="auto"/>
          <w:szCs w:val="24"/>
          <w:lang w:val="es-MX"/>
        </w:rPr>
      </w:pPr>
      <w:r w:rsidRPr="0077014C">
        <w:rPr>
          <w:rFonts w:ascii="Arial" w:hAnsi="Arial" w:cs="Arial"/>
          <w:b/>
          <w:i/>
          <w:iCs/>
          <w:color w:val="auto"/>
          <w:szCs w:val="24"/>
          <w:lang w:val="es-MX"/>
        </w:rPr>
        <w:t>Cifras originales</w:t>
      </w:r>
    </w:p>
    <w:p w14:paraId="06F8A65F" w14:textId="5533203A" w:rsidR="00905C6D" w:rsidRDefault="00905C6D" w:rsidP="00DB0784">
      <w:pPr>
        <w:pStyle w:val="Default"/>
        <w:spacing w:before="360"/>
        <w:jc w:val="center"/>
        <w:rPr>
          <w:rFonts w:eastAsia="Times New Roman"/>
          <w:b/>
          <w:smallCaps/>
          <w:snapToGrid w:val="0"/>
          <w:color w:val="auto"/>
          <w:sz w:val="22"/>
          <w:szCs w:val="22"/>
          <w:lang w:val="es-ES_tradnl"/>
        </w:rPr>
      </w:pPr>
      <w:r w:rsidRPr="00905C6D">
        <w:rPr>
          <w:rFonts w:eastAsia="Times New Roman"/>
          <w:bCs/>
          <w:snapToGrid w:val="0"/>
          <w:color w:val="auto"/>
          <w:sz w:val="20"/>
          <w:szCs w:val="20"/>
          <w:lang w:val="es-ES_tradnl"/>
        </w:rPr>
        <w:t xml:space="preserve">Cuadro </w:t>
      </w:r>
      <w:r w:rsidR="006735D7">
        <w:rPr>
          <w:rFonts w:eastAsia="Times New Roman"/>
          <w:bCs/>
          <w:snapToGrid w:val="0"/>
          <w:color w:val="auto"/>
          <w:sz w:val="20"/>
          <w:szCs w:val="20"/>
          <w:lang w:val="es-ES_tradnl"/>
        </w:rPr>
        <w:t>2</w:t>
      </w:r>
    </w:p>
    <w:p w14:paraId="169B8B16" w14:textId="305B0267" w:rsidR="00F04141" w:rsidRPr="002D5B11" w:rsidRDefault="00BA49C8" w:rsidP="006735D7">
      <w:pPr>
        <w:pStyle w:val="Default"/>
        <w:jc w:val="center"/>
        <w:rPr>
          <w:rFonts w:eastAsia="Times New Roman"/>
          <w:b/>
          <w:smallCaps/>
          <w:snapToGrid w:val="0"/>
          <w:color w:val="auto"/>
          <w:sz w:val="22"/>
          <w:szCs w:val="22"/>
          <w:lang w:val="es-ES_tradnl"/>
        </w:rPr>
      </w:pPr>
      <w:r w:rsidRPr="002D5B11">
        <w:rPr>
          <w:rFonts w:eastAsia="Times New Roman"/>
          <w:b/>
          <w:smallCaps/>
          <w:snapToGrid w:val="0"/>
          <w:color w:val="auto"/>
          <w:sz w:val="22"/>
          <w:szCs w:val="22"/>
          <w:lang w:val="es-ES_tradnl"/>
        </w:rPr>
        <w:t xml:space="preserve">Indicador trimestral del </w:t>
      </w:r>
      <w:r w:rsidR="00524D79">
        <w:rPr>
          <w:rFonts w:eastAsia="Times New Roman"/>
          <w:b/>
          <w:smallCaps/>
          <w:snapToGrid w:val="0"/>
          <w:color w:val="auto"/>
          <w:sz w:val="22"/>
          <w:szCs w:val="22"/>
          <w:lang w:val="es-ES_tradnl"/>
        </w:rPr>
        <w:t>PIB</w:t>
      </w:r>
      <w:r w:rsidRPr="002D5B11">
        <w:rPr>
          <w:rFonts w:eastAsia="Times New Roman"/>
          <w:b/>
          <w:smallCaps/>
          <w:snapToGrid w:val="0"/>
          <w:color w:val="auto"/>
          <w:sz w:val="22"/>
          <w:szCs w:val="22"/>
          <w:lang w:val="es-ES_tradnl"/>
        </w:rPr>
        <w:t xml:space="preserve"> turístico </w:t>
      </w:r>
    </w:p>
    <w:p w14:paraId="683376AC" w14:textId="62B2BC0F" w:rsidR="00BE0544" w:rsidRDefault="004E65C6" w:rsidP="00F04141">
      <w:pPr>
        <w:pStyle w:val="p0"/>
        <w:spacing w:before="0"/>
        <w:jc w:val="center"/>
        <w:rPr>
          <w:rFonts w:cs="Arial"/>
          <w:b/>
          <w:smallCaps/>
          <w:color w:val="auto"/>
          <w:sz w:val="22"/>
          <w:szCs w:val="22"/>
        </w:rPr>
      </w:pPr>
      <w:r>
        <w:rPr>
          <w:b/>
          <w:smallCaps/>
          <w:snapToGrid/>
          <w:color w:val="auto"/>
          <w:sz w:val="22"/>
          <w:szCs w:val="22"/>
        </w:rPr>
        <w:t>y</w:t>
      </w:r>
      <w:r w:rsidR="00BA49C8" w:rsidRPr="002D5B11">
        <w:rPr>
          <w:b/>
          <w:smallCaps/>
          <w:snapToGrid/>
          <w:color w:val="auto"/>
          <w:sz w:val="22"/>
          <w:szCs w:val="22"/>
        </w:rPr>
        <w:t xml:space="preserve"> </w:t>
      </w:r>
      <w:r w:rsidR="00BA49C8">
        <w:rPr>
          <w:b/>
          <w:smallCaps/>
          <w:snapToGrid/>
          <w:color w:val="auto"/>
          <w:sz w:val="22"/>
          <w:szCs w:val="22"/>
        </w:rPr>
        <w:t xml:space="preserve">del </w:t>
      </w:r>
      <w:r w:rsidR="00BA49C8" w:rsidRPr="002D5B11">
        <w:rPr>
          <w:b/>
          <w:smallCaps/>
          <w:snapToGrid/>
          <w:color w:val="auto"/>
          <w:sz w:val="22"/>
          <w:szCs w:val="22"/>
        </w:rPr>
        <w:t xml:space="preserve">consumo turístico interior </w:t>
      </w:r>
    </w:p>
    <w:p w14:paraId="118E6C77" w14:textId="14DEE1F7" w:rsidR="00B4338D" w:rsidRPr="00951650" w:rsidRDefault="00B4338D" w:rsidP="00F04141">
      <w:pPr>
        <w:pStyle w:val="p0"/>
        <w:spacing w:before="0"/>
        <w:jc w:val="center"/>
        <w:rPr>
          <w:rFonts w:cs="Arial"/>
          <w:snapToGrid/>
          <w:color w:val="auto"/>
          <w:sz w:val="18"/>
          <w:szCs w:val="18"/>
        </w:rPr>
      </w:pPr>
      <w:r w:rsidRPr="00951650">
        <w:rPr>
          <w:rFonts w:cs="Arial"/>
          <w:snapToGrid/>
          <w:color w:val="auto"/>
          <w:sz w:val="18"/>
          <w:szCs w:val="18"/>
        </w:rPr>
        <w:t xml:space="preserve">(Variación porcentual </w:t>
      </w:r>
      <w:r w:rsidR="006735D7">
        <w:rPr>
          <w:rFonts w:cs="Arial"/>
          <w:snapToGrid/>
          <w:color w:val="auto"/>
          <w:sz w:val="18"/>
          <w:szCs w:val="18"/>
        </w:rPr>
        <w:t>anual</w:t>
      </w:r>
      <w:r w:rsidRPr="00951650">
        <w:rPr>
          <w:rFonts w:cs="Arial"/>
          <w:snapToGrid/>
          <w:color w:val="auto"/>
          <w:sz w:val="18"/>
          <w:szCs w:val="18"/>
        </w:rPr>
        <w:t xml:space="preserve">) </w:t>
      </w:r>
    </w:p>
    <w:tbl>
      <w:tblPr>
        <w:tblW w:w="0" w:type="auto"/>
        <w:jc w:val="center"/>
        <w:tblLayout w:type="fixed"/>
        <w:tblCellMar>
          <w:left w:w="107" w:type="dxa"/>
          <w:right w:w="107" w:type="dxa"/>
        </w:tblCellMar>
        <w:tblLook w:val="04A0" w:firstRow="1" w:lastRow="0" w:firstColumn="1" w:lastColumn="0" w:noHBand="0" w:noVBand="1"/>
      </w:tblPr>
      <w:tblGrid>
        <w:gridCol w:w="3671"/>
        <w:gridCol w:w="1559"/>
      </w:tblGrid>
      <w:tr w:rsidR="00E43EEF" w14:paraId="29ECFBD5" w14:textId="77777777" w:rsidTr="003E5022">
        <w:trPr>
          <w:cantSplit/>
          <w:trHeight w:val="21"/>
          <w:jc w:val="center"/>
        </w:trPr>
        <w:tc>
          <w:tcPr>
            <w:tcW w:w="3671" w:type="dxa"/>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1FE3DEDC" w14:textId="77777777" w:rsidR="00E43EEF" w:rsidRDefault="00E43EEF" w:rsidP="006735D7">
            <w:pPr>
              <w:pStyle w:val="p0"/>
              <w:spacing w:before="60" w:after="60"/>
              <w:jc w:val="center"/>
              <w:rPr>
                <w:rFonts w:cs="Arial"/>
                <w:color w:val="auto"/>
                <w:sz w:val="18"/>
                <w:lang w:val="es-ES"/>
              </w:rPr>
            </w:pPr>
            <w:r>
              <w:rPr>
                <w:rFonts w:cs="Arial"/>
                <w:color w:val="auto"/>
                <w:sz w:val="18"/>
                <w:lang w:val="es-ES"/>
              </w:rPr>
              <w:t>Concepto</w:t>
            </w:r>
          </w:p>
        </w:tc>
        <w:tc>
          <w:tcPr>
            <w:tcW w:w="1559" w:type="dxa"/>
            <w:tcBorders>
              <w:top w:val="double" w:sz="4" w:space="0" w:color="auto"/>
              <w:left w:val="single" w:sz="4" w:space="0" w:color="auto"/>
              <w:bottom w:val="single" w:sz="4" w:space="0" w:color="auto"/>
              <w:right w:val="double" w:sz="4" w:space="0" w:color="auto"/>
            </w:tcBorders>
            <w:shd w:val="clear" w:color="auto" w:fill="C2D69B" w:themeFill="accent3" w:themeFillTint="99"/>
            <w:hideMark/>
          </w:tcPr>
          <w:p w14:paraId="03E9584C" w14:textId="7C5F4BFC" w:rsidR="00E43EEF" w:rsidRDefault="00B70A85" w:rsidP="006735D7">
            <w:pPr>
              <w:pStyle w:val="p0"/>
              <w:keepNext/>
              <w:spacing w:before="60" w:after="60"/>
              <w:jc w:val="center"/>
              <w:rPr>
                <w:rFonts w:cs="Arial"/>
                <w:color w:val="auto"/>
                <w:sz w:val="18"/>
                <w:lang w:val="es-ES"/>
              </w:rPr>
            </w:pPr>
            <w:r>
              <w:rPr>
                <w:rFonts w:cs="Arial"/>
                <w:color w:val="auto"/>
                <w:sz w:val="18"/>
                <w:lang w:val="es-ES"/>
              </w:rPr>
              <w:t>3</w:t>
            </w:r>
            <w:r>
              <w:rPr>
                <w:rFonts w:cs="Arial"/>
                <w:color w:val="auto"/>
                <w:sz w:val="18"/>
                <w:vertAlign w:val="superscript"/>
                <w:lang w:val="es-ES"/>
              </w:rPr>
              <w:t>er</w:t>
            </w:r>
            <w:r w:rsidR="00E43EEF">
              <w:rPr>
                <w:rFonts w:cs="Arial"/>
                <w:color w:val="auto"/>
                <w:sz w:val="18"/>
                <w:lang w:val="es-ES"/>
              </w:rPr>
              <w:t xml:space="preserve"> </w:t>
            </w:r>
            <w:r w:rsidR="00BD495A">
              <w:rPr>
                <w:rFonts w:cs="Arial"/>
                <w:color w:val="auto"/>
                <w:sz w:val="18"/>
                <w:lang w:val="es-ES"/>
              </w:rPr>
              <w:t>t</w:t>
            </w:r>
            <w:r w:rsidR="00E43EEF">
              <w:rPr>
                <w:rFonts w:cs="Arial"/>
                <w:color w:val="auto"/>
                <w:sz w:val="18"/>
                <w:lang w:val="es-ES"/>
              </w:rPr>
              <w:t>rimestre</w:t>
            </w:r>
            <w:r w:rsidR="006735D7">
              <w:rPr>
                <w:rFonts w:cs="Arial"/>
                <w:color w:val="auto"/>
                <w:sz w:val="18"/>
                <w:vertAlign w:val="superscript"/>
                <w:lang w:val="es-ES"/>
              </w:rPr>
              <w:t xml:space="preserve"> </w:t>
            </w:r>
            <w:r w:rsidR="006735D7" w:rsidRPr="0077014C">
              <w:rPr>
                <w:rFonts w:cs="Arial"/>
                <w:color w:val="auto"/>
                <w:sz w:val="18"/>
                <w:lang w:val="es-ES"/>
              </w:rPr>
              <w:t>de</w:t>
            </w:r>
            <w:r w:rsidR="006735D7" w:rsidRPr="006735D7">
              <w:rPr>
                <w:rFonts w:cs="Arial"/>
                <w:color w:val="auto"/>
                <w:sz w:val="18"/>
                <w:lang w:val="es-ES"/>
              </w:rPr>
              <w:t xml:space="preserve"> 2021</w:t>
            </w:r>
            <w:r w:rsidR="00E274D4" w:rsidRPr="006428A4">
              <w:rPr>
                <w:rFonts w:cs="Arial"/>
                <w:color w:val="auto"/>
                <w:sz w:val="18"/>
                <w:vertAlign w:val="superscript"/>
                <w:lang w:val="es-ES"/>
              </w:rPr>
              <w:t>p/</w:t>
            </w:r>
          </w:p>
        </w:tc>
      </w:tr>
      <w:tr w:rsidR="00E43EEF" w14:paraId="031D32EC" w14:textId="77777777" w:rsidTr="00BD495A">
        <w:trPr>
          <w:cantSplit/>
          <w:trHeight w:val="284"/>
          <w:jc w:val="center"/>
        </w:trPr>
        <w:tc>
          <w:tcPr>
            <w:tcW w:w="3671" w:type="dxa"/>
            <w:tcBorders>
              <w:top w:val="single" w:sz="4" w:space="0" w:color="auto"/>
              <w:left w:val="double" w:sz="4" w:space="0" w:color="auto"/>
              <w:bottom w:val="nil"/>
              <w:right w:val="single" w:sz="4" w:space="0" w:color="auto"/>
            </w:tcBorders>
            <w:vAlign w:val="center"/>
            <w:hideMark/>
          </w:tcPr>
          <w:p w14:paraId="0385D1E8" w14:textId="0958A84C" w:rsidR="00E43EEF" w:rsidRPr="006F48F0" w:rsidRDefault="00E43EEF" w:rsidP="00BD495A">
            <w:pPr>
              <w:pStyle w:val="p0"/>
              <w:spacing w:before="0"/>
              <w:ind w:firstLine="159"/>
              <w:jc w:val="left"/>
              <w:rPr>
                <w:rFonts w:cs="Arial"/>
                <w:b/>
                <w:color w:val="auto"/>
                <w:sz w:val="18"/>
                <w:lang w:val="es-ES"/>
              </w:rPr>
            </w:pPr>
            <w:r w:rsidRPr="006F48F0">
              <w:rPr>
                <w:rFonts w:cs="Arial"/>
                <w:b/>
                <w:color w:val="auto"/>
                <w:sz w:val="18"/>
                <w:lang w:val="es-ES"/>
              </w:rPr>
              <w:t xml:space="preserve">PIB </w:t>
            </w:r>
            <w:r w:rsidR="00166294">
              <w:rPr>
                <w:rFonts w:cs="Arial"/>
                <w:b/>
                <w:color w:val="auto"/>
                <w:sz w:val="18"/>
                <w:lang w:val="es-ES"/>
              </w:rPr>
              <w:t>t</w:t>
            </w:r>
            <w:r w:rsidRPr="006F48F0">
              <w:rPr>
                <w:rFonts w:cs="Arial"/>
                <w:b/>
                <w:color w:val="auto"/>
                <w:sz w:val="18"/>
                <w:lang w:val="es-ES"/>
              </w:rPr>
              <w:t xml:space="preserve">urístico </w:t>
            </w:r>
          </w:p>
        </w:tc>
        <w:tc>
          <w:tcPr>
            <w:tcW w:w="1559" w:type="dxa"/>
            <w:tcBorders>
              <w:top w:val="single" w:sz="4" w:space="0" w:color="auto"/>
              <w:left w:val="single" w:sz="4" w:space="0" w:color="auto"/>
              <w:bottom w:val="nil"/>
              <w:right w:val="double" w:sz="4" w:space="0" w:color="auto"/>
            </w:tcBorders>
            <w:vAlign w:val="center"/>
          </w:tcPr>
          <w:p w14:paraId="3FD2553F" w14:textId="150F055A" w:rsidR="00E43EEF" w:rsidRPr="00345EFC" w:rsidRDefault="00FC26EE" w:rsidP="00BD495A">
            <w:pPr>
              <w:tabs>
                <w:tab w:val="decimal" w:pos="619"/>
              </w:tabs>
              <w:rPr>
                <w:rFonts w:cs="Arial"/>
                <w:b/>
                <w:color w:val="000000" w:themeColor="text1"/>
                <w:sz w:val="18"/>
                <w:lang w:val="es-ES" w:eastAsia="en-US"/>
              </w:rPr>
            </w:pPr>
            <w:r>
              <w:rPr>
                <w:rFonts w:cs="Arial"/>
                <w:b/>
                <w:color w:val="000000" w:themeColor="text1"/>
                <w:sz w:val="18"/>
                <w:lang w:val="es-ES" w:eastAsia="en-US"/>
              </w:rPr>
              <w:t>24.5</w:t>
            </w:r>
          </w:p>
        </w:tc>
      </w:tr>
      <w:tr w:rsidR="00E43EEF" w14:paraId="2ED490B4" w14:textId="77777777" w:rsidTr="00BD495A">
        <w:trPr>
          <w:cantSplit/>
          <w:trHeight w:val="284"/>
          <w:jc w:val="center"/>
        </w:trPr>
        <w:tc>
          <w:tcPr>
            <w:tcW w:w="3671" w:type="dxa"/>
            <w:tcBorders>
              <w:top w:val="nil"/>
              <w:left w:val="double" w:sz="4" w:space="0" w:color="auto"/>
              <w:bottom w:val="nil"/>
              <w:right w:val="single" w:sz="4" w:space="0" w:color="auto"/>
            </w:tcBorders>
            <w:vAlign w:val="center"/>
            <w:hideMark/>
          </w:tcPr>
          <w:p w14:paraId="123743D4" w14:textId="77777777" w:rsidR="00E43EEF" w:rsidRDefault="00E43EEF" w:rsidP="00BD495A">
            <w:pPr>
              <w:pStyle w:val="p0"/>
              <w:spacing w:before="0"/>
              <w:ind w:firstLine="454"/>
              <w:jc w:val="left"/>
              <w:rPr>
                <w:rFonts w:cs="Arial"/>
                <w:color w:val="auto"/>
                <w:sz w:val="18"/>
                <w:lang w:val="es-ES"/>
              </w:rPr>
            </w:pPr>
            <w:r>
              <w:rPr>
                <w:rFonts w:cs="Arial"/>
                <w:color w:val="auto"/>
                <w:sz w:val="18"/>
                <w:lang w:val="es-ES"/>
              </w:rPr>
              <w:t>Bienes</w:t>
            </w:r>
          </w:p>
        </w:tc>
        <w:tc>
          <w:tcPr>
            <w:tcW w:w="1559" w:type="dxa"/>
            <w:tcBorders>
              <w:top w:val="nil"/>
              <w:left w:val="single" w:sz="4" w:space="0" w:color="auto"/>
              <w:bottom w:val="nil"/>
              <w:right w:val="double" w:sz="4" w:space="0" w:color="auto"/>
            </w:tcBorders>
            <w:vAlign w:val="center"/>
            <w:hideMark/>
          </w:tcPr>
          <w:p w14:paraId="6D31E96B" w14:textId="58143719" w:rsidR="00E43EEF" w:rsidRPr="00345EFC" w:rsidRDefault="00FC26EE" w:rsidP="00BD495A">
            <w:pPr>
              <w:tabs>
                <w:tab w:val="decimal" w:pos="619"/>
              </w:tabs>
              <w:rPr>
                <w:rFonts w:cs="Arial"/>
                <w:color w:val="000000" w:themeColor="text1"/>
                <w:sz w:val="18"/>
                <w:lang w:val="es-ES" w:eastAsia="en-US"/>
              </w:rPr>
            </w:pPr>
            <w:r>
              <w:rPr>
                <w:rFonts w:cs="Arial"/>
                <w:color w:val="000000" w:themeColor="text1"/>
                <w:sz w:val="18"/>
                <w:lang w:val="es-ES" w:eastAsia="en-US"/>
              </w:rPr>
              <w:t>4.7</w:t>
            </w:r>
          </w:p>
        </w:tc>
      </w:tr>
      <w:tr w:rsidR="00E43EEF" w14:paraId="27681461" w14:textId="77777777" w:rsidTr="00BD495A">
        <w:trPr>
          <w:cantSplit/>
          <w:trHeight w:val="284"/>
          <w:jc w:val="center"/>
        </w:trPr>
        <w:tc>
          <w:tcPr>
            <w:tcW w:w="3671" w:type="dxa"/>
            <w:tcBorders>
              <w:top w:val="nil"/>
              <w:left w:val="double" w:sz="4" w:space="0" w:color="auto"/>
              <w:bottom w:val="nil"/>
              <w:right w:val="single" w:sz="4" w:space="0" w:color="auto"/>
            </w:tcBorders>
            <w:vAlign w:val="center"/>
            <w:hideMark/>
          </w:tcPr>
          <w:p w14:paraId="2BC01359" w14:textId="77777777" w:rsidR="00E43EEF" w:rsidRDefault="00E43EEF" w:rsidP="00BD495A">
            <w:pPr>
              <w:pStyle w:val="p0"/>
              <w:spacing w:before="0"/>
              <w:ind w:firstLine="454"/>
              <w:jc w:val="left"/>
              <w:rPr>
                <w:rFonts w:cs="Arial"/>
                <w:color w:val="auto"/>
                <w:sz w:val="18"/>
                <w:lang w:val="es-ES"/>
              </w:rPr>
            </w:pPr>
            <w:r>
              <w:rPr>
                <w:rFonts w:cs="Arial"/>
                <w:color w:val="auto"/>
                <w:sz w:val="18"/>
                <w:lang w:val="es-ES"/>
              </w:rPr>
              <w:t>Servicios</w:t>
            </w:r>
          </w:p>
        </w:tc>
        <w:tc>
          <w:tcPr>
            <w:tcW w:w="1559" w:type="dxa"/>
            <w:tcBorders>
              <w:top w:val="nil"/>
              <w:left w:val="single" w:sz="4" w:space="0" w:color="auto"/>
              <w:bottom w:val="nil"/>
              <w:right w:val="double" w:sz="4" w:space="0" w:color="auto"/>
            </w:tcBorders>
            <w:vAlign w:val="center"/>
            <w:hideMark/>
          </w:tcPr>
          <w:p w14:paraId="02B2FB87" w14:textId="0D1C1393" w:rsidR="00E43EEF" w:rsidRPr="00345EFC" w:rsidRDefault="00FC26EE" w:rsidP="00BD495A">
            <w:pPr>
              <w:tabs>
                <w:tab w:val="decimal" w:pos="619"/>
              </w:tabs>
              <w:rPr>
                <w:rFonts w:cs="Arial"/>
                <w:color w:val="000000" w:themeColor="text1"/>
                <w:sz w:val="18"/>
                <w:lang w:val="es-ES" w:eastAsia="en-US"/>
              </w:rPr>
            </w:pPr>
            <w:r>
              <w:rPr>
                <w:rFonts w:cs="Arial"/>
                <w:color w:val="000000" w:themeColor="text1"/>
                <w:sz w:val="18"/>
                <w:lang w:val="es-ES" w:eastAsia="en-US"/>
              </w:rPr>
              <w:t>28.2</w:t>
            </w:r>
          </w:p>
        </w:tc>
      </w:tr>
      <w:tr w:rsidR="00E43EEF" w14:paraId="73F8F6C1" w14:textId="77777777" w:rsidTr="00BD495A">
        <w:trPr>
          <w:cantSplit/>
          <w:trHeight w:val="284"/>
          <w:jc w:val="center"/>
        </w:trPr>
        <w:tc>
          <w:tcPr>
            <w:tcW w:w="3671" w:type="dxa"/>
            <w:tcBorders>
              <w:top w:val="nil"/>
              <w:left w:val="double" w:sz="4" w:space="0" w:color="auto"/>
              <w:bottom w:val="nil"/>
              <w:right w:val="single" w:sz="4" w:space="0" w:color="auto"/>
            </w:tcBorders>
            <w:vAlign w:val="center"/>
            <w:hideMark/>
          </w:tcPr>
          <w:p w14:paraId="5EE298C4" w14:textId="70C74D7F" w:rsidR="00E43EEF" w:rsidRPr="006F48F0" w:rsidRDefault="00E43EEF" w:rsidP="00BD495A">
            <w:pPr>
              <w:pStyle w:val="p0"/>
              <w:spacing w:before="0"/>
              <w:ind w:firstLine="159"/>
              <w:jc w:val="left"/>
              <w:rPr>
                <w:rFonts w:cs="Arial"/>
                <w:b/>
                <w:color w:val="auto"/>
                <w:sz w:val="18"/>
                <w:lang w:val="es-ES"/>
              </w:rPr>
            </w:pPr>
            <w:r w:rsidRPr="006F48F0">
              <w:rPr>
                <w:rFonts w:cs="Arial"/>
                <w:b/>
                <w:color w:val="auto"/>
                <w:sz w:val="18"/>
                <w:lang w:val="es-ES"/>
              </w:rPr>
              <w:t xml:space="preserve">Consumo </w:t>
            </w:r>
            <w:r w:rsidR="00166294">
              <w:rPr>
                <w:rFonts w:cs="Arial"/>
                <w:b/>
                <w:color w:val="auto"/>
                <w:sz w:val="18"/>
                <w:lang w:val="es-ES"/>
              </w:rPr>
              <w:t>t</w:t>
            </w:r>
            <w:r w:rsidRPr="006F48F0">
              <w:rPr>
                <w:rFonts w:cs="Arial"/>
                <w:b/>
                <w:color w:val="auto"/>
                <w:sz w:val="18"/>
                <w:lang w:val="es-ES"/>
              </w:rPr>
              <w:t xml:space="preserve">urístico </w:t>
            </w:r>
            <w:r w:rsidR="00166294">
              <w:rPr>
                <w:rFonts w:cs="Arial"/>
                <w:b/>
                <w:color w:val="auto"/>
                <w:sz w:val="18"/>
                <w:lang w:val="es-ES"/>
              </w:rPr>
              <w:t>i</w:t>
            </w:r>
            <w:r w:rsidRPr="006F48F0">
              <w:rPr>
                <w:rFonts w:cs="Arial"/>
                <w:b/>
                <w:color w:val="auto"/>
                <w:sz w:val="18"/>
                <w:lang w:val="es-ES"/>
              </w:rPr>
              <w:t>nterior</w:t>
            </w:r>
          </w:p>
        </w:tc>
        <w:tc>
          <w:tcPr>
            <w:tcW w:w="1559" w:type="dxa"/>
            <w:tcBorders>
              <w:top w:val="nil"/>
              <w:left w:val="single" w:sz="4" w:space="0" w:color="auto"/>
              <w:bottom w:val="nil"/>
              <w:right w:val="double" w:sz="4" w:space="0" w:color="auto"/>
            </w:tcBorders>
            <w:vAlign w:val="center"/>
          </w:tcPr>
          <w:p w14:paraId="360B8BA5" w14:textId="77EE155C" w:rsidR="00E43EEF" w:rsidRPr="00345EFC" w:rsidRDefault="00A46A07" w:rsidP="00BD495A">
            <w:pPr>
              <w:tabs>
                <w:tab w:val="decimal" w:pos="619"/>
              </w:tabs>
              <w:rPr>
                <w:rFonts w:cs="Arial"/>
                <w:b/>
                <w:color w:val="000000" w:themeColor="text1"/>
                <w:sz w:val="18"/>
                <w:lang w:val="es-ES" w:eastAsia="en-US"/>
              </w:rPr>
            </w:pPr>
            <w:r>
              <w:rPr>
                <w:rFonts w:cs="Arial"/>
                <w:b/>
                <w:color w:val="000000" w:themeColor="text1"/>
                <w:sz w:val="18"/>
                <w:lang w:val="es-ES" w:eastAsia="en-US"/>
              </w:rPr>
              <w:t>30.9</w:t>
            </w:r>
          </w:p>
        </w:tc>
      </w:tr>
      <w:tr w:rsidR="00E43EEF" w14:paraId="3A11ADAC" w14:textId="77777777" w:rsidTr="00BD495A">
        <w:trPr>
          <w:cantSplit/>
          <w:trHeight w:val="284"/>
          <w:jc w:val="center"/>
        </w:trPr>
        <w:tc>
          <w:tcPr>
            <w:tcW w:w="3671" w:type="dxa"/>
            <w:tcBorders>
              <w:top w:val="nil"/>
              <w:left w:val="double" w:sz="4" w:space="0" w:color="auto"/>
              <w:right w:val="single" w:sz="4" w:space="0" w:color="auto"/>
            </w:tcBorders>
            <w:vAlign w:val="center"/>
          </w:tcPr>
          <w:p w14:paraId="311F44B2" w14:textId="77777777" w:rsidR="00E43EEF" w:rsidRPr="00053A68" w:rsidRDefault="00E43EEF" w:rsidP="00BD495A">
            <w:pPr>
              <w:pStyle w:val="p0"/>
              <w:spacing w:before="0"/>
              <w:ind w:firstLine="454"/>
              <w:jc w:val="left"/>
              <w:rPr>
                <w:rFonts w:cs="Arial"/>
                <w:color w:val="auto"/>
                <w:sz w:val="18"/>
                <w:lang w:val="es-ES"/>
              </w:rPr>
            </w:pPr>
            <w:r w:rsidRPr="002D5B11">
              <w:rPr>
                <w:rFonts w:cs="Arial"/>
                <w:color w:val="auto"/>
                <w:sz w:val="18"/>
                <w:lang w:val="es-ES"/>
              </w:rPr>
              <w:t>Interno</w:t>
            </w:r>
          </w:p>
        </w:tc>
        <w:tc>
          <w:tcPr>
            <w:tcW w:w="1559" w:type="dxa"/>
            <w:tcBorders>
              <w:top w:val="nil"/>
              <w:left w:val="single" w:sz="4" w:space="0" w:color="auto"/>
              <w:right w:val="double" w:sz="4" w:space="0" w:color="auto"/>
            </w:tcBorders>
            <w:vAlign w:val="center"/>
          </w:tcPr>
          <w:p w14:paraId="179B40CD" w14:textId="22A18969" w:rsidR="00E43EEF" w:rsidRPr="00345EFC" w:rsidRDefault="00A46A07" w:rsidP="00BD495A">
            <w:pPr>
              <w:tabs>
                <w:tab w:val="decimal" w:pos="619"/>
              </w:tabs>
              <w:rPr>
                <w:rFonts w:cs="Arial"/>
                <w:color w:val="000000" w:themeColor="text1"/>
                <w:sz w:val="18"/>
                <w:lang w:val="es-ES"/>
              </w:rPr>
            </w:pPr>
            <w:r>
              <w:rPr>
                <w:rFonts w:cs="Arial"/>
                <w:color w:val="000000" w:themeColor="text1"/>
                <w:sz w:val="18"/>
                <w:lang w:val="es-ES" w:eastAsia="en-US"/>
              </w:rPr>
              <w:t>14</w:t>
            </w:r>
            <w:r>
              <w:rPr>
                <w:rFonts w:cs="Arial"/>
                <w:color w:val="000000" w:themeColor="text1"/>
                <w:sz w:val="18"/>
                <w:lang w:val="es-ES"/>
              </w:rPr>
              <w:t>.1</w:t>
            </w:r>
          </w:p>
        </w:tc>
      </w:tr>
      <w:tr w:rsidR="00E43EEF" w14:paraId="2FFFA403" w14:textId="77777777" w:rsidTr="00BD495A">
        <w:trPr>
          <w:cantSplit/>
          <w:trHeight w:val="284"/>
          <w:jc w:val="center"/>
        </w:trPr>
        <w:tc>
          <w:tcPr>
            <w:tcW w:w="3671" w:type="dxa"/>
            <w:tcBorders>
              <w:top w:val="nil"/>
              <w:left w:val="double" w:sz="4" w:space="0" w:color="auto"/>
              <w:bottom w:val="double" w:sz="4" w:space="0" w:color="auto"/>
              <w:right w:val="single" w:sz="4" w:space="0" w:color="auto"/>
            </w:tcBorders>
            <w:vAlign w:val="center"/>
          </w:tcPr>
          <w:p w14:paraId="534077F9" w14:textId="77777777" w:rsidR="00E43EEF" w:rsidRDefault="00E43EEF" w:rsidP="00BD495A">
            <w:pPr>
              <w:pStyle w:val="p0"/>
              <w:spacing w:before="0"/>
              <w:ind w:firstLine="454"/>
              <w:jc w:val="left"/>
              <w:rPr>
                <w:rFonts w:cs="Arial"/>
                <w:color w:val="auto"/>
                <w:sz w:val="18"/>
                <w:lang w:val="es-ES"/>
              </w:rPr>
            </w:pPr>
            <w:r>
              <w:rPr>
                <w:rFonts w:cs="Arial"/>
                <w:color w:val="auto"/>
                <w:sz w:val="18"/>
                <w:lang w:val="es-ES"/>
              </w:rPr>
              <w:t>Receptivo</w:t>
            </w:r>
          </w:p>
        </w:tc>
        <w:tc>
          <w:tcPr>
            <w:tcW w:w="1559" w:type="dxa"/>
            <w:tcBorders>
              <w:top w:val="nil"/>
              <w:left w:val="single" w:sz="4" w:space="0" w:color="auto"/>
              <w:bottom w:val="double" w:sz="4" w:space="0" w:color="auto"/>
              <w:right w:val="double" w:sz="4" w:space="0" w:color="auto"/>
            </w:tcBorders>
            <w:vAlign w:val="center"/>
          </w:tcPr>
          <w:p w14:paraId="6B477926" w14:textId="0EE9929E" w:rsidR="00E43EEF" w:rsidRPr="00345EFC" w:rsidRDefault="00A46A07" w:rsidP="00BD495A">
            <w:pPr>
              <w:tabs>
                <w:tab w:val="decimal" w:pos="619"/>
              </w:tabs>
              <w:rPr>
                <w:rFonts w:cs="Arial"/>
                <w:color w:val="000000" w:themeColor="text1"/>
                <w:sz w:val="18"/>
                <w:lang w:val="es-ES"/>
              </w:rPr>
            </w:pPr>
            <w:r>
              <w:rPr>
                <w:rFonts w:cs="Arial"/>
                <w:color w:val="000000" w:themeColor="text1"/>
                <w:sz w:val="18"/>
                <w:lang w:val="es-ES"/>
              </w:rPr>
              <w:t>191.7</w:t>
            </w:r>
          </w:p>
        </w:tc>
      </w:tr>
    </w:tbl>
    <w:p w14:paraId="1ED2B237" w14:textId="47F5A9C3" w:rsidR="00894A51" w:rsidRDefault="00EA02E6" w:rsidP="00894A51">
      <w:pPr>
        <w:pStyle w:val="n01"/>
        <w:keepNext/>
        <w:spacing w:before="0"/>
        <w:ind w:left="1985" w:firstLine="0"/>
        <w:contextualSpacing/>
        <w:outlineLvl w:val="0"/>
        <w:rPr>
          <w:rFonts w:ascii="Arial" w:hAnsi="Arial" w:cs="Arial"/>
          <w:color w:val="auto"/>
          <w:sz w:val="16"/>
          <w:szCs w:val="16"/>
        </w:rPr>
      </w:pPr>
      <w:r>
        <w:rPr>
          <w:rFonts w:ascii="Arial" w:hAnsi="Arial" w:cs="Arial"/>
          <w:color w:val="auto"/>
          <w:sz w:val="16"/>
          <w:szCs w:val="16"/>
        </w:rPr>
        <w:t>p/ Cifras preliminar</w:t>
      </w:r>
      <w:r w:rsidR="00B97936">
        <w:rPr>
          <w:rFonts w:ascii="Arial" w:hAnsi="Arial" w:cs="Arial"/>
          <w:color w:val="auto"/>
          <w:sz w:val="16"/>
          <w:szCs w:val="16"/>
        </w:rPr>
        <w:t>es.</w:t>
      </w:r>
    </w:p>
    <w:p w14:paraId="2D5B7BB1" w14:textId="446CD921" w:rsidR="00445596" w:rsidRPr="00894A51" w:rsidRDefault="00F04141" w:rsidP="00894A51">
      <w:pPr>
        <w:pStyle w:val="n01"/>
        <w:keepNext/>
        <w:spacing w:before="0"/>
        <w:ind w:left="1985" w:firstLine="0"/>
        <w:contextualSpacing/>
        <w:outlineLvl w:val="0"/>
        <w:rPr>
          <w:rFonts w:ascii="Arial" w:hAnsi="Arial" w:cs="Arial"/>
          <w:color w:val="auto"/>
          <w:sz w:val="16"/>
          <w:szCs w:val="16"/>
        </w:rPr>
      </w:pPr>
      <w:r w:rsidRPr="00560786">
        <w:rPr>
          <w:rFonts w:ascii="Arial" w:hAnsi="Arial" w:cs="Arial"/>
          <w:color w:val="auto"/>
          <w:sz w:val="16"/>
          <w:szCs w:val="16"/>
        </w:rPr>
        <w:t>Fuente: INEGI</w:t>
      </w:r>
      <w:r>
        <w:rPr>
          <w:sz w:val="16"/>
          <w:szCs w:val="16"/>
        </w:rPr>
        <w:t>.</w:t>
      </w:r>
    </w:p>
    <w:p w14:paraId="29A4F092" w14:textId="376FA87E" w:rsidR="00444DE7" w:rsidRDefault="00444DE7">
      <w:pPr>
        <w:widowControl/>
        <w:rPr>
          <w:b/>
          <w:i/>
        </w:rPr>
      </w:pPr>
      <w:r>
        <w:rPr>
          <w:b/>
          <w:i/>
        </w:rPr>
        <w:br w:type="page"/>
      </w:r>
    </w:p>
    <w:p w14:paraId="61DC895F" w14:textId="1B4A9C76" w:rsidR="00D41962" w:rsidRDefault="00D41962" w:rsidP="00C3066E">
      <w:pPr>
        <w:pStyle w:val="p0"/>
        <w:spacing w:before="0"/>
        <w:rPr>
          <w:b/>
          <w:i/>
          <w:color w:val="auto"/>
        </w:rPr>
      </w:pPr>
      <w:r>
        <w:rPr>
          <w:b/>
          <w:i/>
          <w:color w:val="auto"/>
        </w:rPr>
        <w:lastRenderedPageBreak/>
        <w:t xml:space="preserve">Nota al </w:t>
      </w:r>
      <w:r w:rsidR="0077014C">
        <w:rPr>
          <w:b/>
          <w:i/>
          <w:color w:val="auto"/>
        </w:rPr>
        <w:t>u</w:t>
      </w:r>
      <w:r>
        <w:rPr>
          <w:b/>
          <w:i/>
          <w:color w:val="auto"/>
        </w:rPr>
        <w:t>suario</w:t>
      </w:r>
    </w:p>
    <w:p w14:paraId="686B5773" w14:textId="3DE7452F" w:rsidR="0020266D" w:rsidRDefault="0020266D" w:rsidP="003E5022">
      <w:pPr>
        <w:spacing w:before="120"/>
        <w:jc w:val="both"/>
        <w:rPr>
          <w:rFonts w:eastAsiaTheme="minorEastAsia" w:cs="Arial"/>
          <w:snapToGrid/>
          <w:color w:val="000000"/>
          <w:szCs w:val="24"/>
          <w:lang w:val="es-ES"/>
        </w:rPr>
      </w:pPr>
      <w:r w:rsidRPr="0020266D">
        <w:rPr>
          <w:rFonts w:eastAsiaTheme="minorEastAsia" w:cs="Arial"/>
          <w:snapToGrid/>
          <w:color w:val="000000"/>
          <w:szCs w:val="24"/>
          <w:lang w:val="es-ES"/>
        </w:rPr>
        <w:t>La actualización de los indicadores se realizó con base en los “Lineamientos de cambios a la información divulgada en las publicaciones estadísticas y geográficas del INEGI”, que complementan las “Normas Especiales para la Divulgación de Datos” del FMI, y con base en la actualización de los cálculos trimestrales del Sistema de Cuentas Nacionales de México (SCNM)</w:t>
      </w:r>
      <w:r w:rsidR="00591115">
        <w:rPr>
          <w:rFonts w:eastAsiaTheme="minorEastAsia" w:cs="Arial"/>
          <w:snapToGrid/>
          <w:color w:val="000000"/>
          <w:szCs w:val="24"/>
          <w:lang w:val="es-ES"/>
        </w:rPr>
        <w:t>. A</w:t>
      </w:r>
      <w:r w:rsidRPr="0020266D">
        <w:rPr>
          <w:rFonts w:eastAsiaTheme="minorEastAsia" w:cs="Arial"/>
          <w:snapToGrid/>
          <w:color w:val="000000"/>
          <w:szCs w:val="24"/>
          <w:lang w:val="es-ES"/>
        </w:rPr>
        <w:t>dicionalmente</w:t>
      </w:r>
      <w:r w:rsidR="00E274D4">
        <w:rPr>
          <w:rFonts w:eastAsiaTheme="minorEastAsia" w:cs="Arial"/>
          <w:snapToGrid/>
          <w:color w:val="000000"/>
          <w:szCs w:val="24"/>
          <w:lang w:val="es-ES"/>
        </w:rPr>
        <w:t>,</w:t>
      </w:r>
      <w:r w:rsidRPr="0020266D">
        <w:rPr>
          <w:rFonts w:eastAsiaTheme="minorEastAsia" w:cs="Arial"/>
          <w:snapToGrid/>
          <w:color w:val="000000"/>
          <w:szCs w:val="24"/>
          <w:lang w:val="es-ES"/>
        </w:rPr>
        <w:t xml:space="preserve"> </w:t>
      </w:r>
      <w:r w:rsidR="00591115">
        <w:rPr>
          <w:rFonts w:eastAsiaTheme="minorEastAsia" w:cs="Arial"/>
          <w:snapToGrid/>
          <w:color w:val="000000"/>
          <w:szCs w:val="24"/>
          <w:lang w:val="es-ES"/>
        </w:rPr>
        <w:t>se incorporó la</w:t>
      </w:r>
      <w:r w:rsidRPr="0020266D">
        <w:rPr>
          <w:rFonts w:eastAsiaTheme="minorEastAsia" w:cs="Arial"/>
          <w:snapToGrid/>
          <w:color w:val="000000"/>
          <w:szCs w:val="24"/>
          <w:lang w:val="es-ES"/>
        </w:rPr>
        <w:t xml:space="preserve"> información estadística </w:t>
      </w:r>
      <w:r w:rsidR="005C38B3">
        <w:rPr>
          <w:rFonts w:eastAsiaTheme="minorEastAsia" w:cs="Arial"/>
          <w:snapToGrid/>
          <w:color w:val="000000"/>
          <w:szCs w:val="24"/>
          <w:lang w:val="es-ES"/>
        </w:rPr>
        <w:t xml:space="preserve">más </w:t>
      </w:r>
      <w:r w:rsidR="005C38B3" w:rsidRPr="0020266D">
        <w:rPr>
          <w:rFonts w:eastAsiaTheme="minorEastAsia" w:cs="Arial"/>
          <w:snapToGrid/>
          <w:color w:val="000000"/>
          <w:szCs w:val="24"/>
          <w:lang w:val="es-ES"/>
        </w:rPr>
        <w:t xml:space="preserve">reciente </w:t>
      </w:r>
      <w:r w:rsidRPr="0020266D">
        <w:rPr>
          <w:rFonts w:eastAsiaTheme="minorEastAsia" w:cs="Arial"/>
          <w:snapToGrid/>
          <w:color w:val="000000"/>
          <w:szCs w:val="24"/>
          <w:lang w:val="es-ES"/>
        </w:rPr>
        <w:t>de la Cuenta Satélite del Turismo de México 2020.</w:t>
      </w:r>
    </w:p>
    <w:p w14:paraId="691736C4" w14:textId="2412A8A9" w:rsidR="0020266D" w:rsidRPr="0020266D" w:rsidRDefault="0020266D" w:rsidP="003E5022">
      <w:pPr>
        <w:spacing w:before="120"/>
        <w:jc w:val="both"/>
        <w:rPr>
          <w:rFonts w:eastAsiaTheme="minorEastAsia" w:cs="Arial"/>
          <w:snapToGrid/>
          <w:color w:val="000000"/>
          <w:szCs w:val="24"/>
          <w:lang w:val="es-ES"/>
        </w:rPr>
      </w:pPr>
      <w:r w:rsidRPr="0020266D">
        <w:rPr>
          <w:rFonts w:eastAsiaTheme="minorEastAsia" w:cs="Arial"/>
          <w:snapToGrid/>
          <w:color w:val="000000"/>
          <w:szCs w:val="24"/>
          <w:lang w:val="es-ES"/>
        </w:rPr>
        <w:t xml:space="preserve">Además de lo anterior, la </w:t>
      </w:r>
      <w:r w:rsidR="003E5022">
        <w:rPr>
          <w:rFonts w:eastAsiaTheme="minorEastAsia" w:cs="Arial"/>
          <w:snapToGrid/>
          <w:color w:val="000000"/>
          <w:szCs w:val="24"/>
          <w:lang w:val="es-ES"/>
        </w:rPr>
        <w:t>t</w:t>
      </w:r>
      <w:r w:rsidRPr="0020266D">
        <w:rPr>
          <w:rFonts w:eastAsiaTheme="minorEastAsia" w:cs="Arial"/>
          <w:snapToGrid/>
          <w:color w:val="000000"/>
          <w:szCs w:val="24"/>
          <w:lang w:val="es-ES"/>
        </w:rPr>
        <w:t xml:space="preserve">asa de </w:t>
      </w:r>
      <w:r w:rsidR="003E5022">
        <w:rPr>
          <w:rFonts w:eastAsiaTheme="minorEastAsia" w:cs="Arial"/>
          <w:snapToGrid/>
          <w:color w:val="000000"/>
          <w:szCs w:val="24"/>
          <w:lang w:val="es-ES"/>
        </w:rPr>
        <w:t>n</w:t>
      </w:r>
      <w:r w:rsidRPr="0020266D">
        <w:rPr>
          <w:rFonts w:eastAsiaTheme="minorEastAsia" w:cs="Arial"/>
          <w:snapToGrid/>
          <w:color w:val="000000"/>
          <w:szCs w:val="24"/>
          <w:lang w:val="es-ES"/>
        </w:rPr>
        <w:t xml:space="preserve">o </w:t>
      </w:r>
      <w:r w:rsidR="003E5022">
        <w:rPr>
          <w:rFonts w:eastAsiaTheme="minorEastAsia" w:cs="Arial"/>
          <w:snapToGrid/>
          <w:color w:val="000000"/>
          <w:szCs w:val="24"/>
          <w:lang w:val="es-ES"/>
        </w:rPr>
        <w:t>r</w:t>
      </w:r>
      <w:r w:rsidRPr="0020266D">
        <w:rPr>
          <w:rFonts w:eastAsiaTheme="minorEastAsia" w:cs="Arial"/>
          <w:snapToGrid/>
          <w:color w:val="000000"/>
          <w:szCs w:val="24"/>
          <w:lang w:val="es-ES"/>
        </w:rPr>
        <w:t xml:space="preserve">espuesta en la captación de las </w:t>
      </w:r>
      <w:r w:rsidR="003E5022">
        <w:rPr>
          <w:rFonts w:eastAsiaTheme="minorEastAsia" w:cs="Arial"/>
          <w:snapToGrid/>
          <w:color w:val="000000"/>
          <w:szCs w:val="24"/>
          <w:lang w:val="es-ES"/>
        </w:rPr>
        <w:t>e</w:t>
      </w:r>
      <w:r w:rsidRPr="0020266D">
        <w:rPr>
          <w:rFonts w:eastAsiaTheme="minorEastAsia" w:cs="Arial"/>
          <w:snapToGrid/>
          <w:color w:val="000000"/>
          <w:szCs w:val="24"/>
          <w:lang w:val="es-ES"/>
        </w:rPr>
        <w:t xml:space="preserve">ncuestas </w:t>
      </w:r>
      <w:r w:rsidR="003E5022">
        <w:rPr>
          <w:rFonts w:eastAsiaTheme="minorEastAsia" w:cs="Arial"/>
          <w:snapToGrid/>
          <w:color w:val="000000"/>
          <w:szCs w:val="24"/>
          <w:lang w:val="es-ES"/>
        </w:rPr>
        <w:t>e</w:t>
      </w:r>
      <w:r w:rsidRPr="0020266D">
        <w:rPr>
          <w:rFonts w:eastAsiaTheme="minorEastAsia" w:cs="Arial"/>
          <w:snapToGrid/>
          <w:color w:val="000000"/>
          <w:szCs w:val="24"/>
          <w:lang w:val="es-ES"/>
        </w:rPr>
        <w:t>conómicas que se consideraron para la integración de los Indicadores Trimestrales de la Actividad Turística (ITAT) en el tercer trimestre de 2021 registró porcentajes apropiados de acuerdo con el diseño estadístico de las muestras</w:t>
      </w:r>
      <w:r w:rsidR="005C38B3">
        <w:rPr>
          <w:rFonts w:eastAsiaTheme="minorEastAsia" w:cs="Arial"/>
          <w:snapToGrid/>
          <w:color w:val="000000"/>
          <w:szCs w:val="24"/>
          <w:lang w:val="es-ES"/>
        </w:rPr>
        <w:t>.</w:t>
      </w:r>
      <w:r w:rsidRPr="0020266D">
        <w:rPr>
          <w:rFonts w:eastAsiaTheme="minorEastAsia" w:cs="Arial"/>
          <w:snapToGrid/>
          <w:color w:val="000000"/>
          <w:szCs w:val="24"/>
          <w:lang w:val="es-ES"/>
        </w:rPr>
        <w:t xml:space="preserve"> </w:t>
      </w:r>
      <w:r w:rsidR="005C38B3">
        <w:rPr>
          <w:rFonts w:eastAsiaTheme="minorEastAsia" w:cs="Arial"/>
          <w:snapToGrid/>
          <w:color w:val="000000"/>
          <w:szCs w:val="24"/>
          <w:lang w:val="es-ES"/>
        </w:rPr>
        <w:t>Esto</w:t>
      </w:r>
      <w:r w:rsidRPr="0020266D">
        <w:rPr>
          <w:rFonts w:eastAsiaTheme="minorEastAsia" w:cs="Arial"/>
          <w:snapToGrid/>
          <w:color w:val="000000"/>
          <w:szCs w:val="24"/>
          <w:lang w:val="es-ES"/>
        </w:rPr>
        <w:t xml:space="preserve"> permitió la generación de estadísticas con niveles altos de cobertura y precisión para su inclusión en los ITAT del trimestre de referencia.</w:t>
      </w:r>
    </w:p>
    <w:p w14:paraId="15F1452C" w14:textId="1CAD68E0" w:rsidR="00F57743" w:rsidRPr="00F57743" w:rsidRDefault="00BD0FB5" w:rsidP="00F57743">
      <w:pPr>
        <w:pStyle w:val="Default"/>
        <w:spacing w:before="240"/>
        <w:jc w:val="both"/>
        <w:rPr>
          <w:rFonts w:eastAsia="Times New Roman" w:cs="Times New Roman"/>
          <w:snapToGrid w:val="0"/>
          <w:color w:val="auto"/>
          <w:szCs w:val="20"/>
          <w:lang w:val="es-ES_tradnl"/>
        </w:rPr>
      </w:pPr>
      <w:r w:rsidRPr="00EB6FA2">
        <w:t>Por otra parte, se informa que las cifras desestacionalizadas y de tendencia-ciclo pueden estar sujetas a revisiones debido al impacto inusual derivado de la emergencia sanitaria de</w:t>
      </w:r>
      <w:r w:rsidR="003D37F6">
        <w:t xml:space="preserve"> la</w:t>
      </w:r>
      <w:r w:rsidRPr="00EB6FA2">
        <w:t xml:space="preserve"> COVID-19. La estrategia seguida por el INEGI ha sido revisar de manera particular cada serie de tiempo y analizar la necesidad de incluir algún tratamiento especial</w:t>
      </w:r>
      <w:r w:rsidR="003D37F6">
        <w:t xml:space="preserve">, como el de </w:t>
      </w:r>
      <w:proofErr w:type="spellStart"/>
      <w:r w:rsidR="0077014C">
        <w:rPr>
          <w:i/>
          <w:iCs/>
        </w:rPr>
        <w:t>O</w:t>
      </w:r>
      <w:r w:rsidRPr="006C14B3">
        <w:rPr>
          <w:i/>
          <w:iCs/>
        </w:rPr>
        <w:t>utliers</w:t>
      </w:r>
      <w:proofErr w:type="spellEnd"/>
      <w:r w:rsidR="0077014C">
        <w:rPr>
          <w:i/>
          <w:iCs/>
        </w:rPr>
        <w:t>,</w:t>
      </w:r>
      <w:r w:rsidRPr="00EB6FA2">
        <w:t xml:space="preserve"> en los modelos de ajuste estacional para los meses de la contingencia. Lo anterior con el objetivo de que los grandes cambios en las cifras originales no influyan de manera desproporcionada en los factores estacionales utilizados.</w:t>
      </w:r>
    </w:p>
    <w:p w14:paraId="4F55E88A" w14:textId="77777777" w:rsidR="00DA152C" w:rsidRPr="00573E5B" w:rsidRDefault="004D4743" w:rsidP="00F57743">
      <w:pPr>
        <w:pStyle w:val="p0"/>
        <w:rPr>
          <w:b/>
          <w:i/>
          <w:color w:val="auto"/>
        </w:rPr>
      </w:pPr>
      <w:r w:rsidRPr="00573E5B">
        <w:rPr>
          <w:b/>
          <w:i/>
          <w:color w:val="auto"/>
        </w:rPr>
        <w:t>N</w:t>
      </w:r>
      <w:r w:rsidR="00DA152C" w:rsidRPr="00573E5B">
        <w:rPr>
          <w:b/>
          <w:i/>
          <w:color w:val="auto"/>
        </w:rPr>
        <w:t>ota metodológica</w:t>
      </w:r>
    </w:p>
    <w:p w14:paraId="2DC6C782" w14:textId="77777777" w:rsidR="00BB05C3" w:rsidRPr="00BB05C3" w:rsidRDefault="00BB05C3" w:rsidP="00C34F80">
      <w:pPr>
        <w:pStyle w:val="Default"/>
        <w:spacing w:before="240"/>
        <w:jc w:val="both"/>
        <w:rPr>
          <w:rFonts w:eastAsia="Times New Roman" w:cs="Times New Roman"/>
          <w:snapToGrid w:val="0"/>
          <w:color w:val="auto"/>
          <w:szCs w:val="20"/>
          <w:lang w:val="es-ES_tradnl"/>
        </w:rPr>
      </w:pPr>
      <w:r w:rsidRPr="00CF29C1">
        <w:rPr>
          <w:rFonts w:eastAsia="Times New Roman" w:cs="Times New Roman"/>
          <w:snapToGrid w:val="0"/>
          <w:color w:val="auto"/>
          <w:szCs w:val="20"/>
          <w:lang w:val="es-ES_tradnl"/>
        </w:rPr>
        <w:t>Para la estimación del ITAT se aprovecha, fundamentalmente, la información anual de la Cuenta Satélite del Turismo de México (CSTM), desagregándose a partir del uso de índices relativos simples que captan la estructura de los datos trimestrales seleccionados del Sistema de Cuentas Nacionales de México (SCNM), particularmente de la Oferta y Demanda Global de Bienes y Servicios.</w:t>
      </w:r>
    </w:p>
    <w:p w14:paraId="3F779734" w14:textId="5B1C8DA9" w:rsidR="00BB05C3" w:rsidRPr="00BD0FB5" w:rsidRDefault="00BB05C3" w:rsidP="00BB05C3">
      <w:pPr>
        <w:pStyle w:val="Default"/>
        <w:spacing w:before="240"/>
        <w:jc w:val="both"/>
        <w:rPr>
          <w:color w:val="auto"/>
        </w:rPr>
      </w:pPr>
      <w:r w:rsidRPr="00CF29C1">
        <w:rPr>
          <w:color w:val="auto"/>
        </w:rPr>
        <w:t>La CSTM proporciona datos para la serie de estas variables a precios básicos. Una vez elabora</w:t>
      </w:r>
      <w:r w:rsidR="005C38B3">
        <w:rPr>
          <w:color w:val="auto"/>
        </w:rPr>
        <w:t>da</w:t>
      </w:r>
      <w:r w:rsidRPr="00CF29C1">
        <w:rPr>
          <w:color w:val="auto"/>
        </w:rPr>
        <w:t xml:space="preserve"> la cuenta de producción, se determina el PIB turístico trimestral y se transforman los valores en índices.</w:t>
      </w:r>
      <w:r w:rsidRPr="00CF29C1">
        <w:t xml:space="preserve"> El ejercicio para determinar la variación trimestral anualizada de dichos índices es el que permite la derivación del ITAT</w:t>
      </w:r>
      <w:r w:rsidRPr="00CF29C1">
        <w:rPr>
          <w:rStyle w:val="Refdecomentario"/>
        </w:rPr>
        <w:t>.</w:t>
      </w:r>
    </w:p>
    <w:p w14:paraId="69F0741D" w14:textId="0D092645" w:rsidR="00BB05C3" w:rsidRDefault="00BB05C3" w:rsidP="00BB05C3">
      <w:pPr>
        <w:pStyle w:val="Default"/>
        <w:spacing w:before="240"/>
        <w:jc w:val="both"/>
        <w:rPr>
          <w:color w:val="auto"/>
        </w:rPr>
      </w:pPr>
      <w:r w:rsidRPr="00CF29C1">
        <w:rPr>
          <w:color w:val="auto"/>
        </w:rPr>
        <w:t xml:space="preserve">Los resultados trimestrales del PIB turístico se comparan con la información anual de la CSTM para ajustar los datos de alta frecuencia (trimestrales) a los de baja frecuencia (valor anual) utilizando la técnica </w:t>
      </w:r>
      <w:r w:rsidRPr="00783FE4">
        <w:rPr>
          <w:color w:val="auto"/>
        </w:rPr>
        <w:t>Denton</w:t>
      </w:r>
      <w:r w:rsidR="00CF29C1" w:rsidRPr="00CF29C1">
        <w:rPr>
          <w:color w:val="auto"/>
          <w:vertAlign w:val="superscript"/>
        </w:rPr>
        <w:footnoteReference w:id="4"/>
      </w:r>
      <w:r w:rsidRPr="00CF29C1">
        <w:rPr>
          <w:color w:val="auto"/>
        </w:rPr>
        <w:t>.</w:t>
      </w:r>
    </w:p>
    <w:p w14:paraId="330DDF49" w14:textId="77777777" w:rsidR="00881B68" w:rsidRPr="00CF29C1" w:rsidRDefault="00881B68" w:rsidP="00BB05C3">
      <w:pPr>
        <w:pStyle w:val="Default"/>
        <w:spacing w:before="240"/>
        <w:jc w:val="both"/>
        <w:rPr>
          <w:color w:val="auto"/>
          <w:lang w:val="es-MX"/>
        </w:rPr>
      </w:pPr>
    </w:p>
    <w:p w14:paraId="48A36EA7" w14:textId="518655AD" w:rsidR="00BB05C3" w:rsidRPr="00CF29C1" w:rsidRDefault="00BB05C3" w:rsidP="00BB05C3">
      <w:pPr>
        <w:pStyle w:val="Default"/>
        <w:spacing w:before="240"/>
        <w:jc w:val="both"/>
        <w:rPr>
          <w:color w:val="auto"/>
          <w:lang w:val="es-MX"/>
        </w:rPr>
      </w:pPr>
      <w:r w:rsidRPr="00CF29C1">
        <w:rPr>
          <w:color w:val="auto"/>
        </w:rPr>
        <w:lastRenderedPageBreak/>
        <w:t xml:space="preserve">Los datos se presentan en cuadros de Índices del Consumo Turístico Interior (CTI), </w:t>
      </w:r>
      <w:r w:rsidR="00165240">
        <w:rPr>
          <w:color w:val="auto"/>
        </w:rPr>
        <w:t>que</w:t>
      </w:r>
      <w:r w:rsidRPr="00CF29C1">
        <w:rPr>
          <w:color w:val="auto"/>
        </w:rPr>
        <w:t xml:space="preserve"> se define como los gastos que realizan los turistas en sus viajes en el territorio del país</w:t>
      </w:r>
      <w:r w:rsidR="00534712">
        <w:rPr>
          <w:color w:val="auto"/>
        </w:rPr>
        <w:t>,</w:t>
      </w:r>
      <w:r w:rsidRPr="00CF29C1">
        <w:rPr>
          <w:color w:val="auto"/>
        </w:rPr>
        <w:t xml:space="preserve"> mostrando la apertura del Consumo Turístico Interno (</w:t>
      </w:r>
      <w:proofErr w:type="spellStart"/>
      <w:r w:rsidRPr="00CF29C1">
        <w:rPr>
          <w:color w:val="auto"/>
        </w:rPr>
        <w:t>CTIn</w:t>
      </w:r>
      <w:proofErr w:type="spellEnd"/>
      <w:r w:rsidRPr="00CF29C1">
        <w:rPr>
          <w:color w:val="auto"/>
        </w:rPr>
        <w:t>) y el Consumo Turístico Receptivo (CTR).</w:t>
      </w:r>
    </w:p>
    <w:p w14:paraId="4FFD57D3" w14:textId="18CF1783" w:rsidR="0077014C" w:rsidRPr="00BD0FB5" w:rsidRDefault="0077014C" w:rsidP="00993C86">
      <w:pPr>
        <w:widowControl/>
        <w:spacing w:before="240"/>
        <w:jc w:val="both"/>
      </w:pPr>
      <w:r>
        <w:t>E</w:t>
      </w:r>
      <w:r w:rsidRPr="00BD0FB5">
        <w:t xml:space="preserve">s importante destacar que la mayoría de las series económicas se ven afectadas por factores estacionales. </w:t>
      </w:r>
      <w:r w:rsidR="00993C86">
        <w:t xml:space="preserve">Es decir, </w:t>
      </w:r>
      <w:r w:rsidRPr="00BD0FB5">
        <w:t>efectos periódicos que se repiten cada año, y cuyas causas pueden considerarse ajenas a la naturaleza económica de las series</w:t>
      </w:r>
      <w:r w:rsidR="00993C86">
        <w:t>.</w:t>
      </w:r>
      <w:r w:rsidRPr="00BD0FB5">
        <w:t xml:space="preserve"> </w:t>
      </w:r>
      <w:r w:rsidR="00993C86">
        <w:t>Éstas pueden ser</w:t>
      </w:r>
      <w:r w:rsidR="00165240">
        <w:t>:</w:t>
      </w:r>
      <w:r w:rsidR="00993C86">
        <w:t xml:space="preserve"> </w:t>
      </w:r>
      <w:r w:rsidRPr="00BD0FB5">
        <w:t xml:space="preserve">las festividades, el hecho de que algunos meses tienen más días que otros, los periodos de vacaciones escolares, el efecto del clima en las estaciones del año y otras fluctuaciones estacionales, </w:t>
      </w:r>
      <w:r w:rsidR="00993C86">
        <w:t>como</w:t>
      </w:r>
      <w:r w:rsidRPr="00BD0FB5">
        <w:t xml:space="preserve"> la elevada producción de juguetes en los meses previos a la Navidad, provocada por la expectativa de mayores ventas en diciembre.</w:t>
      </w:r>
    </w:p>
    <w:p w14:paraId="451F2360" w14:textId="36EFE990" w:rsidR="0077014C" w:rsidRPr="00BD0FB5" w:rsidRDefault="0077014C" w:rsidP="0077014C">
      <w:pPr>
        <w:pStyle w:val="Default"/>
        <w:spacing w:before="240"/>
        <w:jc w:val="both"/>
        <w:rPr>
          <w:color w:val="auto"/>
        </w:rPr>
      </w:pPr>
      <w:r w:rsidRPr="00BD0FB5">
        <w:rPr>
          <w:color w:val="auto"/>
        </w:rPr>
        <w:t xml:space="preserve">En este sentido, la desestacionalización o ajuste estacional de series económicas consiste en remover estas influencias </w:t>
      </w:r>
      <w:proofErr w:type="spellStart"/>
      <w:r w:rsidRPr="00BD0FB5">
        <w:rPr>
          <w:color w:val="auto"/>
        </w:rPr>
        <w:t>intra-anuales</w:t>
      </w:r>
      <w:proofErr w:type="spellEnd"/>
      <w:r w:rsidRPr="00BD0FB5">
        <w:rPr>
          <w:color w:val="auto"/>
        </w:rPr>
        <w:t xml:space="preserve"> periódicas, </w:t>
      </w:r>
      <w:r w:rsidR="00993C86">
        <w:rPr>
          <w:color w:val="auto"/>
        </w:rPr>
        <w:t>pues</w:t>
      </w:r>
      <w:r w:rsidRPr="00BD0FB5">
        <w:rPr>
          <w:color w:val="auto"/>
        </w:rPr>
        <w:t xml:space="preserve"> su presencia dificulta diagnosticar o describir el comportamiento de una serie económica al no poder comparar, adecuadamente, un determinado mes con el inmediato anterior.</w:t>
      </w:r>
    </w:p>
    <w:p w14:paraId="569CFF07" w14:textId="29BF5084" w:rsidR="0077014C" w:rsidRPr="00BD0FB5" w:rsidRDefault="0077014C" w:rsidP="0077014C">
      <w:pPr>
        <w:pStyle w:val="Default"/>
        <w:spacing w:before="240"/>
        <w:jc w:val="both"/>
        <w:rPr>
          <w:color w:val="auto"/>
        </w:rPr>
      </w:pPr>
      <w:r w:rsidRPr="00BD0FB5">
        <w:rPr>
          <w:color w:val="auto"/>
        </w:rPr>
        <w:t>Analizar la serie desestacionalizada ayuda a realizar un mejor diagnóstico y pronóstico de su evolución</w:t>
      </w:r>
      <w:r w:rsidR="006C18EB">
        <w:rPr>
          <w:color w:val="auto"/>
        </w:rPr>
        <w:t>,</w:t>
      </w:r>
      <w:r w:rsidRPr="00BD0FB5">
        <w:rPr>
          <w:color w:val="auto"/>
        </w:rPr>
        <w:t xml:space="preserve"> ya que permite identificar la posible dirección de los movimientos que pudiera tener la variable en cuestión, en el corto plazo. </w:t>
      </w:r>
    </w:p>
    <w:p w14:paraId="5FF0919F" w14:textId="77777777" w:rsidR="0077014C" w:rsidRPr="00BA3C8A" w:rsidRDefault="0077014C" w:rsidP="0077014C">
      <w:pPr>
        <w:pStyle w:val="Default"/>
        <w:spacing w:before="240"/>
        <w:jc w:val="both"/>
      </w:pPr>
      <w:r w:rsidRPr="00BD0FB5">
        <w:rPr>
          <w:color w:val="auto"/>
        </w:rPr>
        <w:t>Las series originales se ajustan estacionalmente mediante el paquete estadístico X</w:t>
      </w:r>
      <w:r w:rsidRPr="00BD0FB5">
        <w:rPr>
          <w:color w:val="auto"/>
        </w:rPr>
        <w:noBreakHyphen/>
        <w:t>13ARIMA-SEATS. Para conocer la metodología se sugiere consultar la siguiente liga:</w:t>
      </w:r>
      <w:r>
        <w:rPr>
          <w:color w:val="auto"/>
        </w:rPr>
        <w:t xml:space="preserve"> </w:t>
      </w:r>
      <w:hyperlink r:id="rId27" w:history="1">
        <w:r w:rsidRPr="00E74593">
          <w:rPr>
            <w:rStyle w:val="Hipervnculo"/>
          </w:rPr>
          <w:t>https://www.inegi.org.mx/app/biblioteca/ficha.html?upc=702825099060</w:t>
        </w:r>
      </w:hyperlink>
    </w:p>
    <w:p w14:paraId="4BCE9F65" w14:textId="456CABF0" w:rsidR="0077014C" w:rsidRDefault="0077014C" w:rsidP="0077014C">
      <w:pPr>
        <w:pStyle w:val="Default"/>
        <w:spacing w:before="240"/>
        <w:jc w:val="both"/>
        <w:rPr>
          <w:color w:val="auto"/>
        </w:rPr>
      </w:pPr>
      <w:r w:rsidRPr="007D012D">
        <w:rPr>
          <w:color w:val="auto"/>
        </w:rPr>
        <w:t xml:space="preserve">Asimismo, las especificaciones de los modelos utilizados para realizar el ajuste estacional están disponibles en el Banco de Información Económica, seleccionando el icono de información </w:t>
      </w:r>
      <w:r>
        <w:rPr>
          <w:noProof/>
          <w:sz w:val="18"/>
          <w:szCs w:val="18"/>
          <w:lang w:val="es-MX" w:eastAsia="es-MX"/>
        </w:rPr>
        <w:drawing>
          <wp:inline distT="0" distB="0" distL="0" distR="0" wp14:anchorId="0B7D44CC" wp14:editId="5FC4F0D1">
            <wp:extent cx="152400" cy="152400"/>
            <wp:effectExtent l="0" t="0" r="0" b="0"/>
            <wp:docPr id="8" name="Imagen 8" descr="http://www.inegi.org.mx/sistemas/bie/img/MetadatoC.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tnMetaDID2951" descr="http://www.inegi.org.mx/sistemas/bie/img/MetadatoC.GIF">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color w:val="auto"/>
        </w:rPr>
        <w:t xml:space="preserve"> </w:t>
      </w:r>
      <w:r w:rsidRPr="007D012D">
        <w:rPr>
          <w:color w:val="auto"/>
        </w:rPr>
        <w:t xml:space="preserve">correspondiente a las “series desestacionalizadas y </w:t>
      </w:r>
      <w:r>
        <w:rPr>
          <w:color w:val="auto"/>
        </w:rPr>
        <w:t xml:space="preserve">de </w:t>
      </w:r>
      <w:r w:rsidRPr="007D012D">
        <w:rPr>
          <w:color w:val="auto"/>
        </w:rPr>
        <w:t>tendencia-ciclo” de</w:t>
      </w:r>
      <w:r>
        <w:rPr>
          <w:color w:val="auto"/>
        </w:rPr>
        <w:t xml:space="preserve"> </w:t>
      </w:r>
      <w:r w:rsidRPr="007D012D">
        <w:rPr>
          <w:color w:val="auto"/>
        </w:rPr>
        <w:t>l</w:t>
      </w:r>
      <w:r>
        <w:rPr>
          <w:color w:val="auto"/>
        </w:rPr>
        <w:t xml:space="preserve">a </w:t>
      </w:r>
      <w:r w:rsidR="008E5697">
        <w:rPr>
          <w:color w:val="auto"/>
          <w:szCs w:val="22"/>
        </w:rPr>
        <w:t>a</w:t>
      </w:r>
      <w:r>
        <w:rPr>
          <w:color w:val="auto"/>
          <w:szCs w:val="22"/>
        </w:rPr>
        <w:t xml:space="preserve">ctividad </w:t>
      </w:r>
      <w:r w:rsidR="008E5697">
        <w:rPr>
          <w:color w:val="auto"/>
          <w:szCs w:val="22"/>
        </w:rPr>
        <w:t>t</w:t>
      </w:r>
      <w:r>
        <w:rPr>
          <w:color w:val="auto"/>
          <w:szCs w:val="22"/>
        </w:rPr>
        <w:t>urística</w:t>
      </w:r>
      <w:r w:rsidRPr="007D012D">
        <w:rPr>
          <w:color w:val="auto"/>
        </w:rPr>
        <w:t>.</w:t>
      </w:r>
    </w:p>
    <w:p w14:paraId="40D8C8A5" w14:textId="06A84215" w:rsidR="00BB05C3" w:rsidRPr="00CF29C1" w:rsidRDefault="00BB05C3" w:rsidP="00BB05C3">
      <w:pPr>
        <w:pStyle w:val="Default"/>
        <w:spacing w:before="240"/>
        <w:jc w:val="both"/>
        <w:rPr>
          <w:color w:val="auto"/>
          <w:u w:val="single"/>
          <w:lang w:val="es-MX"/>
        </w:rPr>
      </w:pPr>
      <w:r w:rsidRPr="00CF29C1">
        <w:rPr>
          <w:color w:val="auto"/>
        </w:rPr>
        <w:t xml:space="preserve">Los datos que se </w:t>
      </w:r>
      <w:r w:rsidR="001075CC">
        <w:rPr>
          <w:color w:val="auto"/>
        </w:rPr>
        <w:t>reportan e</w:t>
      </w:r>
      <w:r w:rsidRPr="00CF29C1">
        <w:rPr>
          <w:color w:val="auto"/>
        </w:rPr>
        <w:t>n este documento amplían la información que actualmente difunde el INEGI, la cual continuará generándose como parte de los resultados del SCNM, y se da a conocer en la fecha establecida en el Calendario de difusión de información estadística y geográfica y de Interés Nacional.</w:t>
      </w:r>
    </w:p>
    <w:p w14:paraId="579642D3" w14:textId="607F06B3" w:rsidR="00AB3894" w:rsidRPr="00A75667" w:rsidRDefault="00BB05C3" w:rsidP="00A75667">
      <w:pPr>
        <w:pStyle w:val="Default"/>
        <w:spacing w:before="240"/>
        <w:jc w:val="both"/>
        <w:rPr>
          <w:color w:val="auto"/>
        </w:rPr>
      </w:pPr>
      <w:r w:rsidRPr="00A75667">
        <w:rPr>
          <w:color w:val="auto"/>
        </w:rPr>
        <w:t xml:space="preserve">Las cifras aquí presentadas podrán ser consultadas en la página web del INEGI en: </w:t>
      </w:r>
    </w:p>
    <w:p w14:paraId="3A8E6D2C" w14:textId="6A5D6604" w:rsidR="00BB05C3" w:rsidRPr="00A75667" w:rsidRDefault="00FC1F1F" w:rsidP="00A75667">
      <w:pPr>
        <w:pStyle w:val="parrafo1"/>
        <w:widowControl w:val="0"/>
        <w:spacing w:before="240"/>
        <w:ind w:left="0" w:right="584"/>
        <w:rPr>
          <w:u w:val="single"/>
          <w:lang w:val="es-ES"/>
        </w:rPr>
      </w:pPr>
      <w:hyperlink r:id="rId30" w:history="1">
        <w:r w:rsidR="00254AD4" w:rsidRPr="00730921">
          <w:rPr>
            <w:rStyle w:val="Hipervnculo"/>
            <w:lang w:eastAsia="en-US"/>
          </w:rPr>
          <w:t>https://www.inegi.org.mx/sistemas/bie/default.aspx</w:t>
        </w:r>
      </w:hyperlink>
    </w:p>
    <w:sectPr w:rsidR="00BB05C3" w:rsidRPr="00A75667" w:rsidSect="008009A8">
      <w:headerReference w:type="default" r:id="rId31"/>
      <w:footerReference w:type="default" r:id="rId32"/>
      <w:endnotePr>
        <w:numFmt w:val="decimal"/>
      </w:endnotePr>
      <w:pgSz w:w="12242" w:h="15842" w:code="1"/>
      <w:pgMar w:top="2552" w:right="1701" w:bottom="1134" w:left="1701" w:header="68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2212A" w14:textId="77777777" w:rsidR="00FC1F1F" w:rsidRDefault="00FC1F1F">
      <w:r>
        <w:separator/>
      </w:r>
    </w:p>
  </w:endnote>
  <w:endnote w:type="continuationSeparator" w:id="0">
    <w:p w14:paraId="40E8841A" w14:textId="77777777" w:rsidR="00FC1F1F" w:rsidRDefault="00FC1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F6131" w14:textId="77777777" w:rsidR="00841E11" w:rsidRDefault="00841E11" w:rsidP="004C150C">
    <w:pPr>
      <w:pStyle w:val="Piedepgina"/>
      <w:contextualSpacing/>
      <w:jc w:val="center"/>
      <w:rPr>
        <w:rFonts w:cs="Arial"/>
        <w:b/>
        <w:color w:val="002060"/>
        <w:sz w:val="18"/>
        <w:szCs w:val="18"/>
      </w:rPr>
    </w:pPr>
  </w:p>
  <w:p w14:paraId="60A067BF" w14:textId="77777777" w:rsidR="00841E11" w:rsidRDefault="00841E11" w:rsidP="004C150C">
    <w:pPr>
      <w:pStyle w:val="Piedepgina"/>
      <w:contextualSpacing/>
      <w:jc w:val="center"/>
      <w:rPr>
        <w:rFonts w:cs="Arial"/>
        <w:b/>
        <w:color w:val="002060"/>
        <w:sz w:val="18"/>
        <w:szCs w:val="18"/>
      </w:rPr>
    </w:pPr>
  </w:p>
  <w:p w14:paraId="04B8E727" w14:textId="77777777" w:rsidR="00841E11" w:rsidRPr="00BB4018" w:rsidRDefault="00841E11" w:rsidP="004C150C">
    <w:pPr>
      <w:pStyle w:val="Piedepgina"/>
      <w:contextualSpacing/>
      <w:jc w:val="center"/>
      <w:rPr>
        <w:rFonts w:cs="Arial"/>
        <w:color w:val="002060"/>
        <w:sz w:val="18"/>
        <w:szCs w:val="18"/>
      </w:rPr>
    </w:pPr>
    <w:r w:rsidRPr="00BB4018">
      <w:rPr>
        <w:rFonts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CA251" w14:textId="77777777" w:rsidR="00E07136" w:rsidRPr="00FC4132" w:rsidRDefault="00E07136" w:rsidP="00B06AE9">
    <w:pPr>
      <w:pStyle w:val="Piedepgina"/>
      <w:jc w:val="center"/>
      <w:rPr>
        <w:color w:val="002060"/>
        <w:sz w:val="20"/>
      </w:rPr>
    </w:pPr>
    <w:r w:rsidRPr="00FC4132">
      <w:rPr>
        <w:b/>
        <w:color w:val="002060"/>
        <w:sz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8D012" w14:textId="77777777" w:rsidR="00FC1F1F" w:rsidRDefault="00FC1F1F">
      <w:r>
        <w:separator/>
      </w:r>
    </w:p>
  </w:footnote>
  <w:footnote w:type="continuationSeparator" w:id="0">
    <w:p w14:paraId="6461A70A" w14:textId="77777777" w:rsidR="00FC1F1F" w:rsidRDefault="00FC1F1F">
      <w:r>
        <w:continuationSeparator/>
      </w:r>
    </w:p>
  </w:footnote>
  <w:footnote w:id="1">
    <w:p w14:paraId="6A23E175" w14:textId="77777777" w:rsidR="00841E11" w:rsidRPr="00C07AE5" w:rsidRDefault="00841E11" w:rsidP="00580D5B">
      <w:pPr>
        <w:pStyle w:val="Textonotapie"/>
        <w:ind w:left="142" w:right="-547"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 xml:space="preserve">Año base 2013. </w:t>
      </w:r>
    </w:p>
  </w:footnote>
  <w:footnote w:id="2">
    <w:p w14:paraId="7D8D44BB" w14:textId="5B6B6295" w:rsidR="00841E11" w:rsidRDefault="00841E11" w:rsidP="00580D5B">
      <w:pPr>
        <w:pStyle w:val="Textonotapie"/>
        <w:ind w:left="142" w:right="-547"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L</w:t>
      </w:r>
      <w:r w:rsidRPr="002B7F1F">
        <w:rPr>
          <w:rFonts w:ascii="Arial" w:hAnsi="Arial" w:cs="Arial"/>
          <w:sz w:val="16"/>
          <w:szCs w:val="16"/>
        </w:rPr>
        <w:t>a mayoría de las series económicas se ven afectadas por factores estacionales</w:t>
      </w:r>
      <w:r>
        <w:rPr>
          <w:rFonts w:ascii="Arial" w:hAnsi="Arial" w:cs="Arial"/>
          <w:sz w:val="16"/>
          <w:szCs w:val="16"/>
        </w:rPr>
        <w:t xml:space="preserve"> y de calendario. El ajuste de los datos por dichos factores permite obtener las cifras desestacionalizadas, cuyo análisis </w:t>
      </w:r>
      <w:r w:rsidRPr="00C07AE5">
        <w:rPr>
          <w:rFonts w:ascii="Arial" w:hAnsi="Arial" w:cs="Arial"/>
          <w:sz w:val="16"/>
          <w:szCs w:val="16"/>
        </w:rPr>
        <w:t>ayuda a realizar un mejor diagnóstico de la evolución de la</w:t>
      </w:r>
      <w:r>
        <w:rPr>
          <w:rFonts w:ascii="Arial" w:hAnsi="Arial" w:cs="Arial"/>
          <w:sz w:val="16"/>
          <w:szCs w:val="16"/>
        </w:rPr>
        <w:t>s</w:t>
      </w:r>
      <w:r w:rsidRPr="00C07AE5">
        <w:rPr>
          <w:rFonts w:ascii="Arial" w:hAnsi="Arial" w:cs="Arial"/>
          <w:sz w:val="16"/>
          <w:szCs w:val="16"/>
        </w:rPr>
        <w:t xml:space="preserve"> </w:t>
      </w:r>
      <w:r>
        <w:rPr>
          <w:rFonts w:ascii="Arial" w:hAnsi="Arial" w:cs="Arial"/>
          <w:sz w:val="16"/>
          <w:szCs w:val="16"/>
        </w:rPr>
        <w:t xml:space="preserve">variables. </w:t>
      </w:r>
    </w:p>
    <w:p w14:paraId="41B1E6FD" w14:textId="77777777" w:rsidR="00580D5B" w:rsidRPr="00C07AE5" w:rsidRDefault="00580D5B" w:rsidP="00580D5B">
      <w:pPr>
        <w:pStyle w:val="Textonotapie"/>
        <w:ind w:left="142" w:right="-547" w:hanging="142"/>
        <w:jc w:val="both"/>
        <w:rPr>
          <w:rFonts w:ascii="Arial" w:hAnsi="Arial" w:cs="Arial"/>
          <w:sz w:val="16"/>
          <w:szCs w:val="16"/>
        </w:rPr>
      </w:pPr>
    </w:p>
  </w:footnote>
  <w:footnote w:id="3">
    <w:p w14:paraId="1A672098" w14:textId="77777777" w:rsidR="00C55A68" w:rsidRPr="00C07AE5" w:rsidRDefault="00C55A68" w:rsidP="00C55A68">
      <w:pPr>
        <w:pStyle w:val="Textonotapie"/>
        <w:ind w:left="142" w:hanging="142"/>
        <w:jc w:val="both"/>
        <w:rPr>
          <w:rFonts w:ascii="Arial" w:hAnsi="Arial" w:cs="Arial"/>
          <w:sz w:val="16"/>
          <w:szCs w:val="16"/>
        </w:rPr>
      </w:pPr>
      <w:r w:rsidRPr="00863A91">
        <w:rPr>
          <w:rStyle w:val="Refdenotaalpie"/>
          <w:rFonts w:ascii="Arial" w:hAnsi="Arial"/>
          <w:b w:val="0"/>
          <w:sz w:val="18"/>
          <w:szCs w:val="16"/>
        </w:rPr>
        <w:footnoteRef/>
      </w:r>
      <w:r w:rsidRPr="00863A91">
        <w:rPr>
          <w:rStyle w:val="Refdenotaalpie"/>
          <w:b w:val="0"/>
          <w:sz w:val="14"/>
          <w:szCs w:val="16"/>
        </w:rPr>
        <w:t xml:space="preserve"> </w:t>
      </w:r>
      <w:r>
        <w:rPr>
          <w:sz w:val="18"/>
        </w:rPr>
        <w:tab/>
      </w:r>
      <w:r>
        <w:rPr>
          <w:rFonts w:ascii="Arial" w:hAnsi="Arial" w:cs="Arial"/>
          <w:sz w:val="16"/>
          <w:szCs w:val="16"/>
        </w:rPr>
        <w:t xml:space="preserve">Año base 2013. </w:t>
      </w:r>
    </w:p>
  </w:footnote>
  <w:footnote w:id="4">
    <w:p w14:paraId="04890053" w14:textId="77777777" w:rsidR="00CF29C1" w:rsidRPr="00CF29C1" w:rsidRDefault="00CF29C1" w:rsidP="00CF29C1">
      <w:pPr>
        <w:pStyle w:val="Textonotapie"/>
        <w:ind w:left="142" w:hanging="142"/>
        <w:jc w:val="both"/>
        <w:rPr>
          <w:rStyle w:val="Refdenotaalpie"/>
          <w:rFonts w:ascii="Arial" w:hAnsi="Arial"/>
          <w:b w:val="0"/>
          <w:smallCaps w:val="0"/>
          <w:sz w:val="16"/>
          <w:szCs w:val="16"/>
          <w:vertAlign w:val="baseline"/>
        </w:rPr>
      </w:pPr>
      <w:r w:rsidRPr="003E5022">
        <w:rPr>
          <w:rStyle w:val="Refdenotaalpie"/>
          <w:rFonts w:ascii="Arial" w:hAnsi="Arial"/>
          <w:b w:val="0"/>
          <w:sz w:val="18"/>
          <w:szCs w:val="16"/>
        </w:rPr>
        <w:footnoteRef/>
      </w:r>
      <w:r>
        <w:rPr>
          <w:rFonts w:ascii="Arial" w:hAnsi="Arial" w:cs="Arial"/>
        </w:rPr>
        <w:tab/>
      </w:r>
      <w:r w:rsidRPr="00CF29C1">
        <w:rPr>
          <w:rStyle w:val="Refdenotaalpie"/>
          <w:rFonts w:ascii="Arial" w:hAnsi="Arial"/>
          <w:b w:val="0"/>
          <w:smallCaps w:val="0"/>
          <w:sz w:val="16"/>
          <w:szCs w:val="16"/>
          <w:vertAlign w:val="baseline"/>
        </w:rPr>
        <w:t xml:space="preserve">Procedimiento de </w:t>
      </w:r>
      <w:r w:rsidRPr="003E5022">
        <w:rPr>
          <w:rStyle w:val="Refdenotaalpie"/>
          <w:rFonts w:ascii="Arial" w:hAnsi="Arial"/>
          <w:b w:val="0"/>
          <w:i/>
          <w:iCs/>
          <w:smallCaps w:val="0"/>
          <w:sz w:val="16"/>
          <w:szCs w:val="16"/>
          <w:vertAlign w:val="baseline"/>
        </w:rPr>
        <w:t>Benchmarking</w:t>
      </w:r>
      <w:r w:rsidRPr="00CF29C1">
        <w:rPr>
          <w:rStyle w:val="Refdenotaalpie"/>
          <w:rFonts w:ascii="Arial" w:hAnsi="Arial"/>
          <w:b w:val="0"/>
          <w:smallCaps w:val="0"/>
          <w:sz w:val="16"/>
          <w:szCs w:val="16"/>
          <w:vertAlign w:val="baseline"/>
        </w:rPr>
        <w:t xml:space="preserve"> utilizado para ajustar datos trimestrales a los anuales.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2BB1C" w14:textId="13265103" w:rsidR="00841E11" w:rsidRPr="00265B8C" w:rsidRDefault="00841E11" w:rsidP="001B1505">
    <w:pPr>
      <w:pStyle w:val="Encabezado"/>
      <w:framePr w:w="5268" w:hSpace="141" w:wrap="auto" w:vAnchor="text" w:hAnchor="page" w:x="5838" w:y="34"/>
      <w:ind w:left="567" w:hanging="11"/>
      <w:jc w:val="right"/>
      <w:rPr>
        <w:rFonts w:cs="Arial"/>
        <w:b/>
        <w:color w:val="002060"/>
        <w:szCs w:val="24"/>
      </w:rPr>
    </w:pPr>
    <w:r w:rsidRPr="00265B8C">
      <w:rPr>
        <w:rFonts w:cs="Arial"/>
        <w:b/>
        <w:color w:val="002060"/>
        <w:szCs w:val="24"/>
      </w:rPr>
      <w:t xml:space="preserve">COMUNICADO DE PRENSA NÚM. </w:t>
    </w:r>
    <w:r w:rsidR="005F1B90">
      <w:rPr>
        <w:rFonts w:cs="Arial"/>
        <w:b/>
        <w:color w:val="002060"/>
        <w:szCs w:val="24"/>
      </w:rPr>
      <w:t>87</w:t>
    </w:r>
    <w:r w:rsidRPr="00265B8C">
      <w:rPr>
        <w:rFonts w:cs="Arial"/>
        <w:b/>
        <w:color w:val="002060"/>
        <w:szCs w:val="24"/>
      </w:rPr>
      <w:t>/</w:t>
    </w:r>
    <w:r>
      <w:rPr>
        <w:rFonts w:cs="Arial"/>
        <w:b/>
        <w:color w:val="002060"/>
        <w:szCs w:val="24"/>
      </w:rPr>
      <w:t>22</w:t>
    </w:r>
  </w:p>
  <w:p w14:paraId="2B2100B5" w14:textId="77777777" w:rsidR="00841E11" w:rsidRPr="00265B8C" w:rsidRDefault="00841E11" w:rsidP="001B1505">
    <w:pPr>
      <w:pStyle w:val="Encabezado"/>
      <w:framePr w:w="5268" w:hSpace="141" w:wrap="auto" w:vAnchor="text" w:hAnchor="page" w:x="5838" w:y="34"/>
      <w:ind w:left="567" w:hanging="11"/>
      <w:jc w:val="right"/>
      <w:rPr>
        <w:rFonts w:cs="Arial"/>
        <w:b/>
        <w:color w:val="002060"/>
        <w:szCs w:val="24"/>
        <w:lang w:val="pt-BR"/>
      </w:rPr>
    </w:pPr>
    <w:r>
      <w:rPr>
        <w:rFonts w:cs="Arial"/>
        <w:b/>
        <w:color w:val="002060"/>
        <w:szCs w:val="24"/>
        <w:lang w:val="pt-BR"/>
      </w:rPr>
      <w:t xml:space="preserve">11 DE FEBRERO </w:t>
    </w:r>
    <w:r w:rsidRPr="00265B8C">
      <w:rPr>
        <w:rFonts w:cs="Arial"/>
        <w:b/>
        <w:color w:val="002060"/>
        <w:szCs w:val="24"/>
        <w:lang w:val="pt-BR"/>
      </w:rPr>
      <w:t>DE 20</w:t>
    </w:r>
    <w:r>
      <w:rPr>
        <w:rFonts w:cs="Arial"/>
        <w:b/>
        <w:color w:val="002060"/>
        <w:szCs w:val="24"/>
        <w:lang w:val="pt-BR"/>
      </w:rPr>
      <w:t>22</w:t>
    </w:r>
  </w:p>
  <w:p w14:paraId="2C24E9EF" w14:textId="4D5A7C6D" w:rsidR="00841E11" w:rsidRPr="00265B8C" w:rsidRDefault="00841E11" w:rsidP="001B1505">
    <w:pPr>
      <w:pStyle w:val="Encabezado"/>
      <w:framePr w:w="5268" w:hSpace="141" w:wrap="auto" w:vAnchor="text" w:hAnchor="page" w:x="5838" w:y="34"/>
      <w:ind w:left="567" w:hanging="11"/>
      <w:jc w:val="right"/>
      <w:rPr>
        <w:rFonts w:cs="Arial"/>
        <w:b/>
        <w:color w:val="002060"/>
        <w:szCs w:val="24"/>
        <w:lang w:val="pt-BR"/>
      </w:rPr>
    </w:pPr>
    <w:r w:rsidRPr="00265B8C">
      <w:rPr>
        <w:rFonts w:cs="Arial"/>
        <w:b/>
        <w:color w:val="002060"/>
        <w:szCs w:val="24"/>
        <w:lang w:val="pt-BR"/>
      </w:rPr>
      <w:t xml:space="preserve">PÁGINA </w:t>
    </w:r>
    <w:r w:rsidRPr="00265B8C">
      <w:rPr>
        <w:rFonts w:cs="Arial"/>
        <w:b/>
        <w:color w:val="002060"/>
        <w:szCs w:val="24"/>
      </w:rPr>
      <w:fldChar w:fldCharType="begin"/>
    </w:r>
    <w:r w:rsidRPr="00265B8C">
      <w:rPr>
        <w:rFonts w:cs="Arial"/>
        <w:b/>
        <w:color w:val="002060"/>
        <w:szCs w:val="24"/>
        <w:lang w:val="pt-BR"/>
      </w:rPr>
      <w:instrText xml:space="preserve">\PAGE </w:instrText>
    </w:r>
    <w:r w:rsidRPr="00265B8C">
      <w:rPr>
        <w:rFonts w:cs="Arial"/>
        <w:color w:val="002060"/>
        <w:szCs w:val="24"/>
      </w:rPr>
      <w:fldChar w:fldCharType="separate"/>
    </w:r>
    <w:r>
      <w:rPr>
        <w:rFonts w:cs="Arial"/>
        <w:b/>
        <w:noProof/>
        <w:color w:val="002060"/>
        <w:szCs w:val="24"/>
        <w:lang w:val="pt-BR"/>
      </w:rPr>
      <w:t>2</w:t>
    </w:r>
    <w:r w:rsidRPr="00265B8C">
      <w:rPr>
        <w:rFonts w:cs="Arial"/>
        <w:color w:val="002060"/>
        <w:szCs w:val="24"/>
      </w:rPr>
      <w:fldChar w:fldCharType="end"/>
    </w:r>
    <w:r w:rsidRPr="00265B8C">
      <w:rPr>
        <w:rFonts w:cs="Arial"/>
        <w:b/>
        <w:color w:val="002060"/>
        <w:szCs w:val="24"/>
        <w:lang w:val="pt-BR"/>
      </w:rPr>
      <w:t>/</w:t>
    </w:r>
    <w:r w:rsidR="006D3D10">
      <w:rPr>
        <w:rFonts w:cs="Arial"/>
        <w:b/>
        <w:color w:val="002060"/>
        <w:szCs w:val="24"/>
        <w:lang w:val="pt-BR"/>
      </w:rPr>
      <w:t>8</w:t>
    </w:r>
  </w:p>
  <w:p w14:paraId="1F2F48EC" w14:textId="77777777" w:rsidR="00841E11" w:rsidRDefault="00841E11" w:rsidP="00E50735">
    <w:pPr>
      <w:pStyle w:val="Encabezado"/>
      <w:ind w:left="-426"/>
    </w:pPr>
    <w:r>
      <w:rPr>
        <w:noProof/>
      </w:rPr>
      <w:drawing>
        <wp:inline distT="0" distB="0" distL="0" distR="0" wp14:anchorId="417EB226" wp14:editId="33210506">
          <wp:extent cx="844572" cy="87728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2455" cy="90624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3309" w14:textId="1D65BF23" w:rsidR="00ED7F21" w:rsidRDefault="00EE7736" w:rsidP="00841E11">
    <w:pPr>
      <w:pStyle w:val="Encabezado"/>
      <w:jc w:val="center"/>
    </w:pPr>
    <w:r>
      <w:rPr>
        <w:noProof/>
        <w:snapToGrid/>
        <w:lang w:val="es-MX" w:eastAsia="es-MX"/>
      </w:rPr>
      <w:drawing>
        <wp:inline distT="0" distB="0" distL="0" distR="0" wp14:anchorId="011E8C48" wp14:editId="0BF847CD">
          <wp:extent cx="928370" cy="964800"/>
          <wp:effectExtent l="0" t="0" r="5080" b="6985"/>
          <wp:docPr id="11" name="Imagen 11" descr="cid:image002.png@01D4B335.490B1A50"/>
          <wp:cNvGraphicFramePr/>
          <a:graphic xmlns:a="http://schemas.openxmlformats.org/drawingml/2006/main">
            <a:graphicData uri="http://schemas.openxmlformats.org/drawingml/2006/picture">
              <pic:pic xmlns:pic="http://schemas.openxmlformats.org/drawingml/2006/picture">
                <pic:nvPicPr>
                  <pic:cNvPr id="9" name="Imagen 9"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F6154"/>
    <w:multiLevelType w:val="hybridMultilevel"/>
    <w:tmpl w:val="F8C2B67C"/>
    <w:lvl w:ilvl="0" w:tplc="0C0A000F">
      <w:start w:val="1"/>
      <w:numFmt w:val="decimal"/>
      <w:lvlText w:val="%1."/>
      <w:lvlJc w:val="left"/>
      <w:pPr>
        <w:tabs>
          <w:tab w:val="num" w:pos="1723"/>
        </w:tabs>
        <w:ind w:left="1723" w:hanging="360"/>
      </w:pPr>
      <w:rPr>
        <w:rFonts w:hint="default"/>
      </w:rPr>
    </w:lvl>
    <w:lvl w:ilvl="1" w:tplc="EE9A14EA" w:tentative="1">
      <w:start w:val="1"/>
      <w:numFmt w:val="bullet"/>
      <w:lvlText w:val="o"/>
      <w:lvlJc w:val="left"/>
      <w:pPr>
        <w:tabs>
          <w:tab w:val="num" w:pos="2443"/>
        </w:tabs>
        <w:ind w:left="2443" w:hanging="360"/>
      </w:pPr>
      <w:rPr>
        <w:rFonts w:ascii="Courier New" w:hAnsi="Courier New" w:hint="default"/>
      </w:rPr>
    </w:lvl>
    <w:lvl w:ilvl="2" w:tplc="9E268D0A" w:tentative="1">
      <w:start w:val="1"/>
      <w:numFmt w:val="bullet"/>
      <w:lvlText w:val=""/>
      <w:lvlJc w:val="left"/>
      <w:pPr>
        <w:tabs>
          <w:tab w:val="num" w:pos="3163"/>
        </w:tabs>
        <w:ind w:left="3163" w:hanging="360"/>
      </w:pPr>
      <w:rPr>
        <w:rFonts w:ascii="Wingdings" w:hAnsi="Wingdings" w:hint="default"/>
      </w:rPr>
    </w:lvl>
    <w:lvl w:ilvl="3" w:tplc="370071DA" w:tentative="1">
      <w:start w:val="1"/>
      <w:numFmt w:val="bullet"/>
      <w:lvlText w:val=""/>
      <w:lvlJc w:val="left"/>
      <w:pPr>
        <w:tabs>
          <w:tab w:val="num" w:pos="3883"/>
        </w:tabs>
        <w:ind w:left="3883" w:hanging="360"/>
      </w:pPr>
      <w:rPr>
        <w:rFonts w:ascii="Symbol" w:hAnsi="Symbol" w:hint="default"/>
      </w:rPr>
    </w:lvl>
    <w:lvl w:ilvl="4" w:tplc="10CA57F8" w:tentative="1">
      <w:start w:val="1"/>
      <w:numFmt w:val="bullet"/>
      <w:lvlText w:val="o"/>
      <w:lvlJc w:val="left"/>
      <w:pPr>
        <w:tabs>
          <w:tab w:val="num" w:pos="4603"/>
        </w:tabs>
        <w:ind w:left="4603" w:hanging="360"/>
      </w:pPr>
      <w:rPr>
        <w:rFonts w:ascii="Courier New" w:hAnsi="Courier New" w:hint="default"/>
      </w:rPr>
    </w:lvl>
    <w:lvl w:ilvl="5" w:tplc="265CFD90" w:tentative="1">
      <w:start w:val="1"/>
      <w:numFmt w:val="bullet"/>
      <w:lvlText w:val=""/>
      <w:lvlJc w:val="left"/>
      <w:pPr>
        <w:tabs>
          <w:tab w:val="num" w:pos="5323"/>
        </w:tabs>
        <w:ind w:left="5323" w:hanging="360"/>
      </w:pPr>
      <w:rPr>
        <w:rFonts w:ascii="Wingdings" w:hAnsi="Wingdings" w:hint="default"/>
      </w:rPr>
    </w:lvl>
    <w:lvl w:ilvl="6" w:tplc="329CE5B0" w:tentative="1">
      <w:start w:val="1"/>
      <w:numFmt w:val="bullet"/>
      <w:lvlText w:val=""/>
      <w:lvlJc w:val="left"/>
      <w:pPr>
        <w:tabs>
          <w:tab w:val="num" w:pos="6043"/>
        </w:tabs>
        <w:ind w:left="6043" w:hanging="360"/>
      </w:pPr>
      <w:rPr>
        <w:rFonts w:ascii="Symbol" w:hAnsi="Symbol" w:hint="default"/>
      </w:rPr>
    </w:lvl>
    <w:lvl w:ilvl="7" w:tplc="55307596" w:tentative="1">
      <w:start w:val="1"/>
      <w:numFmt w:val="bullet"/>
      <w:lvlText w:val="o"/>
      <w:lvlJc w:val="left"/>
      <w:pPr>
        <w:tabs>
          <w:tab w:val="num" w:pos="6763"/>
        </w:tabs>
        <w:ind w:left="6763" w:hanging="360"/>
      </w:pPr>
      <w:rPr>
        <w:rFonts w:ascii="Courier New" w:hAnsi="Courier New" w:hint="default"/>
      </w:rPr>
    </w:lvl>
    <w:lvl w:ilvl="8" w:tplc="90BC1C8A" w:tentative="1">
      <w:start w:val="1"/>
      <w:numFmt w:val="bullet"/>
      <w:lvlText w:val=""/>
      <w:lvlJc w:val="left"/>
      <w:pPr>
        <w:tabs>
          <w:tab w:val="num" w:pos="7483"/>
        </w:tabs>
        <w:ind w:left="7483" w:hanging="360"/>
      </w:pPr>
      <w:rPr>
        <w:rFonts w:ascii="Wingdings" w:hAnsi="Wingdings" w:hint="default"/>
      </w:rPr>
    </w:lvl>
  </w:abstractNum>
  <w:abstractNum w:abstractNumId="2" w15:restartNumberingAfterBreak="0">
    <w:nsid w:val="032E1C26"/>
    <w:multiLevelType w:val="hybridMultilevel"/>
    <w:tmpl w:val="135E43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8153D73"/>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4" w15:restartNumberingAfterBreak="0">
    <w:nsid w:val="0CEB3457"/>
    <w:multiLevelType w:val="singleLevel"/>
    <w:tmpl w:val="A0EE693E"/>
    <w:lvl w:ilvl="0">
      <w:start w:val="1"/>
      <w:numFmt w:val="bullet"/>
      <w:lvlText w:val=""/>
      <w:lvlJc w:val="left"/>
      <w:pPr>
        <w:tabs>
          <w:tab w:val="num" w:pos="425"/>
        </w:tabs>
        <w:ind w:left="425" w:hanging="425"/>
      </w:pPr>
      <w:rPr>
        <w:rFonts w:ascii="Symbol" w:hAnsi="Symbol" w:hint="default"/>
        <w:sz w:val="30"/>
      </w:rPr>
    </w:lvl>
  </w:abstractNum>
  <w:abstractNum w:abstractNumId="5" w15:restartNumberingAfterBreak="0">
    <w:nsid w:val="0EA577A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E51F90"/>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FEE5E2F"/>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8" w15:restartNumberingAfterBreak="0">
    <w:nsid w:val="14DD10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DA2C5D"/>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0" w15:restartNumberingAfterBreak="0">
    <w:nsid w:val="19C67F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AF5619"/>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EAF5E0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743E34"/>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4" w15:restartNumberingAfterBreak="0">
    <w:nsid w:val="382931C1"/>
    <w:multiLevelType w:val="hybridMultilevel"/>
    <w:tmpl w:val="D04C7B3A"/>
    <w:lvl w:ilvl="0" w:tplc="9F307A02">
      <w:start w:val="1"/>
      <w:numFmt w:val="bullet"/>
      <w:lvlText w:val=""/>
      <w:lvlJc w:val="left"/>
      <w:pPr>
        <w:tabs>
          <w:tab w:val="num" w:pos="1723"/>
        </w:tabs>
        <w:ind w:left="1723" w:hanging="360"/>
      </w:pPr>
      <w:rPr>
        <w:rFonts w:ascii="Symbol" w:hAnsi="Symbol" w:hint="default"/>
      </w:rPr>
    </w:lvl>
    <w:lvl w:ilvl="1" w:tplc="3EC69A4A" w:tentative="1">
      <w:start w:val="1"/>
      <w:numFmt w:val="bullet"/>
      <w:lvlText w:val="o"/>
      <w:lvlJc w:val="left"/>
      <w:pPr>
        <w:tabs>
          <w:tab w:val="num" w:pos="2443"/>
        </w:tabs>
        <w:ind w:left="2443" w:hanging="360"/>
      </w:pPr>
      <w:rPr>
        <w:rFonts w:ascii="Courier New" w:hAnsi="Courier New" w:hint="default"/>
      </w:rPr>
    </w:lvl>
    <w:lvl w:ilvl="2" w:tplc="96084CCA" w:tentative="1">
      <w:start w:val="1"/>
      <w:numFmt w:val="bullet"/>
      <w:lvlText w:val=""/>
      <w:lvlJc w:val="left"/>
      <w:pPr>
        <w:tabs>
          <w:tab w:val="num" w:pos="3163"/>
        </w:tabs>
        <w:ind w:left="3163" w:hanging="360"/>
      </w:pPr>
      <w:rPr>
        <w:rFonts w:ascii="Wingdings" w:hAnsi="Wingdings" w:hint="default"/>
      </w:rPr>
    </w:lvl>
    <w:lvl w:ilvl="3" w:tplc="5D2CBF9A" w:tentative="1">
      <w:start w:val="1"/>
      <w:numFmt w:val="bullet"/>
      <w:lvlText w:val=""/>
      <w:lvlJc w:val="left"/>
      <w:pPr>
        <w:tabs>
          <w:tab w:val="num" w:pos="3883"/>
        </w:tabs>
        <w:ind w:left="3883" w:hanging="360"/>
      </w:pPr>
      <w:rPr>
        <w:rFonts w:ascii="Symbol" w:hAnsi="Symbol" w:hint="default"/>
      </w:rPr>
    </w:lvl>
    <w:lvl w:ilvl="4" w:tplc="08F64AC0" w:tentative="1">
      <w:start w:val="1"/>
      <w:numFmt w:val="bullet"/>
      <w:lvlText w:val="o"/>
      <w:lvlJc w:val="left"/>
      <w:pPr>
        <w:tabs>
          <w:tab w:val="num" w:pos="4603"/>
        </w:tabs>
        <w:ind w:left="4603" w:hanging="360"/>
      </w:pPr>
      <w:rPr>
        <w:rFonts w:ascii="Courier New" w:hAnsi="Courier New" w:hint="default"/>
      </w:rPr>
    </w:lvl>
    <w:lvl w:ilvl="5" w:tplc="0D607026" w:tentative="1">
      <w:start w:val="1"/>
      <w:numFmt w:val="bullet"/>
      <w:lvlText w:val=""/>
      <w:lvlJc w:val="left"/>
      <w:pPr>
        <w:tabs>
          <w:tab w:val="num" w:pos="5323"/>
        </w:tabs>
        <w:ind w:left="5323" w:hanging="360"/>
      </w:pPr>
      <w:rPr>
        <w:rFonts w:ascii="Wingdings" w:hAnsi="Wingdings" w:hint="default"/>
      </w:rPr>
    </w:lvl>
    <w:lvl w:ilvl="6" w:tplc="C45EBF0E" w:tentative="1">
      <w:start w:val="1"/>
      <w:numFmt w:val="bullet"/>
      <w:lvlText w:val=""/>
      <w:lvlJc w:val="left"/>
      <w:pPr>
        <w:tabs>
          <w:tab w:val="num" w:pos="6043"/>
        </w:tabs>
        <w:ind w:left="6043" w:hanging="360"/>
      </w:pPr>
      <w:rPr>
        <w:rFonts w:ascii="Symbol" w:hAnsi="Symbol" w:hint="default"/>
      </w:rPr>
    </w:lvl>
    <w:lvl w:ilvl="7" w:tplc="0D24A3FE" w:tentative="1">
      <w:start w:val="1"/>
      <w:numFmt w:val="bullet"/>
      <w:lvlText w:val="o"/>
      <w:lvlJc w:val="left"/>
      <w:pPr>
        <w:tabs>
          <w:tab w:val="num" w:pos="6763"/>
        </w:tabs>
        <w:ind w:left="6763" w:hanging="360"/>
      </w:pPr>
      <w:rPr>
        <w:rFonts w:ascii="Courier New" w:hAnsi="Courier New" w:hint="default"/>
      </w:rPr>
    </w:lvl>
    <w:lvl w:ilvl="8" w:tplc="D5F828E4" w:tentative="1">
      <w:start w:val="1"/>
      <w:numFmt w:val="bullet"/>
      <w:lvlText w:val=""/>
      <w:lvlJc w:val="left"/>
      <w:pPr>
        <w:tabs>
          <w:tab w:val="num" w:pos="7483"/>
        </w:tabs>
        <w:ind w:left="7483" w:hanging="360"/>
      </w:pPr>
      <w:rPr>
        <w:rFonts w:ascii="Wingdings" w:hAnsi="Wingdings" w:hint="default"/>
      </w:rPr>
    </w:lvl>
  </w:abstractNum>
  <w:abstractNum w:abstractNumId="15" w15:restartNumberingAfterBreak="0">
    <w:nsid w:val="4FF23182"/>
    <w:multiLevelType w:val="singleLevel"/>
    <w:tmpl w:val="AB6E1324"/>
    <w:lvl w:ilvl="0">
      <w:numFmt w:val="bullet"/>
      <w:lvlText w:val="-"/>
      <w:lvlJc w:val="left"/>
      <w:pPr>
        <w:tabs>
          <w:tab w:val="num" w:pos="473"/>
        </w:tabs>
        <w:ind w:left="454" w:hanging="341"/>
      </w:pPr>
      <w:rPr>
        <w:rFonts w:ascii="Times New Roman" w:hAnsi="Times New Roman" w:hint="default"/>
      </w:rPr>
    </w:lvl>
  </w:abstractNum>
  <w:abstractNum w:abstractNumId="16" w15:restartNumberingAfterBreak="0">
    <w:nsid w:val="51FB40AD"/>
    <w:multiLevelType w:val="singleLevel"/>
    <w:tmpl w:val="840EB14A"/>
    <w:lvl w:ilvl="0">
      <w:start w:val="1"/>
      <w:numFmt w:val="bullet"/>
      <w:pStyle w:val="bullet"/>
      <w:lvlText w:val=""/>
      <w:lvlJc w:val="left"/>
      <w:pPr>
        <w:tabs>
          <w:tab w:val="num" w:pos="2880"/>
        </w:tabs>
        <w:ind w:left="2880" w:hanging="360"/>
      </w:pPr>
      <w:rPr>
        <w:rFonts w:ascii="Symbol" w:hAnsi="Symbol" w:hint="default"/>
        <w:lang w:val="es-ES"/>
      </w:rPr>
    </w:lvl>
  </w:abstractNum>
  <w:abstractNum w:abstractNumId="17" w15:restartNumberingAfterBreak="0">
    <w:nsid w:val="580C7DE1"/>
    <w:multiLevelType w:val="hybridMultilevel"/>
    <w:tmpl w:val="F878B8EC"/>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8" w15:restartNumberingAfterBreak="0">
    <w:nsid w:val="6DAE7813"/>
    <w:multiLevelType w:val="hybridMultilevel"/>
    <w:tmpl w:val="9CC4BB0A"/>
    <w:lvl w:ilvl="0" w:tplc="080A0001">
      <w:start w:val="1"/>
      <w:numFmt w:val="bullet"/>
      <w:lvlText w:val=""/>
      <w:lvlJc w:val="left"/>
      <w:pPr>
        <w:ind w:left="2443" w:hanging="360"/>
      </w:pPr>
      <w:rPr>
        <w:rFonts w:ascii="Symbol" w:hAnsi="Symbol" w:hint="default"/>
      </w:rPr>
    </w:lvl>
    <w:lvl w:ilvl="1" w:tplc="080A0003" w:tentative="1">
      <w:start w:val="1"/>
      <w:numFmt w:val="bullet"/>
      <w:lvlText w:val="o"/>
      <w:lvlJc w:val="left"/>
      <w:pPr>
        <w:ind w:left="3163" w:hanging="360"/>
      </w:pPr>
      <w:rPr>
        <w:rFonts w:ascii="Courier New" w:hAnsi="Courier New" w:cs="Courier New" w:hint="default"/>
      </w:rPr>
    </w:lvl>
    <w:lvl w:ilvl="2" w:tplc="080A0005" w:tentative="1">
      <w:start w:val="1"/>
      <w:numFmt w:val="bullet"/>
      <w:lvlText w:val=""/>
      <w:lvlJc w:val="left"/>
      <w:pPr>
        <w:ind w:left="3883" w:hanging="360"/>
      </w:pPr>
      <w:rPr>
        <w:rFonts w:ascii="Wingdings" w:hAnsi="Wingdings" w:hint="default"/>
      </w:rPr>
    </w:lvl>
    <w:lvl w:ilvl="3" w:tplc="080A0001" w:tentative="1">
      <w:start w:val="1"/>
      <w:numFmt w:val="bullet"/>
      <w:lvlText w:val=""/>
      <w:lvlJc w:val="left"/>
      <w:pPr>
        <w:ind w:left="4603" w:hanging="360"/>
      </w:pPr>
      <w:rPr>
        <w:rFonts w:ascii="Symbol" w:hAnsi="Symbol" w:hint="default"/>
      </w:rPr>
    </w:lvl>
    <w:lvl w:ilvl="4" w:tplc="080A0003" w:tentative="1">
      <w:start w:val="1"/>
      <w:numFmt w:val="bullet"/>
      <w:lvlText w:val="o"/>
      <w:lvlJc w:val="left"/>
      <w:pPr>
        <w:ind w:left="5323" w:hanging="360"/>
      </w:pPr>
      <w:rPr>
        <w:rFonts w:ascii="Courier New" w:hAnsi="Courier New" w:cs="Courier New" w:hint="default"/>
      </w:rPr>
    </w:lvl>
    <w:lvl w:ilvl="5" w:tplc="080A0005" w:tentative="1">
      <w:start w:val="1"/>
      <w:numFmt w:val="bullet"/>
      <w:lvlText w:val=""/>
      <w:lvlJc w:val="left"/>
      <w:pPr>
        <w:ind w:left="6043" w:hanging="360"/>
      </w:pPr>
      <w:rPr>
        <w:rFonts w:ascii="Wingdings" w:hAnsi="Wingdings" w:hint="default"/>
      </w:rPr>
    </w:lvl>
    <w:lvl w:ilvl="6" w:tplc="080A0001" w:tentative="1">
      <w:start w:val="1"/>
      <w:numFmt w:val="bullet"/>
      <w:lvlText w:val=""/>
      <w:lvlJc w:val="left"/>
      <w:pPr>
        <w:ind w:left="6763" w:hanging="360"/>
      </w:pPr>
      <w:rPr>
        <w:rFonts w:ascii="Symbol" w:hAnsi="Symbol" w:hint="default"/>
      </w:rPr>
    </w:lvl>
    <w:lvl w:ilvl="7" w:tplc="080A0003" w:tentative="1">
      <w:start w:val="1"/>
      <w:numFmt w:val="bullet"/>
      <w:lvlText w:val="o"/>
      <w:lvlJc w:val="left"/>
      <w:pPr>
        <w:ind w:left="7483" w:hanging="360"/>
      </w:pPr>
      <w:rPr>
        <w:rFonts w:ascii="Courier New" w:hAnsi="Courier New" w:cs="Courier New" w:hint="default"/>
      </w:rPr>
    </w:lvl>
    <w:lvl w:ilvl="8" w:tplc="080A0005" w:tentative="1">
      <w:start w:val="1"/>
      <w:numFmt w:val="bullet"/>
      <w:lvlText w:val=""/>
      <w:lvlJc w:val="left"/>
      <w:pPr>
        <w:ind w:left="8203" w:hanging="360"/>
      </w:pPr>
      <w:rPr>
        <w:rFonts w:ascii="Wingdings" w:hAnsi="Wingdings" w:hint="default"/>
      </w:rPr>
    </w:lvl>
  </w:abstractNum>
  <w:abstractNum w:abstractNumId="19" w15:restartNumberingAfterBreak="0">
    <w:nsid w:val="7949275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4"/>
  </w:num>
  <w:num w:numId="3">
    <w:abstractNumId w:val="11"/>
  </w:num>
  <w:num w:numId="4">
    <w:abstractNumId w:val="15"/>
  </w:num>
  <w:num w:numId="5">
    <w:abstractNumId w:val="7"/>
  </w:num>
  <w:num w:numId="6">
    <w:abstractNumId w:val="3"/>
  </w:num>
  <w:num w:numId="7">
    <w:abstractNumId w:val="9"/>
  </w:num>
  <w:num w:numId="8">
    <w:abstractNumId w:val="13"/>
  </w:num>
  <w:num w:numId="9">
    <w:abstractNumId w:val="5"/>
  </w:num>
  <w:num w:numId="10">
    <w:abstractNumId w:val="8"/>
  </w:num>
  <w:num w:numId="11">
    <w:abstractNumId w:val="19"/>
  </w:num>
  <w:num w:numId="12">
    <w:abstractNumId w:val="6"/>
  </w:num>
  <w:num w:numId="13">
    <w:abstractNumId w:val="12"/>
  </w:num>
  <w:num w:numId="14">
    <w:abstractNumId w:val="14"/>
  </w:num>
  <w:num w:numId="15">
    <w:abstractNumId w:val="0"/>
    <w:lvlOverride w:ilvl="0">
      <w:lvl w:ilvl="0">
        <w:start w:val="1"/>
        <w:numFmt w:val="bullet"/>
        <w:lvlText w:val=""/>
        <w:legacy w:legacy="1" w:legacySpace="0" w:legacyIndent="360"/>
        <w:lvlJc w:val="left"/>
        <w:pPr>
          <w:ind w:left="2410" w:hanging="360"/>
        </w:pPr>
        <w:rPr>
          <w:rFonts w:ascii="Symbol" w:hAnsi="Symbol" w:hint="default"/>
        </w:rPr>
      </w:lvl>
    </w:lvlOverride>
  </w:num>
  <w:num w:numId="16">
    <w:abstractNumId w:val="1"/>
  </w:num>
  <w:num w:numId="17">
    <w:abstractNumId w:val="18"/>
  </w:num>
  <w:num w:numId="18">
    <w:abstractNumId w:val="2"/>
  </w:num>
  <w:num w:numId="19">
    <w:abstractNumId w:val="16"/>
  </w:num>
  <w:num w:numId="20">
    <w:abstractNumId w:val="16"/>
  </w:num>
  <w:num w:numId="21">
    <w:abstractNumId w:val="16"/>
  </w:num>
  <w:num w:numId="22">
    <w:abstractNumId w:val="16"/>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BR" w:vendorID="64" w:dllVersion="6" w:nlCheck="1" w:checkStyle="0"/>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932"/>
    <w:rsid w:val="0000095D"/>
    <w:rsid w:val="00000B43"/>
    <w:rsid w:val="00000B7F"/>
    <w:rsid w:val="00001B98"/>
    <w:rsid w:val="0000273F"/>
    <w:rsid w:val="00002C85"/>
    <w:rsid w:val="000031B0"/>
    <w:rsid w:val="00004215"/>
    <w:rsid w:val="000042EF"/>
    <w:rsid w:val="00004A7D"/>
    <w:rsid w:val="00006462"/>
    <w:rsid w:val="00006D11"/>
    <w:rsid w:val="00007DBD"/>
    <w:rsid w:val="0001024B"/>
    <w:rsid w:val="00010A05"/>
    <w:rsid w:val="00010A17"/>
    <w:rsid w:val="00010E0F"/>
    <w:rsid w:val="00010E74"/>
    <w:rsid w:val="00011964"/>
    <w:rsid w:val="00011D5B"/>
    <w:rsid w:val="00012228"/>
    <w:rsid w:val="00013DDD"/>
    <w:rsid w:val="00014EAF"/>
    <w:rsid w:val="00016611"/>
    <w:rsid w:val="00017666"/>
    <w:rsid w:val="00020298"/>
    <w:rsid w:val="0002056D"/>
    <w:rsid w:val="00020F4E"/>
    <w:rsid w:val="00021C68"/>
    <w:rsid w:val="00022153"/>
    <w:rsid w:val="00022907"/>
    <w:rsid w:val="00023E91"/>
    <w:rsid w:val="00025729"/>
    <w:rsid w:val="000260FB"/>
    <w:rsid w:val="00026733"/>
    <w:rsid w:val="0002692A"/>
    <w:rsid w:val="00031C3F"/>
    <w:rsid w:val="00032184"/>
    <w:rsid w:val="00032383"/>
    <w:rsid w:val="00032439"/>
    <w:rsid w:val="0003305A"/>
    <w:rsid w:val="0003385F"/>
    <w:rsid w:val="00034077"/>
    <w:rsid w:val="000347D1"/>
    <w:rsid w:val="00035555"/>
    <w:rsid w:val="00036F4A"/>
    <w:rsid w:val="00036FBF"/>
    <w:rsid w:val="00037A49"/>
    <w:rsid w:val="00040567"/>
    <w:rsid w:val="00040A88"/>
    <w:rsid w:val="00042146"/>
    <w:rsid w:val="000421BC"/>
    <w:rsid w:val="00042729"/>
    <w:rsid w:val="00042E12"/>
    <w:rsid w:val="000431DE"/>
    <w:rsid w:val="0004368D"/>
    <w:rsid w:val="0004453C"/>
    <w:rsid w:val="0004493F"/>
    <w:rsid w:val="000453DC"/>
    <w:rsid w:val="000463BE"/>
    <w:rsid w:val="00046715"/>
    <w:rsid w:val="00046B8A"/>
    <w:rsid w:val="00050F12"/>
    <w:rsid w:val="00051AA5"/>
    <w:rsid w:val="00052C69"/>
    <w:rsid w:val="00053780"/>
    <w:rsid w:val="00053A68"/>
    <w:rsid w:val="00054FD6"/>
    <w:rsid w:val="0005576F"/>
    <w:rsid w:val="00055E5F"/>
    <w:rsid w:val="00056149"/>
    <w:rsid w:val="00056554"/>
    <w:rsid w:val="00057C42"/>
    <w:rsid w:val="00057C43"/>
    <w:rsid w:val="000608A0"/>
    <w:rsid w:val="00060919"/>
    <w:rsid w:val="0006111A"/>
    <w:rsid w:val="00062558"/>
    <w:rsid w:val="00063635"/>
    <w:rsid w:val="00063D1D"/>
    <w:rsid w:val="00064294"/>
    <w:rsid w:val="000646E7"/>
    <w:rsid w:val="0006516A"/>
    <w:rsid w:val="00065DAB"/>
    <w:rsid w:val="00065F7A"/>
    <w:rsid w:val="00066103"/>
    <w:rsid w:val="000665D9"/>
    <w:rsid w:val="00066D7E"/>
    <w:rsid w:val="00066EB6"/>
    <w:rsid w:val="00067BFC"/>
    <w:rsid w:val="00067F2D"/>
    <w:rsid w:val="00070209"/>
    <w:rsid w:val="000716D7"/>
    <w:rsid w:val="0007442D"/>
    <w:rsid w:val="0007511A"/>
    <w:rsid w:val="00075A18"/>
    <w:rsid w:val="000762F8"/>
    <w:rsid w:val="000765F7"/>
    <w:rsid w:val="00077907"/>
    <w:rsid w:val="00080C47"/>
    <w:rsid w:val="00082002"/>
    <w:rsid w:val="000822A8"/>
    <w:rsid w:val="0008247B"/>
    <w:rsid w:val="00082F49"/>
    <w:rsid w:val="000840A0"/>
    <w:rsid w:val="00084FD7"/>
    <w:rsid w:val="00085BD9"/>
    <w:rsid w:val="00085FDB"/>
    <w:rsid w:val="00086740"/>
    <w:rsid w:val="000902C0"/>
    <w:rsid w:val="000904E6"/>
    <w:rsid w:val="00091999"/>
    <w:rsid w:val="00092ACB"/>
    <w:rsid w:val="00092B83"/>
    <w:rsid w:val="00092FD1"/>
    <w:rsid w:val="00093578"/>
    <w:rsid w:val="00093F8F"/>
    <w:rsid w:val="00094417"/>
    <w:rsid w:val="00094591"/>
    <w:rsid w:val="0009491E"/>
    <w:rsid w:val="00095DC6"/>
    <w:rsid w:val="0009654D"/>
    <w:rsid w:val="00097001"/>
    <w:rsid w:val="00097371"/>
    <w:rsid w:val="00097B7F"/>
    <w:rsid w:val="000A01BF"/>
    <w:rsid w:val="000A05A1"/>
    <w:rsid w:val="000A0B27"/>
    <w:rsid w:val="000A1488"/>
    <w:rsid w:val="000A14B3"/>
    <w:rsid w:val="000A1683"/>
    <w:rsid w:val="000A1890"/>
    <w:rsid w:val="000A2A4E"/>
    <w:rsid w:val="000A3A2B"/>
    <w:rsid w:val="000A3F3E"/>
    <w:rsid w:val="000A5880"/>
    <w:rsid w:val="000A5D51"/>
    <w:rsid w:val="000A6470"/>
    <w:rsid w:val="000A65FD"/>
    <w:rsid w:val="000A7204"/>
    <w:rsid w:val="000A79E7"/>
    <w:rsid w:val="000B0CE8"/>
    <w:rsid w:val="000B0EC9"/>
    <w:rsid w:val="000B139D"/>
    <w:rsid w:val="000B2120"/>
    <w:rsid w:val="000B3C5B"/>
    <w:rsid w:val="000B5E8A"/>
    <w:rsid w:val="000B6736"/>
    <w:rsid w:val="000B6AE5"/>
    <w:rsid w:val="000B7BED"/>
    <w:rsid w:val="000B7CFD"/>
    <w:rsid w:val="000C02F0"/>
    <w:rsid w:val="000C0467"/>
    <w:rsid w:val="000C0563"/>
    <w:rsid w:val="000C0A45"/>
    <w:rsid w:val="000C0C8A"/>
    <w:rsid w:val="000C117A"/>
    <w:rsid w:val="000C1B88"/>
    <w:rsid w:val="000C3595"/>
    <w:rsid w:val="000C3C44"/>
    <w:rsid w:val="000C4460"/>
    <w:rsid w:val="000C55BE"/>
    <w:rsid w:val="000C5772"/>
    <w:rsid w:val="000C5B89"/>
    <w:rsid w:val="000C648E"/>
    <w:rsid w:val="000C66BE"/>
    <w:rsid w:val="000C6E1B"/>
    <w:rsid w:val="000C72D9"/>
    <w:rsid w:val="000C7599"/>
    <w:rsid w:val="000C7999"/>
    <w:rsid w:val="000D08BB"/>
    <w:rsid w:val="000D0CC8"/>
    <w:rsid w:val="000D1A8E"/>
    <w:rsid w:val="000D3BA0"/>
    <w:rsid w:val="000D52C1"/>
    <w:rsid w:val="000D5529"/>
    <w:rsid w:val="000D5B24"/>
    <w:rsid w:val="000D6074"/>
    <w:rsid w:val="000D65E2"/>
    <w:rsid w:val="000D689B"/>
    <w:rsid w:val="000D6BD0"/>
    <w:rsid w:val="000D7CA3"/>
    <w:rsid w:val="000E0A62"/>
    <w:rsid w:val="000E1443"/>
    <w:rsid w:val="000E1A64"/>
    <w:rsid w:val="000E2C66"/>
    <w:rsid w:val="000E3033"/>
    <w:rsid w:val="000E4CA4"/>
    <w:rsid w:val="000F09D4"/>
    <w:rsid w:val="000F09F8"/>
    <w:rsid w:val="000F1108"/>
    <w:rsid w:val="000F14B9"/>
    <w:rsid w:val="000F1608"/>
    <w:rsid w:val="000F1839"/>
    <w:rsid w:val="000F2966"/>
    <w:rsid w:val="000F3D4A"/>
    <w:rsid w:val="000F3F47"/>
    <w:rsid w:val="000F4540"/>
    <w:rsid w:val="000F4658"/>
    <w:rsid w:val="000F5E17"/>
    <w:rsid w:val="000F611A"/>
    <w:rsid w:val="000F6657"/>
    <w:rsid w:val="000F682F"/>
    <w:rsid w:val="000F698B"/>
    <w:rsid w:val="000F79B9"/>
    <w:rsid w:val="000F7B11"/>
    <w:rsid w:val="001003A7"/>
    <w:rsid w:val="00101A58"/>
    <w:rsid w:val="00101BCD"/>
    <w:rsid w:val="00101CDA"/>
    <w:rsid w:val="001034D4"/>
    <w:rsid w:val="0010368E"/>
    <w:rsid w:val="00104C78"/>
    <w:rsid w:val="001073D8"/>
    <w:rsid w:val="001075CC"/>
    <w:rsid w:val="001108BF"/>
    <w:rsid w:val="00110B27"/>
    <w:rsid w:val="001115F7"/>
    <w:rsid w:val="001137CE"/>
    <w:rsid w:val="0011434C"/>
    <w:rsid w:val="00114CEC"/>
    <w:rsid w:val="001155C6"/>
    <w:rsid w:val="001156DE"/>
    <w:rsid w:val="0011585D"/>
    <w:rsid w:val="00115C1E"/>
    <w:rsid w:val="00116918"/>
    <w:rsid w:val="00116947"/>
    <w:rsid w:val="00117B09"/>
    <w:rsid w:val="00117C54"/>
    <w:rsid w:val="0012290F"/>
    <w:rsid w:val="00123379"/>
    <w:rsid w:val="001234A8"/>
    <w:rsid w:val="00123B68"/>
    <w:rsid w:val="00124A7D"/>
    <w:rsid w:val="00124BE8"/>
    <w:rsid w:val="00124D63"/>
    <w:rsid w:val="00124EC3"/>
    <w:rsid w:val="00125B7A"/>
    <w:rsid w:val="00125C98"/>
    <w:rsid w:val="00126D65"/>
    <w:rsid w:val="00127101"/>
    <w:rsid w:val="001277D8"/>
    <w:rsid w:val="0013012D"/>
    <w:rsid w:val="00130446"/>
    <w:rsid w:val="00130B75"/>
    <w:rsid w:val="00131392"/>
    <w:rsid w:val="00131E1A"/>
    <w:rsid w:val="00133E3A"/>
    <w:rsid w:val="00133E9C"/>
    <w:rsid w:val="0013459D"/>
    <w:rsid w:val="001345B1"/>
    <w:rsid w:val="00135030"/>
    <w:rsid w:val="00135483"/>
    <w:rsid w:val="0013782A"/>
    <w:rsid w:val="00137E78"/>
    <w:rsid w:val="00137F47"/>
    <w:rsid w:val="00140B6C"/>
    <w:rsid w:val="00141DAC"/>
    <w:rsid w:val="00142299"/>
    <w:rsid w:val="001428FF"/>
    <w:rsid w:val="00142921"/>
    <w:rsid w:val="0014557C"/>
    <w:rsid w:val="00145B63"/>
    <w:rsid w:val="001463C4"/>
    <w:rsid w:val="0014682B"/>
    <w:rsid w:val="0014693A"/>
    <w:rsid w:val="00146BEE"/>
    <w:rsid w:val="0014725A"/>
    <w:rsid w:val="00147908"/>
    <w:rsid w:val="00151522"/>
    <w:rsid w:val="0015270C"/>
    <w:rsid w:val="00152E6E"/>
    <w:rsid w:val="00153366"/>
    <w:rsid w:val="0015373F"/>
    <w:rsid w:val="001539EF"/>
    <w:rsid w:val="00154177"/>
    <w:rsid w:val="00154C05"/>
    <w:rsid w:val="00154C3B"/>
    <w:rsid w:val="001565E4"/>
    <w:rsid w:val="00156AAB"/>
    <w:rsid w:val="00156ABA"/>
    <w:rsid w:val="00156DF2"/>
    <w:rsid w:val="00160412"/>
    <w:rsid w:val="001605E8"/>
    <w:rsid w:val="0016074A"/>
    <w:rsid w:val="00160FAF"/>
    <w:rsid w:val="00160FB0"/>
    <w:rsid w:val="00163512"/>
    <w:rsid w:val="00163A8E"/>
    <w:rsid w:val="00163ADE"/>
    <w:rsid w:val="00163B3E"/>
    <w:rsid w:val="00163BA6"/>
    <w:rsid w:val="00164371"/>
    <w:rsid w:val="00164DA3"/>
    <w:rsid w:val="00165240"/>
    <w:rsid w:val="00165501"/>
    <w:rsid w:val="001658DB"/>
    <w:rsid w:val="001659D7"/>
    <w:rsid w:val="00165E9D"/>
    <w:rsid w:val="00166294"/>
    <w:rsid w:val="0016690F"/>
    <w:rsid w:val="0017122C"/>
    <w:rsid w:val="001727A6"/>
    <w:rsid w:val="00172F90"/>
    <w:rsid w:val="0017393E"/>
    <w:rsid w:val="00173FEA"/>
    <w:rsid w:val="00174978"/>
    <w:rsid w:val="0017506E"/>
    <w:rsid w:val="001755B3"/>
    <w:rsid w:val="0017620A"/>
    <w:rsid w:val="00180722"/>
    <w:rsid w:val="00182595"/>
    <w:rsid w:val="001828D6"/>
    <w:rsid w:val="00182A73"/>
    <w:rsid w:val="00182F89"/>
    <w:rsid w:val="00183844"/>
    <w:rsid w:val="00184160"/>
    <w:rsid w:val="0018416A"/>
    <w:rsid w:val="001842C5"/>
    <w:rsid w:val="00184D49"/>
    <w:rsid w:val="00185470"/>
    <w:rsid w:val="001855A5"/>
    <w:rsid w:val="001872D0"/>
    <w:rsid w:val="00191DEB"/>
    <w:rsid w:val="001921C8"/>
    <w:rsid w:val="00193057"/>
    <w:rsid w:val="00193ED8"/>
    <w:rsid w:val="001941AB"/>
    <w:rsid w:val="00194480"/>
    <w:rsid w:val="001951D5"/>
    <w:rsid w:val="001952C4"/>
    <w:rsid w:val="0019532A"/>
    <w:rsid w:val="00195865"/>
    <w:rsid w:val="001959B6"/>
    <w:rsid w:val="00195FEE"/>
    <w:rsid w:val="001960DA"/>
    <w:rsid w:val="00196671"/>
    <w:rsid w:val="001968B9"/>
    <w:rsid w:val="00196FF3"/>
    <w:rsid w:val="00197417"/>
    <w:rsid w:val="00197630"/>
    <w:rsid w:val="001A0B6A"/>
    <w:rsid w:val="001A1299"/>
    <w:rsid w:val="001A1DB8"/>
    <w:rsid w:val="001A25CF"/>
    <w:rsid w:val="001A3153"/>
    <w:rsid w:val="001A354D"/>
    <w:rsid w:val="001A37FC"/>
    <w:rsid w:val="001A445D"/>
    <w:rsid w:val="001A6C3B"/>
    <w:rsid w:val="001B0B3F"/>
    <w:rsid w:val="001B2B81"/>
    <w:rsid w:val="001B44BA"/>
    <w:rsid w:val="001B47AA"/>
    <w:rsid w:val="001B54C5"/>
    <w:rsid w:val="001B6801"/>
    <w:rsid w:val="001C04DF"/>
    <w:rsid w:val="001C0B53"/>
    <w:rsid w:val="001C0E25"/>
    <w:rsid w:val="001C1447"/>
    <w:rsid w:val="001C174A"/>
    <w:rsid w:val="001C1E2C"/>
    <w:rsid w:val="001C238D"/>
    <w:rsid w:val="001C293A"/>
    <w:rsid w:val="001C2D93"/>
    <w:rsid w:val="001C2FAA"/>
    <w:rsid w:val="001C3299"/>
    <w:rsid w:val="001C3DA9"/>
    <w:rsid w:val="001C4472"/>
    <w:rsid w:val="001C47A3"/>
    <w:rsid w:val="001C571C"/>
    <w:rsid w:val="001C5F5D"/>
    <w:rsid w:val="001C650B"/>
    <w:rsid w:val="001C6CD4"/>
    <w:rsid w:val="001C6FA7"/>
    <w:rsid w:val="001C7D21"/>
    <w:rsid w:val="001C7E8C"/>
    <w:rsid w:val="001D0373"/>
    <w:rsid w:val="001D0DC3"/>
    <w:rsid w:val="001D0F1A"/>
    <w:rsid w:val="001D0F96"/>
    <w:rsid w:val="001D23B8"/>
    <w:rsid w:val="001D2489"/>
    <w:rsid w:val="001D285D"/>
    <w:rsid w:val="001D3DBA"/>
    <w:rsid w:val="001D4C6B"/>
    <w:rsid w:val="001D51FE"/>
    <w:rsid w:val="001D5AB0"/>
    <w:rsid w:val="001D790A"/>
    <w:rsid w:val="001E037F"/>
    <w:rsid w:val="001E04EB"/>
    <w:rsid w:val="001E1370"/>
    <w:rsid w:val="001E1EC8"/>
    <w:rsid w:val="001E38C9"/>
    <w:rsid w:val="001E3B2F"/>
    <w:rsid w:val="001E4621"/>
    <w:rsid w:val="001E4A31"/>
    <w:rsid w:val="001E5C9B"/>
    <w:rsid w:val="001E5E68"/>
    <w:rsid w:val="001E7565"/>
    <w:rsid w:val="001F0892"/>
    <w:rsid w:val="001F08C2"/>
    <w:rsid w:val="001F0F09"/>
    <w:rsid w:val="001F2519"/>
    <w:rsid w:val="001F31F5"/>
    <w:rsid w:val="001F3CE5"/>
    <w:rsid w:val="001F40C7"/>
    <w:rsid w:val="001F421F"/>
    <w:rsid w:val="001F4249"/>
    <w:rsid w:val="001F4AB0"/>
    <w:rsid w:val="001F4F7E"/>
    <w:rsid w:val="001F562F"/>
    <w:rsid w:val="001F65DD"/>
    <w:rsid w:val="001F6D20"/>
    <w:rsid w:val="0020081F"/>
    <w:rsid w:val="002008C3"/>
    <w:rsid w:val="002025F0"/>
    <w:rsid w:val="0020266D"/>
    <w:rsid w:val="00202751"/>
    <w:rsid w:val="00203925"/>
    <w:rsid w:val="0020440D"/>
    <w:rsid w:val="0020475B"/>
    <w:rsid w:val="00205302"/>
    <w:rsid w:val="002058BB"/>
    <w:rsid w:val="00205C16"/>
    <w:rsid w:val="00205D6F"/>
    <w:rsid w:val="0020717A"/>
    <w:rsid w:val="0021095D"/>
    <w:rsid w:val="00211056"/>
    <w:rsid w:val="00211279"/>
    <w:rsid w:val="0021228E"/>
    <w:rsid w:val="00212EAE"/>
    <w:rsid w:val="002138EA"/>
    <w:rsid w:val="00213E5E"/>
    <w:rsid w:val="002146E9"/>
    <w:rsid w:val="00215360"/>
    <w:rsid w:val="002162C6"/>
    <w:rsid w:val="002169BE"/>
    <w:rsid w:val="00220359"/>
    <w:rsid w:val="00220BF2"/>
    <w:rsid w:val="0022177F"/>
    <w:rsid w:val="0022190B"/>
    <w:rsid w:val="00221C33"/>
    <w:rsid w:val="0022200C"/>
    <w:rsid w:val="002224F5"/>
    <w:rsid w:val="0022411B"/>
    <w:rsid w:val="002248CF"/>
    <w:rsid w:val="00224D24"/>
    <w:rsid w:val="00224D9E"/>
    <w:rsid w:val="00224EB0"/>
    <w:rsid w:val="00224FB2"/>
    <w:rsid w:val="00224FB9"/>
    <w:rsid w:val="00226C7F"/>
    <w:rsid w:val="00226F6C"/>
    <w:rsid w:val="0022727C"/>
    <w:rsid w:val="00227E7E"/>
    <w:rsid w:val="0023260C"/>
    <w:rsid w:val="00233847"/>
    <w:rsid w:val="00233E2A"/>
    <w:rsid w:val="00235175"/>
    <w:rsid w:val="00235FA3"/>
    <w:rsid w:val="002360C7"/>
    <w:rsid w:val="0023784B"/>
    <w:rsid w:val="0024100A"/>
    <w:rsid w:val="002424D2"/>
    <w:rsid w:val="00242B5F"/>
    <w:rsid w:val="00242C77"/>
    <w:rsid w:val="00242E13"/>
    <w:rsid w:val="0024346C"/>
    <w:rsid w:val="002435A0"/>
    <w:rsid w:val="00244BD7"/>
    <w:rsid w:val="00244E84"/>
    <w:rsid w:val="00245082"/>
    <w:rsid w:val="0024559C"/>
    <w:rsid w:val="002459F7"/>
    <w:rsid w:val="00246053"/>
    <w:rsid w:val="002466AB"/>
    <w:rsid w:val="00246C58"/>
    <w:rsid w:val="002470F9"/>
    <w:rsid w:val="00247E21"/>
    <w:rsid w:val="00250226"/>
    <w:rsid w:val="00250742"/>
    <w:rsid w:val="00250CC1"/>
    <w:rsid w:val="00250EAB"/>
    <w:rsid w:val="00251751"/>
    <w:rsid w:val="00252975"/>
    <w:rsid w:val="00252AEC"/>
    <w:rsid w:val="00252EBF"/>
    <w:rsid w:val="00253130"/>
    <w:rsid w:val="002547E9"/>
    <w:rsid w:val="00254AD4"/>
    <w:rsid w:val="00254DB3"/>
    <w:rsid w:val="00255291"/>
    <w:rsid w:val="00256602"/>
    <w:rsid w:val="0025719B"/>
    <w:rsid w:val="00257D9D"/>
    <w:rsid w:val="00257EBF"/>
    <w:rsid w:val="0026147C"/>
    <w:rsid w:val="002630F9"/>
    <w:rsid w:val="002637EF"/>
    <w:rsid w:val="00263FFB"/>
    <w:rsid w:val="00264161"/>
    <w:rsid w:val="00264275"/>
    <w:rsid w:val="0026446E"/>
    <w:rsid w:val="00264854"/>
    <w:rsid w:val="00264AA7"/>
    <w:rsid w:val="00264E1A"/>
    <w:rsid w:val="00266887"/>
    <w:rsid w:val="00266D08"/>
    <w:rsid w:val="00266FF3"/>
    <w:rsid w:val="00267023"/>
    <w:rsid w:val="002675F1"/>
    <w:rsid w:val="00270136"/>
    <w:rsid w:val="002702AB"/>
    <w:rsid w:val="00270671"/>
    <w:rsid w:val="00270B53"/>
    <w:rsid w:val="00270D15"/>
    <w:rsid w:val="00270D59"/>
    <w:rsid w:val="00273B19"/>
    <w:rsid w:val="00274992"/>
    <w:rsid w:val="00274C21"/>
    <w:rsid w:val="00276723"/>
    <w:rsid w:val="00280516"/>
    <w:rsid w:val="002809B3"/>
    <w:rsid w:val="002811AB"/>
    <w:rsid w:val="002827BF"/>
    <w:rsid w:val="00282BA0"/>
    <w:rsid w:val="00282F0A"/>
    <w:rsid w:val="002838A3"/>
    <w:rsid w:val="002839A5"/>
    <w:rsid w:val="00284B57"/>
    <w:rsid w:val="00285648"/>
    <w:rsid w:val="00285776"/>
    <w:rsid w:val="00286FAB"/>
    <w:rsid w:val="002906CF"/>
    <w:rsid w:val="00290C18"/>
    <w:rsid w:val="00291A28"/>
    <w:rsid w:val="00292FD6"/>
    <w:rsid w:val="002931C6"/>
    <w:rsid w:val="0029403F"/>
    <w:rsid w:val="00295148"/>
    <w:rsid w:val="002951C4"/>
    <w:rsid w:val="002959AC"/>
    <w:rsid w:val="00297DA6"/>
    <w:rsid w:val="002A0FCC"/>
    <w:rsid w:val="002A11AE"/>
    <w:rsid w:val="002A193C"/>
    <w:rsid w:val="002A200D"/>
    <w:rsid w:val="002A2685"/>
    <w:rsid w:val="002A2EBD"/>
    <w:rsid w:val="002A319B"/>
    <w:rsid w:val="002A3BC6"/>
    <w:rsid w:val="002A3E2D"/>
    <w:rsid w:val="002A5436"/>
    <w:rsid w:val="002A5908"/>
    <w:rsid w:val="002A5CBA"/>
    <w:rsid w:val="002A618E"/>
    <w:rsid w:val="002A7BB4"/>
    <w:rsid w:val="002A7D9C"/>
    <w:rsid w:val="002A7E45"/>
    <w:rsid w:val="002B0693"/>
    <w:rsid w:val="002B2CC0"/>
    <w:rsid w:val="002B2ED8"/>
    <w:rsid w:val="002B4B80"/>
    <w:rsid w:val="002B5511"/>
    <w:rsid w:val="002B612F"/>
    <w:rsid w:val="002B62C3"/>
    <w:rsid w:val="002B7440"/>
    <w:rsid w:val="002B77C7"/>
    <w:rsid w:val="002C06DB"/>
    <w:rsid w:val="002C1ADA"/>
    <w:rsid w:val="002C2B36"/>
    <w:rsid w:val="002C2C06"/>
    <w:rsid w:val="002C2D0F"/>
    <w:rsid w:val="002C42FE"/>
    <w:rsid w:val="002C4422"/>
    <w:rsid w:val="002C49C6"/>
    <w:rsid w:val="002C4C23"/>
    <w:rsid w:val="002C4D22"/>
    <w:rsid w:val="002C4FDC"/>
    <w:rsid w:val="002C6220"/>
    <w:rsid w:val="002C6984"/>
    <w:rsid w:val="002C760D"/>
    <w:rsid w:val="002D0297"/>
    <w:rsid w:val="002D0776"/>
    <w:rsid w:val="002D095F"/>
    <w:rsid w:val="002D0961"/>
    <w:rsid w:val="002D0B24"/>
    <w:rsid w:val="002D1DC1"/>
    <w:rsid w:val="002D32A6"/>
    <w:rsid w:val="002D4026"/>
    <w:rsid w:val="002D5B11"/>
    <w:rsid w:val="002D6429"/>
    <w:rsid w:val="002D674F"/>
    <w:rsid w:val="002D7483"/>
    <w:rsid w:val="002D7871"/>
    <w:rsid w:val="002E0016"/>
    <w:rsid w:val="002E03E4"/>
    <w:rsid w:val="002E0975"/>
    <w:rsid w:val="002E09E4"/>
    <w:rsid w:val="002E0BA8"/>
    <w:rsid w:val="002E0D7C"/>
    <w:rsid w:val="002E16A8"/>
    <w:rsid w:val="002E338D"/>
    <w:rsid w:val="002E38A7"/>
    <w:rsid w:val="002E5C03"/>
    <w:rsid w:val="002E6992"/>
    <w:rsid w:val="002E69B1"/>
    <w:rsid w:val="002E6BF3"/>
    <w:rsid w:val="002F05D2"/>
    <w:rsid w:val="002F10D1"/>
    <w:rsid w:val="002F1AE8"/>
    <w:rsid w:val="002F32B6"/>
    <w:rsid w:val="002F54B1"/>
    <w:rsid w:val="002F5CBA"/>
    <w:rsid w:val="002F6CDC"/>
    <w:rsid w:val="002F7030"/>
    <w:rsid w:val="002F7084"/>
    <w:rsid w:val="002F71B9"/>
    <w:rsid w:val="002F7886"/>
    <w:rsid w:val="00300F90"/>
    <w:rsid w:val="00301736"/>
    <w:rsid w:val="003017A8"/>
    <w:rsid w:val="003017F3"/>
    <w:rsid w:val="003019B3"/>
    <w:rsid w:val="00303261"/>
    <w:rsid w:val="00303D92"/>
    <w:rsid w:val="0030466A"/>
    <w:rsid w:val="003049D3"/>
    <w:rsid w:val="003051F6"/>
    <w:rsid w:val="00305ACD"/>
    <w:rsid w:val="003064AC"/>
    <w:rsid w:val="003071C4"/>
    <w:rsid w:val="00310117"/>
    <w:rsid w:val="00310639"/>
    <w:rsid w:val="0031097A"/>
    <w:rsid w:val="00311E4E"/>
    <w:rsid w:val="003126FC"/>
    <w:rsid w:val="0031289C"/>
    <w:rsid w:val="00312F79"/>
    <w:rsid w:val="00313D69"/>
    <w:rsid w:val="00314084"/>
    <w:rsid w:val="00314695"/>
    <w:rsid w:val="00314FD2"/>
    <w:rsid w:val="0031533D"/>
    <w:rsid w:val="0031638A"/>
    <w:rsid w:val="003165DA"/>
    <w:rsid w:val="00317317"/>
    <w:rsid w:val="0031796B"/>
    <w:rsid w:val="00320B4C"/>
    <w:rsid w:val="00320BDC"/>
    <w:rsid w:val="003217EB"/>
    <w:rsid w:val="00321AA4"/>
    <w:rsid w:val="00321EBD"/>
    <w:rsid w:val="0032269F"/>
    <w:rsid w:val="00322A57"/>
    <w:rsid w:val="00324510"/>
    <w:rsid w:val="0032465C"/>
    <w:rsid w:val="00325403"/>
    <w:rsid w:val="00325EE1"/>
    <w:rsid w:val="00326C03"/>
    <w:rsid w:val="0032723B"/>
    <w:rsid w:val="00327B6E"/>
    <w:rsid w:val="003301B9"/>
    <w:rsid w:val="00330E94"/>
    <w:rsid w:val="00330EEF"/>
    <w:rsid w:val="00332B0E"/>
    <w:rsid w:val="00332CB3"/>
    <w:rsid w:val="00333136"/>
    <w:rsid w:val="003355A5"/>
    <w:rsid w:val="00336DB7"/>
    <w:rsid w:val="00341B4F"/>
    <w:rsid w:val="00342B9B"/>
    <w:rsid w:val="0034311C"/>
    <w:rsid w:val="003432D5"/>
    <w:rsid w:val="003436A1"/>
    <w:rsid w:val="00343806"/>
    <w:rsid w:val="0034408C"/>
    <w:rsid w:val="0034441B"/>
    <w:rsid w:val="003448B9"/>
    <w:rsid w:val="0034499C"/>
    <w:rsid w:val="00344EEF"/>
    <w:rsid w:val="003457BF"/>
    <w:rsid w:val="00345BF5"/>
    <w:rsid w:val="00345D63"/>
    <w:rsid w:val="00345EFC"/>
    <w:rsid w:val="00347C6B"/>
    <w:rsid w:val="00347CEC"/>
    <w:rsid w:val="003508A7"/>
    <w:rsid w:val="0035148E"/>
    <w:rsid w:val="00351E22"/>
    <w:rsid w:val="00352EF1"/>
    <w:rsid w:val="00355AA0"/>
    <w:rsid w:val="00356EA1"/>
    <w:rsid w:val="00357B37"/>
    <w:rsid w:val="003607BA"/>
    <w:rsid w:val="00361A86"/>
    <w:rsid w:val="00362342"/>
    <w:rsid w:val="00363945"/>
    <w:rsid w:val="00364164"/>
    <w:rsid w:val="003648E6"/>
    <w:rsid w:val="00364DD1"/>
    <w:rsid w:val="003654CE"/>
    <w:rsid w:val="0036725F"/>
    <w:rsid w:val="0036737B"/>
    <w:rsid w:val="0037142D"/>
    <w:rsid w:val="00372AA8"/>
    <w:rsid w:val="00372D16"/>
    <w:rsid w:val="00373A0D"/>
    <w:rsid w:val="00373B78"/>
    <w:rsid w:val="00374008"/>
    <w:rsid w:val="003749F9"/>
    <w:rsid w:val="00375105"/>
    <w:rsid w:val="003756F0"/>
    <w:rsid w:val="0037698F"/>
    <w:rsid w:val="003776A6"/>
    <w:rsid w:val="00377A2F"/>
    <w:rsid w:val="003800CE"/>
    <w:rsid w:val="003803F8"/>
    <w:rsid w:val="00382278"/>
    <w:rsid w:val="0038296A"/>
    <w:rsid w:val="00383B1E"/>
    <w:rsid w:val="00383E97"/>
    <w:rsid w:val="00384033"/>
    <w:rsid w:val="00384C4B"/>
    <w:rsid w:val="00385592"/>
    <w:rsid w:val="003875B0"/>
    <w:rsid w:val="003908B4"/>
    <w:rsid w:val="003940F5"/>
    <w:rsid w:val="003942B3"/>
    <w:rsid w:val="00395E43"/>
    <w:rsid w:val="0039682E"/>
    <w:rsid w:val="00397686"/>
    <w:rsid w:val="00397F1E"/>
    <w:rsid w:val="003A089B"/>
    <w:rsid w:val="003A11AC"/>
    <w:rsid w:val="003A1460"/>
    <w:rsid w:val="003A1926"/>
    <w:rsid w:val="003A4479"/>
    <w:rsid w:val="003A5CCC"/>
    <w:rsid w:val="003A68A0"/>
    <w:rsid w:val="003A6C8A"/>
    <w:rsid w:val="003A771E"/>
    <w:rsid w:val="003B03BE"/>
    <w:rsid w:val="003B0AD6"/>
    <w:rsid w:val="003B0DD8"/>
    <w:rsid w:val="003B1119"/>
    <w:rsid w:val="003B1425"/>
    <w:rsid w:val="003B1DD8"/>
    <w:rsid w:val="003B2FDF"/>
    <w:rsid w:val="003B34C1"/>
    <w:rsid w:val="003B393F"/>
    <w:rsid w:val="003B3F7C"/>
    <w:rsid w:val="003B4D0E"/>
    <w:rsid w:val="003B5744"/>
    <w:rsid w:val="003B5EBA"/>
    <w:rsid w:val="003B5EFC"/>
    <w:rsid w:val="003B7917"/>
    <w:rsid w:val="003C05A9"/>
    <w:rsid w:val="003C0CBC"/>
    <w:rsid w:val="003C0DD4"/>
    <w:rsid w:val="003C0E46"/>
    <w:rsid w:val="003C0F02"/>
    <w:rsid w:val="003C11B7"/>
    <w:rsid w:val="003C1AAB"/>
    <w:rsid w:val="003C1CE6"/>
    <w:rsid w:val="003C208B"/>
    <w:rsid w:val="003C2468"/>
    <w:rsid w:val="003C26DF"/>
    <w:rsid w:val="003C2BB9"/>
    <w:rsid w:val="003C2CEF"/>
    <w:rsid w:val="003C3A86"/>
    <w:rsid w:val="003C3F85"/>
    <w:rsid w:val="003C41E9"/>
    <w:rsid w:val="003C49C0"/>
    <w:rsid w:val="003C59D0"/>
    <w:rsid w:val="003C6BC7"/>
    <w:rsid w:val="003C6D35"/>
    <w:rsid w:val="003C6E13"/>
    <w:rsid w:val="003C7068"/>
    <w:rsid w:val="003C79D1"/>
    <w:rsid w:val="003D2352"/>
    <w:rsid w:val="003D2E2E"/>
    <w:rsid w:val="003D2FF6"/>
    <w:rsid w:val="003D332D"/>
    <w:rsid w:val="003D37F6"/>
    <w:rsid w:val="003D454B"/>
    <w:rsid w:val="003D4609"/>
    <w:rsid w:val="003D547D"/>
    <w:rsid w:val="003D597A"/>
    <w:rsid w:val="003D5D7E"/>
    <w:rsid w:val="003D6094"/>
    <w:rsid w:val="003D7ECB"/>
    <w:rsid w:val="003E0003"/>
    <w:rsid w:val="003E0A19"/>
    <w:rsid w:val="003E0E64"/>
    <w:rsid w:val="003E21A3"/>
    <w:rsid w:val="003E429F"/>
    <w:rsid w:val="003E5022"/>
    <w:rsid w:val="003E5AB4"/>
    <w:rsid w:val="003E5B7F"/>
    <w:rsid w:val="003E6472"/>
    <w:rsid w:val="003E6BF7"/>
    <w:rsid w:val="003E6CFE"/>
    <w:rsid w:val="003E70D2"/>
    <w:rsid w:val="003E7E9B"/>
    <w:rsid w:val="003F07C4"/>
    <w:rsid w:val="003F1F31"/>
    <w:rsid w:val="003F26EB"/>
    <w:rsid w:val="003F286D"/>
    <w:rsid w:val="003F3DDA"/>
    <w:rsid w:val="003F4213"/>
    <w:rsid w:val="003F5A16"/>
    <w:rsid w:val="003F5F95"/>
    <w:rsid w:val="003F61DF"/>
    <w:rsid w:val="003F7972"/>
    <w:rsid w:val="003F7F13"/>
    <w:rsid w:val="00400D22"/>
    <w:rsid w:val="00402C6E"/>
    <w:rsid w:val="00404F61"/>
    <w:rsid w:val="004050E6"/>
    <w:rsid w:val="00405E0C"/>
    <w:rsid w:val="00406135"/>
    <w:rsid w:val="00406CAE"/>
    <w:rsid w:val="00407D79"/>
    <w:rsid w:val="00410113"/>
    <w:rsid w:val="00410A26"/>
    <w:rsid w:val="004113EA"/>
    <w:rsid w:val="00411831"/>
    <w:rsid w:val="00411C84"/>
    <w:rsid w:val="004123FA"/>
    <w:rsid w:val="004128A9"/>
    <w:rsid w:val="00412A71"/>
    <w:rsid w:val="00414288"/>
    <w:rsid w:val="00414C52"/>
    <w:rsid w:val="00414D41"/>
    <w:rsid w:val="00414D4F"/>
    <w:rsid w:val="00414D95"/>
    <w:rsid w:val="00415642"/>
    <w:rsid w:val="0041592A"/>
    <w:rsid w:val="004167CF"/>
    <w:rsid w:val="00416EF5"/>
    <w:rsid w:val="00420D3A"/>
    <w:rsid w:val="00420FAA"/>
    <w:rsid w:val="00423E11"/>
    <w:rsid w:val="00425B78"/>
    <w:rsid w:val="00426210"/>
    <w:rsid w:val="0042660A"/>
    <w:rsid w:val="004266CB"/>
    <w:rsid w:val="00426C76"/>
    <w:rsid w:val="004271AE"/>
    <w:rsid w:val="00427339"/>
    <w:rsid w:val="00430446"/>
    <w:rsid w:val="00430F48"/>
    <w:rsid w:val="004312CE"/>
    <w:rsid w:val="00431471"/>
    <w:rsid w:val="00432123"/>
    <w:rsid w:val="00432AB8"/>
    <w:rsid w:val="00432D29"/>
    <w:rsid w:val="004345E1"/>
    <w:rsid w:val="004348F2"/>
    <w:rsid w:val="0043529C"/>
    <w:rsid w:val="00435311"/>
    <w:rsid w:val="00435ABD"/>
    <w:rsid w:val="00435CE8"/>
    <w:rsid w:val="00435ED9"/>
    <w:rsid w:val="00436597"/>
    <w:rsid w:val="00436764"/>
    <w:rsid w:val="00436BD4"/>
    <w:rsid w:val="00436F4C"/>
    <w:rsid w:val="004372B2"/>
    <w:rsid w:val="00437B81"/>
    <w:rsid w:val="00437CE9"/>
    <w:rsid w:val="00440333"/>
    <w:rsid w:val="00440C7D"/>
    <w:rsid w:val="00440F43"/>
    <w:rsid w:val="004416AE"/>
    <w:rsid w:val="0044178B"/>
    <w:rsid w:val="00441E7E"/>
    <w:rsid w:val="0044275F"/>
    <w:rsid w:val="004438D7"/>
    <w:rsid w:val="00443B66"/>
    <w:rsid w:val="00444081"/>
    <w:rsid w:val="0044476B"/>
    <w:rsid w:val="00444DE7"/>
    <w:rsid w:val="00445596"/>
    <w:rsid w:val="004472C5"/>
    <w:rsid w:val="0044791B"/>
    <w:rsid w:val="0045072C"/>
    <w:rsid w:val="0045077C"/>
    <w:rsid w:val="00450A1D"/>
    <w:rsid w:val="00451EAB"/>
    <w:rsid w:val="0045354A"/>
    <w:rsid w:val="00454E0B"/>
    <w:rsid w:val="0045542B"/>
    <w:rsid w:val="00455FD3"/>
    <w:rsid w:val="004562E0"/>
    <w:rsid w:val="00456DB3"/>
    <w:rsid w:val="00457B8E"/>
    <w:rsid w:val="00460009"/>
    <w:rsid w:val="0046041A"/>
    <w:rsid w:val="004616D5"/>
    <w:rsid w:val="00461E1B"/>
    <w:rsid w:val="00462700"/>
    <w:rsid w:val="00462F9D"/>
    <w:rsid w:val="004631B0"/>
    <w:rsid w:val="00464699"/>
    <w:rsid w:val="00464A2A"/>
    <w:rsid w:val="00464AE0"/>
    <w:rsid w:val="00464EA7"/>
    <w:rsid w:val="00465C23"/>
    <w:rsid w:val="00465E65"/>
    <w:rsid w:val="004660AB"/>
    <w:rsid w:val="00466947"/>
    <w:rsid w:val="00466F8E"/>
    <w:rsid w:val="0046758B"/>
    <w:rsid w:val="00470194"/>
    <w:rsid w:val="00470A0A"/>
    <w:rsid w:val="00470E51"/>
    <w:rsid w:val="004716EC"/>
    <w:rsid w:val="00471966"/>
    <w:rsid w:val="00471D20"/>
    <w:rsid w:val="00474197"/>
    <w:rsid w:val="0047428D"/>
    <w:rsid w:val="0047475A"/>
    <w:rsid w:val="00475636"/>
    <w:rsid w:val="00476753"/>
    <w:rsid w:val="00476B79"/>
    <w:rsid w:val="00477330"/>
    <w:rsid w:val="0047780A"/>
    <w:rsid w:val="00477DA0"/>
    <w:rsid w:val="00481941"/>
    <w:rsid w:val="0048290E"/>
    <w:rsid w:val="00484747"/>
    <w:rsid w:val="00485392"/>
    <w:rsid w:val="0048557F"/>
    <w:rsid w:val="00485D93"/>
    <w:rsid w:val="0048617F"/>
    <w:rsid w:val="00486A37"/>
    <w:rsid w:val="00487616"/>
    <w:rsid w:val="0048795A"/>
    <w:rsid w:val="00493879"/>
    <w:rsid w:val="00494A1D"/>
    <w:rsid w:val="00495B96"/>
    <w:rsid w:val="00495F1D"/>
    <w:rsid w:val="004965A1"/>
    <w:rsid w:val="004966FD"/>
    <w:rsid w:val="00497EEB"/>
    <w:rsid w:val="004A01B4"/>
    <w:rsid w:val="004A06EA"/>
    <w:rsid w:val="004A0886"/>
    <w:rsid w:val="004A0903"/>
    <w:rsid w:val="004A1070"/>
    <w:rsid w:val="004A1116"/>
    <w:rsid w:val="004A15A1"/>
    <w:rsid w:val="004A1EB7"/>
    <w:rsid w:val="004A1F76"/>
    <w:rsid w:val="004A2DB7"/>
    <w:rsid w:val="004A57E5"/>
    <w:rsid w:val="004A5C0E"/>
    <w:rsid w:val="004A77F7"/>
    <w:rsid w:val="004B07AA"/>
    <w:rsid w:val="004B07DD"/>
    <w:rsid w:val="004B0F4B"/>
    <w:rsid w:val="004B14FA"/>
    <w:rsid w:val="004B28AA"/>
    <w:rsid w:val="004B367F"/>
    <w:rsid w:val="004B3E14"/>
    <w:rsid w:val="004B415E"/>
    <w:rsid w:val="004B469B"/>
    <w:rsid w:val="004B4752"/>
    <w:rsid w:val="004B5902"/>
    <w:rsid w:val="004B5A07"/>
    <w:rsid w:val="004B6896"/>
    <w:rsid w:val="004B6984"/>
    <w:rsid w:val="004B73D8"/>
    <w:rsid w:val="004B75E7"/>
    <w:rsid w:val="004B7EA1"/>
    <w:rsid w:val="004C13D9"/>
    <w:rsid w:val="004C1C7D"/>
    <w:rsid w:val="004C2120"/>
    <w:rsid w:val="004C3128"/>
    <w:rsid w:val="004C31F9"/>
    <w:rsid w:val="004C33C5"/>
    <w:rsid w:val="004C3DCB"/>
    <w:rsid w:val="004C4728"/>
    <w:rsid w:val="004C47B6"/>
    <w:rsid w:val="004C4EFE"/>
    <w:rsid w:val="004C5328"/>
    <w:rsid w:val="004C6374"/>
    <w:rsid w:val="004C6711"/>
    <w:rsid w:val="004D0BFA"/>
    <w:rsid w:val="004D11ED"/>
    <w:rsid w:val="004D33FE"/>
    <w:rsid w:val="004D4743"/>
    <w:rsid w:val="004D523F"/>
    <w:rsid w:val="004D56AE"/>
    <w:rsid w:val="004D5CC0"/>
    <w:rsid w:val="004D6671"/>
    <w:rsid w:val="004D71CA"/>
    <w:rsid w:val="004D7DFA"/>
    <w:rsid w:val="004E0EE9"/>
    <w:rsid w:val="004E1AD6"/>
    <w:rsid w:val="004E2107"/>
    <w:rsid w:val="004E2258"/>
    <w:rsid w:val="004E2936"/>
    <w:rsid w:val="004E293F"/>
    <w:rsid w:val="004E2992"/>
    <w:rsid w:val="004E2C52"/>
    <w:rsid w:val="004E2D37"/>
    <w:rsid w:val="004E2F4B"/>
    <w:rsid w:val="004E38F9"/>
    <w:rsid w:val="004E41E8"/>
    <w:rsid w:val="004E43A3"/>
    <w:rsid w:val="004E4E26"/>
    <w:rsid w:val="004E5A25"/>
    <w:rsid w:val="004E5C23"/>
    <w:rsid w:val="004E5C2A"/>
    <w:rsid w:val="004E65C6"/>
    <w:rsid w:val="004F1204"/>
    <w:rsid w:val="004F158A"/>
    <w:rsid w:val="004F190D"/>
    <w:rsid w:val="004F238A"/>
    <w:rsid w:val="004F277A"/>
    <w:rsid w:val="004F2ED1"/>
    <w:rsid w:val="004F3960"/>
    <w:rsid w:val="004F4CAC"/>
    <w:rsid w:val="004F6A71"/>
    <w:rsid w:val="004F72BD"/>
    <w:rsid w:val="004F7638"/>
    <w:rsid w:val="004F7831"/>
    <w:rsid w:val="004F7B3B"/>
    <w:rsid w:val="0050108D"/>
    <w:rsid w:val="005011F5"/>
    <w:rsid w:val="00501611"/>
    <w:rsid w:val="00501D3E"/>
    <w:rsid w:val="00502B16"/>
    <w:rsid w:val="00502EDC"/>
    <w:rsid w:val="00503D62"/>
    <w:rsid w:val="00503EFC"/>
    <w:rsid w:val="0050409D"/>
    <w:rsid w:val="00504E55"/>
    <w:rsid w:val="00506152"/>
    <w:rsid w:val="00506163"/>
    <w:rsid w:val="00506982"/>
    <w:rsid w:val="0050792E"/>
    <w:rsid w:val="00507AA6"/>
    <w:rsid w:val="005101E2"/>
    <w:rsid w:val="00510633"/>
    <w:rsid w:val="00511843"/>
    <w:rsid w:val="00511B25"/>
    <w:rsid w:val="00512EF4"/>
    <w:rsid w:val="00513A35"/>
    <w:rsid w:val="00513D71"/>
    <w:rsid w:val="005147E0"/>
    <w:rsid w:val="00514AB6"/>
    <w:rsid w:val="005161AA"/>
    <w:rsid w:val="00516344"/>
    <w:rsid w:val="005164F4"/>
    <w:rsid w:val="005169E7"/>
    <w:rsid w:val="00516B14"/>
    <w:rsid w:val="00516EA1"/>
    <w:rsid w:val="00517139"/>
    <w:rsid w:val="00517217"/>
    <w:rsid w:val="0051779D"/>
    <w:rsid w:val="00521189"/>
    <w:rsid w:val="00521DE1"/>
    <w:rsid w:val="00522342"/>
    <w:rsid w:val="00522BA0"/>
    <w:rsid w:val="00523933"/>
    <w:rsid w:val="0052399C"/>
    <w:rsid w:val="00523D11"/>
    <w:rsid w:val="00524D79"/>
    <w:rsid w:val="00525234"/>
    <w:rsid w:val="00526FDF"/>
    <w:rsid w:val="00527319"/>
    <w:rsid w:val="0052757F"/>
    <w:rsid w:val="005275BD"/>
    <w:rsid w:val="005279C9"/>
    <w:rsid w:val="00530004"/>
    <w:rsid w:val="0053018F"/>
    <w:rsid w:val="00530728"/>
    <w:rsid w:val="00531266"/>
    <w:rsid w:val="0053212F"/>
    <w:rsid w:val="00532609"/>
    <w:rsid w:val="00532DD2"/>
    <w:rsid w:val="0053359D"/>
    <w:rsid w:val="0053384B"/>
    <w:rsid w:val="00533A64"/>
    <w:rsid w:val="00534000"/>
    <w:rsid w:val="00534712"/>
    <w:rsid w:val="0053486B"/>
    <w:rsid w:val="005356CD"/>
    <w:rsid w:val="00540B70"/>
    <w:rsid w:val="00541409"/>
    <w:rsid w:val="005422C0"/>
    <w:rsid w:val="005433D1"/>
    <w:rsid w:val="0054406E"/>
    <w:rsid w:val="0054437B"/>
    <w:rsid w:val="0054498B"/>
    <w:rsid w:val="0054516D"/>
    <w:rsid w:val="00546867"/>
    <w:rsid w:val="00547F39"/>
    <w:rsid w:val="00550BD2"/>
    <w:rsid w:val="00550FE3"/>
    <w:rsid w:val="00551781"/>
    <w:rsid w:val="00551A14"/>
    <w:rsid w:val="00553061"/>
    <w:rsid w:val="00553238"/>
    <w:rsid w:val="00553B11"/>
    <w:rsid w:val="005564D5"/>
    <w:rsid w:val="00557764"/>
    <w:rsid w:val="0056041A"/>
    <w:rsid w:val="00560786"/>
    <w:rsid w:val="00561451"/>
    <w:rsid w:val="0056212B"/>
    <w:rsid w:val="0056286A"/>
    <w:rsid w:val="005637F0"/>
    <w:rsid w:val="0056486F"/>
    <w:rsid w:val="00564C1B"/>
    <w:rsid w:val="00566E02"/>
    <w:rsid w:val="00567CF2"/>
    <w:rsid w:val="00570AD3"/>
    <w:rsid w:val="00571094"/>
    <w:rsid w:val="0057122E"/>
    <w:rsid w:val="00571296"/>
    <w:rsid w:val="005722B3"/>
    <w:rsid w:val="00572AE8"/>
    <w:rsid w:val="00573E5B"/>
    <w:rsid w:val="005742E2"/>
    <w:rsid w:val="00574A91"/>
    <w:rsid w:val="00576B4B"/>
    <w:rsid w:val="00576B53"/>
    <w:rsid w:val="00580D5B"/>
    <w:rsid w:val="00580F60"/>
    <w:rsid w:val="005810BA"/>
    <w:rsid w:val="00581784"/>
    <w:rsid w:val="005831AC"/>
    <w:rsid w:val="005839E2"/>
    <w:rsid w:val="00584320"/>
    <w:rsid w:val="00585D34"/>
    <w:rsid w:val="0058659F"/>
    <w:rsid w:val="00586865"/>
    <w:rsid w:val="00586C54"/>
    <w:rsid w:val="00587110"/>
    <w:rsid w:val="0058720B"/>
    <w:rsid w:val="005878DD"/>
    <w:rsid w:val="00591115"/>
    <w:rsid w:val="005917F2"/>
    <w:rsid w:val="005919C0"/>
    <w:rsid w:val="0059268E"/>
    <w:rsid w:val="00592C7E"/>
    <w:rsid w:val="00592F4E"/>
    <w:rsid w:val="005931C4"/>
    <w:rsid w:val="00593434"/>
    <w:rsid w:val="00593452"/>
    <w:rsid w:val="00593A80"/>
    <w:rsid w:val="00593BE6"/>
    <w:rsid w:val="00593FC3"/>
    <w:rsid w:val="005944D8"/>
    <w:rsid w:val="00594CCB"/>
    <w:rsid w:val="00594DAE"/>
    <w:rsid w:val="00595DF8"/>
    <w:rsid w:val="005966B4"/>
    <w:rsid w:val="005967FD"/>
    <w:rsid w:val="00596D33"/>
    <w:rsid w:val="00597EBB"/>
    <w:rsid w:val="005A03EC"/>
    <w:rsid w:val="005A0BCC"/>
    <w:rsid w:val="005A1C93"/>
    <w:rsid w:val="005A207C"/>
    <w:rsid w:val="005A2537"/>
    <w:rsid w:val="005A2B89"/>
    <w:rsid w:val="005A30B8"/>
    <w:rsid w:val="005A31D9"/>
    <w:rsid w:val="005A374C"/>
    <w:rsid w:val="005A3B00"/>
    <w:rsid w:val="005A3C03"/>
    <w:rsid w:val="005A424B"/>
    <w:rsid w:val="005A4D85"/>
    <w:rsid w:val="005A6915"/>
    <w:rsid w:val="005A6BB7"/>
    <w:rsid w:val="005A70CD"/>
    <w:rsid w:val="005A7178"/>
    <w:rsid w:val="005A7320"/>
    <w:rsid w:val="005A7688"/>
    <w:rsid w:val="005A7814"/>
    <w:rsid w:val="005A7BC7"/>
    <w:rsid w:val="005B00EE"/>
    <w:rsid w:val="005B03C2"/>
    <w:rsid w:val="005B0AB9"/>
    <w:rsid w:val="005B145C"/>
    <w:rsid w:val="005B20E3"/>
    <w:rsid w:val="005B27C8"/>
    <w:rsid w:val="005B2EA1"/>
    <w:rsid w:val="005B4B9E"/>
    <w:rsid w:val="005B583B"/>
    <w:rsid w:val="005B623C"/>
    <w:rsid w:val="005B72C2"/>
    <w:rsid w:val="005C00AD"/>
    <w:rsid w:val="005C0FDA"/>
    <w:rsid w:val="005C1DA3"/>
    <w:rsid w:val="005C31CD"/>
    <w:rsid w:val="005C38B3"/>
    <w:rsid w:val="005C39E0"/>
    <w:rsid w:val="005C4A03"/>
    <w:rsid w:val="005C4DAB"/>
    <w:rsid w:val="005C4DE6"/>
    <w:rsid w:val="005C557E"/>
    <w:rsid w:val="005C785E"/>
    <w:rsid w:val="005C78F0"/>
    <w:rsid w:val="005D0B70"/>
    <w:rsid w:val="005D0ED9"/>
    <w:rsid w:val="005D1083"/>
    <w:rsid w:val="005D139A"/>
    <w:rsid w:val="005D1B51"/>
    <w:rsid w:val="005D2234"/>
    <w:rsid w:val="005D37EE"/>
    <w:rsid w:val="005D38FD"/>
    <w:rsid w:val="005D4B8D"/>
    <w:rsid w:val="005D4EE7"/>
    <w:rsid w:val="005D5BC0"/>
    <w:rsid w:val="005D6D2D"/>
    <w:rsid w:val="005D6E55"/>
    <w:rsid w:val="005D6E62"/>
    <w:rsid w:val="005E0A4B"/>
    <w:rsid w:val="005E108A"/>
    <w:rsid w:val="005E1212"/>
    <w:rsid w:val="005E12CC"/>
    <w:rsid w:val="005E1AEF"/>
    <w:rsid w:val="005E2390"/>
    <w:rsid w:val="005E34ED"/>
    <w:rsid w:val="005E3D6A"/>
    <w:rsid w:val="005E495F"/>
    <w:rsid w:val="005E4E0A"/>
    <w:rsid w:val="005F0583"/>
    <w:rsid w:val="005F0FE8"/>
    <w:rsid w:val="005F10C7"/>
    <w:rsid w:val="005F1825"/>
    <w:rsid w:val="005F1B90"/>
    <w:rsid w:val="005F2242"/>
    <w:rsid w:val="005F2323"/>
    <w:rsid w:val="005F24F7"/>
    <w:rsid w:val="005F2A44"/>
    <w:rsid w:val="005F44B8"/>
    <w:rsid w:val="005F47AF"/>
    <w:rsid w:val="005F4E66"/>
    <w:rsid w:val="005F5BE0"/>
    <w:rsid w:val="005F6204"/>
    <w:rsid w:val="005F6EA2"/>
    <w:rsid w:val="005F71A0"/>
    <w:rsid w:val="005F74E5"/>
    <w:rsid w:val="00600C18"/>
    <w:rsid w:val="00602B31"/>
    <w:rsid w:val="006046CC"/>
    <w:rsid w:val="00604C5D"/>
    <w:rsid w:val="0060516A"/>
    <w:rsid w:val="00605521"/>
    <w:rsid w:val="006055D1"/>
    <w:rsid w:val="00605777"/>
    <w:rsid w:val="00605AF7"/>
    <w:rsid w:val="006069DB"/>
    <w:rsid w:val="00607060"/>
    <w:rsid w:val="006074F5"/>
    <w:rsid w:val="00607EE6"/>
    <w:rsid w:val="00607F08"/>
    <w:rsid w:val="00610305"/>
    <w:rsid w:val="00610BEB"/>
    <w:rsid w:val="006110BE"/>
    <w:rsid w:val="00611760"/>
    <w:rsid w:val="006117A1"/>
    <w:rsid w:val="00611854"/>
    <w:rsid w:val="006127F1"/>
    <w:rsid w:val="006137F7"/>
    <w:rsid w:val="00613F44"/>
    <w:rsid w:val="006148EB"/>
    <w:rsid w:val="006150D5"/>
    <w:rsid w:val="00615F98"/>
    <w:rsid w:val="00617100"/>
    <w:rsid w:val="00617B33"/>
    <w:rsid w:val="00617DD6"/>
    <w:rsid w:val="0062029E"/>
    <w:rsid w:val="00620A21"/>
    <w:rsid w:val="00620FB4"/>
    <w:rsid w:val="0062100B"/>
    <w:rsid w:val="0062118C"/>
    <w:rsid w:val="006212BA"/>
    <w:rsid w:val="00621A3D"/>
    <w:rsid w:val="006230EF"/>
    <w:rsid w:val="00623130"/>
    <w:rsid w:val="00625111"/>
    <w:rsid w:val="00625C53"/>
    <w:rsid w:val="00625F58"/>
    <w:rsid w:val="006267F3"/>
    <w:rsid w:val="00626C5F"/>
    <w:rsid w:val="00627250"/>
    <w:rsid w:val="00627F10"/>
    <w:rsid w:val="00632CB2"/>
    <w:rsid w:val="00633202"/>
    <w:rsid w:val="00633E58"/>
    <w:rsid w:val="0063430F"/>
    <w:rsid w:val="006351A1"/>
    <w:rsid w:val="00636040"/>
    <w:rsid w:val="00636075"/>
    <w:rsid w:val="006367B0"/>
    <w:rsid w:val="006368A7"/>
    <w:rsid w:val="00636F2F"/>
    <w:rsid w:val="00637F84"/>
    <w:rsid w:val="00640DF7"/>
    <w:rsid w:val="006410E5"/>
    <w:rsid w:val="006420EC"/>
    <w:rsid w:val="00642525"/>
    <w:rsid w:val="0064258D"/>
    <w:rsid w:val="006428A4"/>
    <w:rsid w:val="0064312C"/>
    <w:rsid w:val="00644084"/>
    <w:rsid w:val="0064465A"/>
    <w:rsid w:val="00644753"/>
    <w:rsid w:val="00647BCA"/>
    <w:rsid w:val="00647C04"/>
    <w:rsid w:val="0065001F"/>
    <w:rsid w:val="006502A9"/>
    <w:rsid w:val="00650844"/>
    <w:rsid w:val="00651924"/>
    <w:rsid w:val="0065250A"/>
    <w:rsid w:val="00652A1A"/>
    <w:rsid w:val="00653061"/>
    <w:rsid w:val="0065362B"/>
    <w:rsid w:val="00653B08"/>
    <w:rsid w:val="00655B25"/>
    <w:rsid w:val="006575E8"/>
    <w:rsid w:val="006579AB"/>
    <w:rsid w:val="00657ACC"/>
    <w:rsid w:val="00661728"/>
    <w:rsid w:val="006622ED"/>
    <w:rsid w:val="00662B33"/>
    <w:rsid w:val="0066365A"/>
    <w:rsid w:val="00663848"/>
    <w:rsid w:val="00663A45"/>
    <w:rsid w:val="00663E20"/>
    <w:rsid w:val="00663E52"/>
    <w:rsid w:val="00664412"/>
    <w:rsid w:val="00665BB6"/>
    <w:rsid w:val="00665E26"/>
    <w:rsid w:val="00667F95"/>
    <w:rsid w:val="006701D0"/>
    <w:rsid w:val="00670395"/>
    <w:rsid w:val="006722F3"/>
    <w:rsid w:val="006735D7"/>
    <w:rsid w:val="0067437C"/>
    <w:rsid w:val="006746FC"/>
    <w:rsid w:val="00674FC1"/>
    <w:rsid w:val="00675004"/>
    <w:rsid w:val="00675B56"/>
    <w:rsid w:val="00676BB2"/>
    <w:rsid w:val="006779B9"/>
    <w:rsid w:val="00681209"/>
    <w:rsid w:val="00683118"/>
    <w:rsid w:val="00684BC9"/>
    <w:rsid w:val="0068542E"/>
    <w:rsid w:val="006855C9"/>
    <w:rsid w:val="00686624"/>
    <w:rsid w:val="00687B5C"/>
    <w:rsid w:val="0069304D"/>
    <w:rsid w:val="006937A9"/>
    <w:rsid w:val="00694362"/>
    <w:rsid w:val="00694975"/>
    <w:rsid w:val="00695AB9"/>
    <w:rsid w:val="00696C93"/>
    <w:rsid w:val="00696E69"/>
    <w:rsid w:val="00696F97"/>
    <w:rsid w:val="00697CA3"/>
    <w:rsid w:val="006A0138"/>
    <w:rsid w:val="006A03F8"/>
    <w:rsid w:val="006A0425"/>
    <w:rsid w:val="006A04BB"/>
    <w:rsid w:val="006A3CE8"/>
    <w:rsid w:val="006A423B"/>
    <w:rsid w:val="006A4B36"/>
    <w:rsid w:val="006A51DA"/>
    <w:rsid w:val="006A5A3D"/>
    <w:rsid w:val="006B018B"/>
    <w:rsid w:val="006B0FC3"/>
    <w:rsid w:val="006B146C"/>
    <w:rsid w:val="006B181A"/>
    <w:rsid w:val="006B2387"/>
    <w:rsid w:val="006B32C8"/>
    <w:rsid w:val="006B3C3E"/>
    <w:rsid w:val="006B4590"/>
    <w:rsid w:val="006B507A"/>
    <w:rsid w:val="006B532A"/>
    <w:rsid w:val="006B6668"/>
    <w:rsid w:val="006B675B"/>
    <w:rsid w:val="006C0102"/>
    <w:rsid w:val="006C056A"/>
    <w:rsid w:val="006C0C2F"/>
    <w:rsid w:val="006C18EB"/>
    <w:rsid w:val="006C1CE1"/>
    <w:rsid w:val="006C1EF4"/>
    <w:rsid w:val="006C2275"/>
    <w:rsid w:val="006C28EB"/>
    <w:rsid w:val="006C3028"/>
    <w:rsid w:val="006C37AF"/>
    <w:rsid w:val="006C4541"/>
    <w:rsid w:val="006C45AB"/>
    <w:rsid w:val="006C56B9"/>
    <w:rsid w:val="006C6016"/>
    <w:rsid w:val="006C6B2D"/>
    <w:rsid w:val="006C7ED9"/>
    <w:rsid w:val="006D0932"/>
    <w:rsid w:val="006D09E3"/>
    <w:rsid w:val="006D2107"/>
    <w:rsid w:val="006D21C8"/>
    <w:rsid w:val="006D39DF"/>
    <w:rsid w:val="006D3D10"/>
    <w:rsid w:val="006D46DD"/>
    <w:rsid w:val="006D4830"/>
    <w:rsid w:val="006D51B1"/>
    <w:rsid w:val="006D603B"/>
    <w:rsid w:val="006D6543"/>
    <w:rsid w:val="006D686E"/>
    <w:rsid w:val="006D766C"/>
    <w:rsid w:val="006D7CE5"/>
    <w:rsid w:val="006D7D71"/>
    <w:rsid w:val="006E01F9"/>
    <w:rsid w:val="006E07CE"/>
    <w:rsid w:val="006E2C9F"/>
    <w:rsid w:val="006E3293"/>
    <w:rsid w:val="006E32FF"/>
    <w:rsid w:val="006E4801"/>
    <w:rsid w:val="006F0480"/>
    <w:rsid w:val="006F049A"/>
    <w:rsid w:val="006F0B47"/>
    <w:rsid w:val="006F282A"/>
    <w:rsid w:val="006F2EB0"/>
    <w:rsid w:val="006F34B5"/>
    <w:rsid w:val="006F365B"/>
    <w:rsid w:val="006F48F0"/>
    <w:rsid w:val="006F4D99"/>
    <w:rsid w:val="006F550A"/>
    <w:rsid w:val="006F5982"/>
    <w:rsid w:val="006F59CE"/>
    <w:rsid w:val="006F5B68"/>
    <w:rsid w:val="006F5FEC"/>
    <w:rsid w:val="006F65B7"/>
    <w:rsid w:val="006F679A"/>
    <w:rsid w:val="006F6DCA"/>
    <w:rsid w:val="006F7955"/>
    <w:rsid w:val="006F7BD8"/>
    <w:rsid w:val="006F7EF0"/>
    <w:rsid w:val="00700FAA"/>
    <w:rsid w:val="00701130"/>
    <w:rsid w:val="007023C4"/>
    <w:rsid w:val="00702E27"/>
    <w:rsid w:val="00704792"/>
    <w:rsid w:val="00705B70"/>
    <w:rsid w:val="00706053"/>
    <w:rsid w:val="00706A2F"/>
    <w:rsid w:val="0070717E"/>
    <w:rsid w:val="007077A2"/>
    <w:rsid w:val="00711666"/>
    <w:rsid w:val="00711A23"/>
    <w:rsid w:val="00712CE6"/>
    <w:rsid w:val="0071650C"/>
    <w:rsid w:val="007204A4"/>
    <w:rsid w:val="00720BB1"/>
    <w:rsid w:val="00721FE0"/>
    <w:rsid w:val="00722749"/>
    <w:rsid w:val="007241D6"/>
    <w:rsid w:val="0072433D"/>
    <w:rsid w:val="00724DAC"/>
    <w:rsid w:val="0072547D"/>
    <w:rsid w:val="007257B2"/>
    <w:rsid w:val="007258D6"/>
    <w:rsid w:val="00727395"/>
    <w:rsid w:val="00727717"/>
    <w:rsid w:val="0073062A"/>
    <w:rsid w:val="007308B4"/>
    <w:rsid w:val="00731CE3"/>
    <w:rsid w:val="00732A9E"/>
    <w:rsid w:val="00732BAB"/>
    <w:rsid w:val="00732F75"/>
    <w:rsid w:val="007337FE"/>
    <w:rsid w:val="007350FE"/>
    <w:rsid w:val="00735900"/>
    <w:rsid w:val="00735958"/>
    <w:rsid w:val="00735FD9"/>
    <w:rsid w:val="0073614A"/>
    <w:rsid w:val="00736321"/>
    <w:rsid w:val="0073664C"/>
    <w:rsid w:val="00736975"/>
    <w:rsid w:val="00740366"/>
    <w:rsid w:val="00740823"/>
    <w:rsid w:val="00740E5D"/>
    <w:rsid w:val="007412A8"/>
    <w:rsid w:val="00741613"/>
    <w:rsid w:val="00743186"/>
    <w:rsid w:val="00743284"/>
    <w:rsid w:val="007439C5"/>
    <w:rsid w:val="00743E85"/>
    <w:rsid w:val="007449C3"/>
    <w:rsid w:val="0074566D"/>
    <w:rsid w:val="007469A1"/>
    <w:rsid w:val="00746CFB"/>
    <w:rsid w:val="007474DC"/>
    <w:rsid w:val="0074780E"/>
    <w:rsid w:val="007478BB"/>
    <w:rsid w:val="007510CC"/>
    <w:rsid w:val="007532EA"/>
    <w:rsid w:val="0075369F"/>
    <w:rsid w:val="00754959"/>
    <w:rsid w:val="00755735"/>
    <w:rsid w:val="00756E31"/>
    <w:rsid w:val="007571D0"/>
    <w:rsid w:val="0076027B"/>
    <w:rsid w:val="007604E5"/>
    <w:rsid w:val="00761FA1"/>
    <w:rsid w:val="0076264A"/>
    <w:rsid w:val="00763739"/>
    <w:rsid w:val="00764049"/>
    <w:rsid w:val="007643A1"/>
    <w:rsid w:val="00765F33"/>
    <w:rsid w:val="00767281"/>
    <w:rsid w:val="007672DC"/>
    <w:rsid w:val="0077014C"/>
    <w:rsid w:val="007711FA"/>
    <w:rsid w:val="00771EE3"/>
    <w:rsid w:val="007721F2"/>
    <w:rsid w:val="007723EF"/>
    <w:rsid w:val="00772DF9"/>
    <w:rsid w:val="007759A3"/>
    <w:rsid w:val="00777019"/>
    <w:rsid w:val="0077766F"/>
    <w:rsid w:val="00777A38"/>
    <w:rsid w:val="007802A0"/>
    <w:rsid w:val="007806B1"/>
    <w:rsid w:val="0078074B"/>
    <w:rsid w:val="0078084B"/>
    <w:rsid w:val="00780B2D"/>
    <w:rsid w:val="007813EB"/>
    <w:rsid w:val="007826BC"/>
    <w:rsid w:val="007827D6"/>
    <w:rsid w:val="00782BC4"/>
    <w:rsid w:val="007832A3"/>
    <w:rsid w:val="007832AE"/>
    <w:rsid w:val="00783C8B"/>
    <w:rsid w:val="00783FE4"/>
    <w:rsid w:val="007845C3"/>
    <w:rsid w:val="00784EBF"/>
    <w:rsid w:val="0078707D"/>
    <w:rsid w:val="0078723F"/>
    <w:rsid w:val="00787848"/>
    <w:rsid w:val="00790628"/>
    <w:rsid w:val="0079123A"/>
    <w:rsid w:val="007913A4"/>
    <w:rsid w:val="007924D8"/>
    <w:rsid w:val="00794337"/>
    <w:rsid w:val="0079454D"/>
    <w:rsid w:val="00794C9B"/>
    <w:rsid w:val="00794D61"/>
    <w:rsid w:val="00794E20"/>
    <w:rsid w:val="00794EAF"/>
    <w:rsid w:val="007956FA"/>
    <w:rsid w:val="00796042"/>
    <w:rsid w:val="00796172"/>
    <w:rsid w:val="0079635D"/>
    <w:rsid w:val="00796733"/>
    <w:rsid w:val="007972EF"/>
    <w:rsid w:val="00797483"/>
    <w:rsid w:val="00797B1F"/>
    <w:rsid w:val="007A074A"/>
    <w:rsid w:val="007A1B23"/>
    <w:rsid w:val="007A1FED"/>
    <w:rsid w:val="007A2330"/>
    <w:rsid w:val="007A274F"/>
    <w:rsid w:val="007A2853"/>
    <w:rsid w:val="007A2930"/>
    <w:rsid w:val="007A2D6E"/>
    <w:rsid w:val="007A3B68"/>
    <w:rsid w:val="007A3D45"/>
    <w:rsid w:val="007A5CDB"/>
    <w:rsid w:val="007B0CFC"/>
    <w:rsid w:val="007B4836"/>
    <w:rsid w:val="007B792A"/>
    <w:rsid w:val="007C014F"/>
    <w:rsid w:val="007C02BB"/>
    <w:rsid w:val="007C1564"/>
    <w:rsid w:val="007C22A0"/>
    <w:rsid w:val="007C2F3B"/>
    <w:rsid w:val="007C3D6F"/>
    <w:rsid w:val="007C50D5"/>
    <w:rsid w:val="007C538D"/>
    <w:rsid w:val="007C5C47"/>
    <w:rsid w:val="007C631D"/>
    <w:rsid w:val="007C68EA"/>
    <w:rsid w:val="007C72B2"/>
    <w:rsid w:val="007C7A5E"/>
    <w:rsid w:val="007C7F3C"/>
    <w:rsid w:val="007D03E5"/>
    <w:rsid w:val="007D056D"/>
    <w:rsid w:val="007D13A3"/>
    <w:rsid w:val="007D1C13"/>
    <w:rsid w:val="007D1FB1"/>
    <w:rsid w:val="007D1FB9"/>
    <w:rsid w:val="007D245E"/>
    <w:rsid w:val="007D497B"/>
    <w:rsid w:val="007D6533"/>
    <w:rsid w:val="007D722B"/>
    <w:rsid w:val="007D7692"/>
    <w:rsid w:val="007D78F4"/>
    <w:rsid w:val="007D7BAE"/>
    <w:rsid w:val="007E10AE"/>
    <w:rsid w:val="007E179D"/>
    <w:rsid w:val="007E20BF"/>
    <w:rsid w:val="007E312B"/>
    <w:rsid w:val="007E464F"/>
    <w:rsid w:val="007E4E58"/>
    <w:rsid w:val="007E5C33"/>
    <w:rsid w:val="007E6536"/>
    <w:rsid w:val="007E74B0"/>
    <w:rsid w:val="007E757C"/>
    <w:rsid w:val="007E77FB"/>
    <w:rsid w:val="007E78E4"/>
    <w:rsid w:val="007E7CFD"/>
    <w:rsid w:val="007F06A5"/>
    <w:rsid w:val="007F0801"/>
    <w:rsid w:val="007F097A"/>
    <w:rsid w:val="007F103D"/>
    <w:rsid w:val="007F120B"/>
    <w:rsid w:val="007F14AD"/>
    <w:rsid w:val="007F18D2"/>
    <w:rsid w:val="007F1D2F"/>
    <w:rsid w:val="007F1E23"/>
    <w:rsid w:val="007F2527"/>
    <w:rsid w:val="007F27DB"/>
    <w:rsid w:val="007F2B89"/>
    <w:rsid w:val="007F33C3"/>
    <w:rsid w:val="007F4398"/>
    <w:rsid w:val="007F485F"/>
    <w:rsid w:val="007F4944"/>
    <w:rsid w:val="007F4C82"/>
    <w:rsid w:val="007F4CA3"/>
    <w:rsid w:val="007F5F56"/>
    <w:rsid w:val="007F632D"/>
    <w:rsid w:val="007F659A"/>
    <w:rsid w:val="007F6D0D"/>
    <w:rsid w:val="007F6F0F"/>
    <w:rsid w:val="007F777C"/>
    <w:rsid w:val="007F7D90"/>
    <w:rsid w:val="007F7F07"/>
    <w:rsid w:val="00800997"/>
    <w:rsid w:val="008009A8"/>
    <w:rsid w:val="00800B8D"/>
    <w:rsid w:val="00800F4A"/>
    <w:rsid w:val="008018B9"/>
    <w:rsid w:val="00801F25"/>
    <w:rsid w:val="00802742"/>
    <w:rsid w:val="00802A0D"/>
    <w:rsid w:val="008037C0"/>
    <w:rsid w:val="00803CD7"/>
    <w:rsid w:val="00804609"/>
    <w:rsid w:val="00804D33"/>
    <w:rsid w:val="00805B04"/>
    <w:rsid w:val="00807CE4"/>
    <w:rsid w:val="008108E6"/>
    <w:rsid w:val="0081092F"/>
    <w:rsid w:val="00810D0B"/>
    <w:rsid w:val="0081290E"/>
    <w:rsid w:val="00813B73"/>
    <w:rsid w:val="00814593"/>
    <w:rsid w:val="008154C7"/>
    <w:rsid w:val="00816A34"/>
    <w:rsid w:val="008176A5"/>
    <w:rsid w:val="008179DA"/>
    <w:rsid w:val="0082062B"/>
    <w:rsid w:val="00820E64"/>
    <w:rsid w:val="00821473"/>
    <w:rsid w:val="00821D7B"/>
    <w:rsid w:val="00821E63"/>
    <w:rsid w:val="00824F7D"/>
    <w:rsid w:val="0082654E"/>
    <w:rsid w:val="00826F21"/>
    <w:rsid w:val="00827150"/>
    <w:rsid w:val="0083018E"/>
    <w:rsid w:val="008305ED"/>
    <w:rsid w:val="00830B33"/>
    <w:rsid w:val="00831C5E"/>
    <w:rsid w:val="008327AF"/>
    <w:rsid w:val="008332A1"/>
    <w:rsid w:val="008343AB"/>
    <w:rsid w:val="00834422"/>
    <w:rsid w:val="00834932"/>
    <w:rsid w:val="00835077"/>
    <w:rsid w:val="008361BD"/>
    <w:rsid w:val="00836AB3"/>
    <w:rsid w:val="00836CBE"/>
    <w:rsid w:val="00837D77"/>
    <w:rsid w:val="00840810"/>
    <w:rsid w:val="008409A8"/>
    <w:rsid w:val="0084117A"/>
    <w:rsid w:val="00841E11"/>
    <w:rsid w:val="00842C66"/>
    <w:rsid w:val="008440AA"/>
    <w:rsid w:val="00844799"/>
    <w:rsid w:val="00844FDF"/>
    <w:rsid w:val="0084527E"/>
    <w:rsid w:val="008452B0"/>
    <w:rsid w:val="0084664C"/>
    <w:rsid w:val="0084694C"/>
    <w:rsid w:val="008469A7"/>
    <w:rsid w:val="00846C7F"/>
    <w:rsid w:val="0084752F"/>
    <w:rsid w:val="008477DE"/>
    <w:rsid w:val="00847CE2"/>
    <w:rsid w:val="00850902"/>
    <w:rsid w:val="0085151E"/>
    <w:rsid w:val="00851E37"/>
    <w:rsid w:val="00852456"/>
    <w:rsid w:val="0085250F"/>
    <w:rsid w:val="008529BD"/>
    <w:rsid w:val="00852E45"/>
    <w:rsid w:val="008540F9"/>
    <w:rsid w:val="00854171"/>
    <w:rsid w:val="00854398"/>
    <w:rsid w:val="008543E4"/>
    <w:rsid w:val="00854646"/>
    <w:rsid w:val="008552D9"/>
    <w:rsid w:val="00857715"/>
    <w:rsid w:val="00857967"/>
    <w:rsid w:val="008602B4"/>
    <w:rsid w:val="008605B6"/>
    <w:rsid w:val="00861303"/>
    <w:rsid w:val="00861B8C"/>
    <w:rsid w:val="00862EC8"/>
    <w:rsid w:val="00863666"/>
    <w:rsid w:val="00863A91"/>
    <w:rsid w:val="00863D05"/>
    <w:rsid w:val="008644ED"/>
    <w:rsid w:val="00865706"/>
    <w:rsid w:val="00865BBE"/>
    <w:rsid w:val="00866157"/>
    <w:rsid w:val="0086696D"/>
    <w:rsid w:val="00866B35"/>
    <w:rsid w:val="00867609"/>
    <w:rsid w:val="00867DC2"/>
    <w:rsid w:val="00870318"/>
    <w:rsid w:val="00871BE4"/>
    <w:rsid w:val="0087222B"/>
    <w:rsid w:val="00873160"/>
    <w:rsid w:val="00874263"/>
    <w:rsid w:val="008743BA"/>
    <w:rsid w:val="00875838"/>
    <w:rsid w:val="00877F0B"/>
    <w:rsid w:val="008804C4"/>
    <w:rsid w:val="00880F11"/>
    <w:rsid w:val="008811CF"/>
    <w:rsid w:val="00881590"/>
    <w:rsid w:val="0088183E"/>
    <w:rsid w:val="00881B68"/>
    <w:rsid w:val="00883B32"/>
    <w:rsid w:val="0088484E"/>
    <w:rsid w:val="00885D63"/>
    <w:rsid w:val="0088683E"/>
    <w:rsid w:val="00887337"/>
    <w:rsid w:val="00887A2A"/>
    <w:rsid w:val="008916D6"/>
    <w:rsid w:val="00893483"/>
    <w:rsid w:val="00893A2D"/>
    <w:rsid w:val="00894572"/>
    <w:rsid w:val="00894A51"/>
    <w:rsid w:val="00894D25"/>
    <w:rsid w:val="00894F3D"/>
    <w:rsid w:val="0089540A"/>
    <w:rsid w:val="00896124"/>
    <w:rsid w:val="0089796E"/>
    <w:rsid w:val="008A0977"/>
    <w:rsid w:val="008A09D6"/>
    <w:rsid w:val="008A19CB"/>
    <w:rsid w:val="008A2923"/>
    <w:rsid w:val="008A2C0F"/>
    <w:rsid w:val="008A44AE"/>
    <w:rsid w:val="008A5AC7"/>
    <w:rsid w:val="008A5FE2"/>
    <w:rsid w:val="008A62A1"/>
    <w:rsid w:val="008A6D03"/>
    <w:rsid w:val="008B12D5"/>
    <w:rsid w:val="008B24C7"/>
    <w:rsid w:val="008B2987"/>
    <w:rsid w:val="008B29B4"/>
    <w:rsid w:val="008B2BB1"/>
    <w:rsid w:val="008B2DAA"/>
    <w:rsid w:val="008B302F"/>
    <w:rsid w:val="008B37F3"/>
    <w:rsid w:val="008B407D"/>
    <w:rsid w:val="008B4648"/>
    <w:rsid w:val="008B47C2"/>
    <w:rsid w:val="008B4D37"/>
    <w:rsid w:val="008B5024"/>
    <w:rsid w:val="008B5509"/>
    <w:rsid w:val="008B585F"/>
    <w:rsid w:val="008B759F"/>
    <w:rsid w:val="008C057A"/>
    <w:rsid w:val="008C0D65"/>
    <w:rsid w:val="008C191F"/>
    <w:rsid w:val="008C2BF9"/>
    <w:rsid w:val="008C2FCD"/>
    <w:rsid w:val="008C32D6"/>
    <w:rsid w:val="008C39AB"/>
    <w:rsid w:val="008C4099"/>
    <w:rsid w:val="008C4A22"/>
    <w:rsid w:val="008C4A93"/>
    <w:rsid w:val="008C4D23"/>
    <w:rsid w:val="008C4F4A"/>
    <w:rsid w:val="008C535F"/>
    <w:rsid w:val="008C6AB6"/>
    <w:rsid w:val="008C6DC4"/>
    <w:rsid w:val="008C73F3"/>
    <w:rsid w:val="008C7479"/>
    <w:rsid w:val="008C781B"/>
    <w:rsid w:val="008C7872"/>
    <w:rsid w:val="008D02FE"/>
    <w:rsid w:val="008D0690"/>
    <w:rsid w:val="008D0916"/>
    <w:rsid w:val="008D0B28"/>
    <w:rsid w:val="008D0C4B"/>
    <w:rsid w:val="008D0EE0"/>
    <w:rsid w:val="008D11BF"/>
    <w:rsid w:val="008D25E0"/>
    <w:rsid w:val="008D299F"/>
    <w:rsid w:val="008D3546"/>
    <w:rsid w:val="008D3A9D"/>
    <w:rsid w:val="008D3B09"/>
    <w:rsid w:val="008D4121"/>
    <w:rsid w:val="008D5653"/>
    <w:rsid w:val="008D6C48"/>
    <w:rsid w:val="008D6E0E"/>
    <w:rsid w:val="008D71D0"/>
    <w:rsid w:val="008D773F"/>
    <w:rsid w:val="008E00D2"/>
    <w:rsid w:val="008E03EF"/>
    <w:rsid w:val="008E062E"/>
    <w:rsid w:val="008E0F46"/>
    <w:rsid w:val="008E1912"/>
    <w:rsid w:val="008E19BA"/>
    <w:rsid w:val="008E23BF"/>
    <w:rsid w:val="008E3125"/>
    <w:rsid w:val="008E3766"/>
    <w:rsid w:val="008E3893"/>
    <w:rsid w:val="008E45CB"/>
    <w:rsid w:val="008E5697"/>
    <w:rsid w:val="008E6AF5"/>
    <w:rsid w:val="008E75E1"/>
    <w:rsid w:val="008E77AC"/>
    <w:rsid w:val="008F004C"/>
    <w:rsid w:val="008F1E42"/>
    <w:rsid w:val="008F1F2F"/>
    <w:rsid w:val="008F20D7"/>
    <w:rsid w:val="008F384F"/>
    <w:rsid w:val="008F3C44"/>
    <w:rsid w:val="008F4604"/>
    <w:rsid w:val="008F5EA2"/>
    <w:rsid w:val="008F692E"/>
    <w:rsid w:val="00900B71"/>
    <w:rsid w:val="00900E95"/>
    <w:rsid w:val="0090166F"/>
    <w:rsid w:val="00901D48"/>
    <w:rsid w:val="009026BB"/>
    <w:rsid w:val="00902C5E"/>
    <w:rsid w:val="00903027"/>
    <w:rsid w:val="00903232"/>
    <w:rsid w:val="00903418"/>
    <w:rsid w:val="00903B14"/>
    <w:rsid w:val="00903E44"/>
    <w:rsid w:val="0090418B"/>
    <w:rsid w:val="00904238"/>
    <w:rsid w:val="00904B6B"/>
    <w:rsid w:val="00904E5F"/>
    <w:rsid w:val="00905244"/>
    <w:rsid w:val="00905787"/>
    <w:rsid w:val="00905C6D"/>
    <w:rsid w:val="009075E8"/>
    <w:rsid w:val="0090799F"/>
    <w:rsid w:val="009104C4"/>
    <w:rsid w:val="00911663"/>
    <w:rsid w:val="00911784"/>
    <w:rsid w:val="0091199C"/>
    <w:rsid w:val="009121E7"/>
    <w:rsid w:val="00912C62"/>
    <w:rsid w:val="0091362E"/>
    <w:rsid w:val="009137D7"/>
    <w:rsid w:val="009141CB"/>
    <w:rsid w:val="00914978"/>
    <w:rsid w:val="00914B54"/>
    <w:rsid w:val="00914FE9"/>
    <w:rsid w:val="00915204"/>
    <w:rsid w:val="00915504"/>
    <w:rsid w:val="0091582B"/>
    <w:rsid w:val="0091649E"/>
    <w:rsid w:val="009167E8"/>
    <w:rsid w:val="009217C5"/>
    <w:rsid w:val="00921E08"/>
    <w:rsid w:val="0092207B"/>
    <w:rsid w:val="009222DB"/>
    <w:rsid w:val="00922C8C"/>
    <w:rsid w:val="00922CF6"/>
    <w:rsid w:val="0092355F"/>
    <w:rsid w:val="00924742"/>
    <w:rsid w:val="00925194"/>
    <w:rsid w:val="00925E4E"/>
    <w:rsid w:val="009268AB"/>
    <w:rsid w:val="00926E6D"/>
    <w:rsid w:val="00926FC3"/>
    <w:rsid w:val="00927281"/>
    <w:rsid w:val="00927E5A"/>
    <w:rsid w:val="00930DED"/>
    <w:rsid w:val="00931600"/>
    <w:rsid w:val="00931959"/>
    <w:rsid w:val="00931ACC"/>
    <w:rsid w:val="0093343B"/>
    <w:rsid w:val="00935370"/>
    <w:rsid w:val="0093550D"/>
    <w:rsid w:val="009356D6"/>
    <w:rsid w:val="00935A88"/>
    <w:rsid w:val="00936683"/>
    <w:rsid w:val="009376C4"/>
    <w:rsid w:val="0093792D"/>
    <w:rsid w:val="0094006D"/>
    <w:rsid w:val="009414DB"/>
    <w:rsid w:val="0094319F"/>
    <w:rsid w:val="00944803"/>
    <w:rsid w:val="00944F0A"/>
    <w:rsid w:val="00946758"/>
    <w:rsid w:val="00947EF0"/>
    <w:rsid w:val="009503F3"/>
    <w:rsid w:val="00950D29"/>
    <w:rsid w:val="009512DE"/>
    <w:rsid w:val="00951650"/>
    <w:rsid w:val="00951809"/>
    <w:rsid w:val="00951AC9"/>
    <w:rsid w:val="00951C7D"/>
    <w:rsid w:val="00953233"/>
    <w:rsid w:val="009539DB"/>
    <w:rsid w:val="0095595D"/>
    <w:rsid w:val="00956926"/>
    <w:rsid w:val="00956F1C"/>
    <w:rsid w:val="00956FB6"/>
    <w:rsid w:val="00957400"/>
    <w:rsid w:val="00960879"/>
    <w:rsid w:val="00960E1C"/>
    <w:rsid w:val="0096144D"/>
    <w:rsid w:val="009614B5"/>
    <w:rsid w:val="00961587"/>
    <w:rsid w:val="009623EB"/>
    <w:rsid w:val="00962AB5"/>
    <w:rsid w:val="00963601"/>
    <w:rsid w:val="009644CD"/>
    <w:rsid w:val="009659D2"/>
    <w:rsid w:val="0097207D"/>
    <w:rsid w:val="00973C51"/>
    <w:rsid w:val="00973CC9"/>
    <w:rsid w:val="00974448"/>
    <w:rsid w:val="00974FC1"/>
    <w:rsid w:val="009750C7"/>
    <w:rsid w:val="009751AD"/>
    <w:rsid w:val="0097562D"/>
    <w:rsid w:val="009760C2"/>
    <w:rsid w:val="00976B06"/>
    <w:rsid w:val="00976FC2"/>
    <w:rsid w:val="0097702C"/>
    <w:rsid w:val="009770FE"/>
    <w:rsid w:val="00977DED"/>
    <w:rsid w:val="00980131"/>
    <w:rsid w:val="00980EE7"/>
    <w:rsid w:val="009814C1"/>
    <w:rsid w:val="00981A18"/>
    <w:rsid w:val="00981C07"/>
    <w:rsid w:val="00983B18"/>
    <w:rsid w:val="00983FA0"/>
    <w:rsid w:val="00984B61"/>
    <w:rsid w:val="009851E1"/>
    <w:rsid w:val="0098561E"/>
    <w:rsid w:val="00985B85"/>
    <w:rsid w:val="00985C4B"/>
    <w:rsid w:val="00986BF4"/>
    <w:rsid w:val="00986DFA"/>
    <w:rsid w:val="00987C1F"/>
    <w:rsid w:val="00990DBC"/>
    <w:rsid w:val="009910DB"/>
    <w:rsid w:val="00991A8C"/>
    <w:rsid w:val="009921BB"/>
    <w:rsid w:val="00993C79"/>
    <w:rsid w:val="00993C86"/>
    <w:rsid w:val="00994340"/>
    <w:rsid w:val="009945A9"/>
    <w:rsid w:val="0099476B"/>
    <w:rsid w:val="009949D1"/>
    <w:rsid w:val="0099676F"/>
    <w:rsid w:val="00997579"/>
    <w:rsid w:val="009975D9"/>
    <w:rsid w:val="009A0C1F"/>
    <w:rsid w:val="009A26D3"/>
    <w:rsid w:val="009A3275"/>
    <w:rsid w:val="009A3850"/>
    <w:rsid w:val="009A4350"/>
    <w:rsid w:val="009A4D0E"/>
    <w:rsid w:val="009A7355"/>
    <w:rsid w:val="009A73D5"/>
    <w:rsid w:val="009A746C"/>
    <w:rsid w:val="009B02A3"/>
    <w:rsid w:val="009B0DB8"/>
    <w:rsid w:val="009B0DCB"/>
    <w:rsid w:val="009B1FB8"/>
    <w:rsid w:val="009B2060"/>
    <w:rsid w:val="009B3013"/>
    <w:rsid w:val="009B34E5"/>
    <w:rsid w:val="009B4455"/>
    <w:rsid w:val="009B5018"/>
    <w:rsid w:val="009B71DD"/>
    <w:rsid w:val="009B7888"/>
    <w:rsid w:val="009C0249"/>
    <w:rsid w:val="009C0651"/>
    <w:rsid w:val="009C0C9C"/>
    <w:rsid w:val="009C103B"/>
    <w:rsid w:val="009C17C2"/>
    <w:rsid w:val="009C1837"/>
    <w:rsid w:val="009C1A0C"/>
    <w:rsid w:val="009C1A14"/>
    <w:rsid w:val="009C1ECB"/>
    <w:rsid w:val="009C294F"/>
    <w:rsid w:val="009C2D8E"/>
    <w:rsid w:val="009C3491"/>
    <w:rsid w:val="009C357D"/>
    <w:rsid w:val="009C3A9E"/>
    <w:rsid w:val="009C421E"/>
    <w:rsid w:val="009C447D"/>
    <w:rsid w:val="009C4BE7"/>
    <w:rsid w:val="009C4EDA"/>
    <w:rsid w:val="009C60E6"/>
    <w:rsid w:val="009C63EA"/>
    <w:rsid w:val="009C63EB"/>
    <w:rsid w:val="009C75A6"/>
    <w:rsid w:val="009C7A3D"/>
    <w:rsid w:val="009C7F2D"/>
    <w:rsid w:val="009D0835"/>
    <w:rsid w:val="009D1516"/>
    <w:rsid w:val="009D196A"/>
    <w:rsid w:val="009D29BA"/>
    <w:rsid w:val="009D2D41"/>
    <w:rsid w:val="009D2D82"/>
    <w:rsid w:val="009D3944"/>
    <w:rsid w:val="009D3E8A"/>
    <w:rsid w:val="009D4823"/>
    <w:rsid w:val="009D49D4"/>
    <w:rsid w:val="009D5386"/>
    <w:rsid w:val="009D60BC"/>
    <w:rsid w:val="009D6B1F"/>
    <w:rsid w:val="009D71FD"/>
    <w:rsid w:val="009D7925"/>
    <w:rsid w:val="009D7C64"/>
    <w:rsid w:val="009D7E9E"/>
    <w:rsid w:val="009E0412"/>
    <w:rsid w:val="009E09C3"/>
    <w:rsid w:val="009E0C0C"/>
    <w:rsid w:val="009E0E9E"/>
    <w:rsid w:val="009E1B0A"/>
    <w:rsid w:val="009E1E14"/>
    <w:rsid w:val="009E2780"/>
    <w:rsid w:val="009E2C2B"/>
    <w:rsid w:val="009E56C5"/>
    <w:rsid w:val="009E647D"/>
    <w:rsid w:val="009F0CBE"/>
    <w:rsid w:val="009F1721"/>
    <w:rsid w:val="009F1FF6"/>
    <w:rsid w:val="009F2171"/>
    <w:rsid w:val="009F23EB"/>
    <w:rsid w:val="009F2698"/>
    <w:rsid w:val="009F28D3"/>
    <w:rsid w:val="009F45DE"/>
    <w:rsid w:val="009F5310"/>
    <w:rsid w:val="009F6532"/>
    <w:rsid w:val="009F6D7C"/>
    <w:rsid w:val="009F7992"/>
    <w:rsid w:val="00A00A68"/>
    <w:rsid w:val="00A01016"/>
    <w:rsid w:val="00A04322"/>
    <w:rsid w:val="00A050BD"/>
    <w:rsid w:val="00A06E5A"/>
    <w:rsid w:val="00A0708C"/>
    <w:rsid w:val="00A07110"/>
    <w:rsid w:val="00A07227"/>
    <w:rsid w:val="00A0751B"/>
    <w:rsid w:val="00A079C7"/>
    <w:rsid w:val="00A10C7A"/>
    <w:rsid w:val="00A11D52"/>
    <w:rsid w:val="00A1278C"/>
    <w:rsid w:val="00A133B5"/>
    <w:rsid w:val="00A1394A"/>
    <w:rsid w:val="00A13A11"/>
    <w:rsid w:val="00A1407C"/>
    <w:rsid w:val="00A14EB8"/>
    <w:rsid w:val="00A152E5"/>
    <w:rsid w:val="00A17318"/>
    <w:rsid w:val="00A1743E"/>
    <w:rsid w:val="00A20699"/>
    <w:rsid w:val="00A218FA"/>
    <w:rsid w:val="00A21968"/>
    <w:rsid w:val="00A21D03"/>
    <w:rsid w:val="00A22155"/>
    <w:rsid w:val="00A221A7"/>
    <w:rsid w:val="00A2256A"/>
    <w:rsid w:val="00A22705"/>
    <w:rsid w:val="00A22796"/>
    <w:rsid w:val="00A24066"/>
    <w:rsid w:val="00A242A3"/>
    <w:rsid w:val="00A2460E"/>
    <w:rsid w:val="00A2502E"/>
    <w:rsid w:val="00A25073"/>
    <w:rsid w:val="00A2543D"/>
    <w:rsid w:val="00A26C45"/>
    <w:rsid w:val="00A3021B"/>
    <w:rsid w:val="00A3109E"/>
    <w:rsid w:val="00A32384"/>
    <w:rsid w:val="00A323EB"/>
    <w:rsid w:val="00A32839"/>
    <w:rsid w:val="00A33794"/>
    <w:rsid w:val="00A34764"/>
    <w:rsid w:val="00A34F88"/>
    <w:rsid w:val="00A35A2F"/>
    <w:rsid w:val="00A35DB7"/>
    <w:rsid w:val="00A4047A"/>
    <w:rsid w:val="00A40EEA"/>
    <w:rsid w:val="00A41531"/>
    <w:rsid w:val="00A4228B"/>
    <w:rsid w:val="00A4354A"/>
    <w:rsid w:val="00A43630"/>
    <w:rsid w:val="00A43FA5"/>
    <w:rsid w:val="00A45421"/>
    <w:rsid w:val="00A45861"/>
    <w:rsid w:val="00A45E5B"/>
    <w:rsid w:val="00A46A07"/>
    <w:rsid w:val="00A470E1"/>
    <w:rsid w:val="00A50380"/>
    <w:rsid w:val="00A50557"/>
    <w:rsid w:val="00A50DC8"/>
    <w:rsid w:val="00A50F13"/>
    <w:rsid w:val="00A537D0"/>
    <w:rsid w:val="00A543F2"/>
    <w:rsid w:val="00A54EE1"/>
    <w:rsid w:val="00A57241"/>
    <w:rsid w:val="00A57412"/>
    <w:rsid w:val="00A60100"/>
    <w:rsid w:val="00A60220"/>
    <w:rsid w:val="00A60273"/>
    <w:rsid w:val="00A624D2"/>
    <w:rsid w:val="00A63C81"/>
    <w:rsid w:val="00A649C7"/>
    <w:rsid w:val="00A64A18"/>
    <w:rsid w:val="00A64A95"/>
    <w:rsid w:val="00A65D0E"/>
    <w:rsid w:val="00A66A54"/>
    <w:rsid w:val="00A675EB"/>
    <w:rsid w:val="00A677BA"/>
    <w:rsid w:val="00A67E64"/>
    <w:rsid w:val="00A70EC5"/>
    <w:rsid w:val="00A7182F"/>
    <w:rsid w:val="00A71A4B"/>
    <w:rsid w:val="00A72347"/>
    <w:rsid w:val="00A73611"/>
    <w:rsid w:val="00A74255"/>
    <w:rsid w:val="00A74306"/>
    <w:rsid w:val="00A7507B"/>
    <w:rsid w:val="00A75667"/>
    <w:rsid w:val="00A75A26"/>
    <w:rsid w:val="00A76450"/>
    <w:rsid w:val="00A7649D"/>
    <w:rsid w:val="00A76529"/>
    <w:rsid w:val="00A76A5B"/>
    <w:rsid w:val="00A80E1E"/>
    <w:rsid w:val="00A813F0"/>
    <w:rsid w:val="00A82402"/>
    <w:rsid w:val="00A82EC1"/>
    <w:rsid w:val="00A852EC"/>
    <w:rsid w:val="00A855D7"/>
    <w:rsid w:val="00A85D11"/>
    <w:rsid w:val="00A862D3"/>
    <w:rsid w:val="00A90031"/>
    <w:rsid w:val="00A900DF"/>
    <w:rsid w:val="00A90345"/>
    <w:rsid w:val="00A907A6"/>
    <w:rsid w:val="00A90F04"/>
    <w:rsid w:val="00A9156D"/>
    <w:rsid w:val="00A917CF"/>
    <w:rsid w:val="00A91D26"/>
    <w:rsid w:val="00A91DBC"/>
    <w:rsid w:val="00A91DE5"/>
    <w:rsid w:val="00A92BB0"/>
    <w:rsid w:val="00A93767"/>
    <w:rsid w:val="00A94178"/>
    <w:rsid w:val="00A94552"/>
    <w:rsid w:val="00A94EA7"/>
    <w:rsid w:val="00A95926"/>
    <w:rsid w:val="00A95B33"/>
    <w:rsid w:val="00A96294"/>
    <w:rsid w:val="00A96A1D"/>
    <w:rsid w:val="00AA040A"/>
    <w:rsid w:val="00AA0467"/>
    <w:rsid w:val="00AA100E"/>
    <w:rsid w:val="00AA1056"/>
    <w:rsid w:val="00AA1168"/>
    <w:rsid w:val="00AA2143"/>
    <w:rsid w:val="00AA2381"/>
    <w:rsid w:val="00AA23E3"/>
    <w:rsid w:val="00AA277E"/>
    <w:rsid w:val="00AA2B7A"/>
    <w:rsid w:val="00AA35C7"/>
    <w:rsid w:val="00AA3D66"/>
    <w:rsid w:val="00AA4726"/>
    <w:rsid w:val="00AA4BA3"/>
    <w:rsid w:val="00AA5BB4"/>
    <w:rsid w:val="00AA6101"/>
    <w:rsid w:val="00AA6AEF"/>
    <w:rsid w:val="00AA795D"/>
    <w:rsid w:val="00AB1165"/>
    <w:rsid w:val="00AB148B"/>
    <w:rsid w:val="00AB15AA"/>
    <w:rsid w:val="00AB22B9"/>
    <w:rsid w:val="00AB3423"/>
    <w:rsid w:val="00AB3894"/>
    <w:rsid w:val="00AB61EC"/>
    <w:rsid w:val="00AB65B0"/>
    <w:rsid w:val="00AB7564"/>
    <w:rsid w:val="00AB7B5F"/>
    <w:rsid w:val="00AC06E2"/>
    <w:rsid w:val="00AC0DC9"/>
    <w:rsid w:val="00AC21CE"/>
    <w:rsid w:val="00AC27AA"/>
    <w:rsid w:val="00AC30B2"/>
    <w:rsid w:val="00AC3637"/>
    <w:rsid w:val="00AC3BC8"/>
    <w:rsid w:val="00AC4071"/>
    <w:rsid w:val="00AC4978"/>
    <w:rsid w:val="00AC5255"/>
    <w:rsid w:val="00AC5737"/>
    <w:rsid w:val="00AC57B7"/>
    <w:rsid w:val="00AC58E1"/>
    <w:rsid w:val="00AC5A68"/>
    <w:rsid w:val="00AC6330"/>
    <w:rsid w:val="00AC65F5"/>
    <w:rsid w:val="00AC759D"/>
    <w:rsid w:val="00AD01AD"/>
    <w:rsid w:val="00AD0742"/>
    <w:rsid w:val="00AD0B98"/>
    <w:rsid w:val="00AD19F0"/>
    <w:rsid w:val="00AD1FF0"/>
    <w:rsid w:val="00AD22B9"/>
    <w:rsid w:val="00AD4040"/>
    <w:rsid w:val="00AD6BD2"/>
    <w:rsid w:val="00AD7608"/>
    <w:rsid w:val="00AD7621"/>
    <w:rsid w:val="00AD7DB6"/>
    <w:rsid w:val="00AE0143"/>
    <w:rsid w:val="00AE0AFE"/>
    <w:rsid w:val="00AE1771"/>
    <w:rsid w:val="00AE1DF4"/>
    <w:rsid w:val="00AE20DD"/>
    <w:rsid w:val="00AE278F"/>
    <w:rsid w:val="00AE3384"/>
    <w:rsid w:val="00AE3641"/>
    <w:rsid w:val="00AE394F"/>
    <w:rsid w:val="00AE42FA"/>
    <w:rsid w:val="00AE4E65"/>
    <w:rsid w:val="00AE523D"/>
    <w:rsid w:val="00AE5C2B"/>
    <w:rsid w:val="00AE5E6A"/>
    <w:rsid w:val="00AE6270"/>
    <w:rsid w:val="00AE7397"/>
    <w:rsid w:val="00AF11FA"/>
    <w:rsid w:val="00AF1431"/>
    <w:rsid w:val="00AF1633"/>
    <w:rsid w:val="00AF184D"/>
    <w:rsid w:val="00AF2628"/>
    <w:rsid w:val="00AF2911"/>
    <w:rsid w:val="00AF2D4F"/>
    <w:rsid w:val="00AF4AB5"/>
    <w:rsid w:val="00AF56A9"/>
    <w:rsid w:val="00AF5E4E"/>
    <w:rsid w:val="00AF6D57"/>
    <w:rsid w:val="00AF6E55"/>
    <w:rsid w:val="00AF79C9"/>
    <w:rsid w:val="00AF7EC9"/>
    <w:rsid w:val="00B0097B"/>
    <w:rsid w:val="00B038D9"/>
    <w:rsid w:val="00B04013"/>
    <w:rsid w:val="00B04401"/>
    <w:rsid w:val="00B06AD6"/>
    <w:rsid w:val="00B06AE9"/>
    <w:rsid w:val="00B06D54"/>
    <w:rsid w:val="00B0713E"/>
    <w:rsid w:val="00B105A5"/>
    <w:rsid w:val="00B107C4"/>
    <w:rsid w:val="00B10B6A"/>
    <w:rsid w:val="00B10EEB"/>
    <w:rsid w:val="00B1248E"/>
    <w:rsid w:val="00B126DF"/>
    <w:rsid w:val="00B1367D"/>
    <w:rsid w:val="00B14340"/>
    <w:rsid w:val="00B147E0"/>
    <w:rsid w:val="00B17032"/>
    <w:rsid w:val="00B17536"/>
    <w:rsid w:val="00B2084F"/>
    <w:rsid w:val="00B20DC5"/>
    <w:rsid w:val="00B229F8"/>
    <w:rsid w:val="00B23967"/>
    <w:rsid w:val="00B24917"/>
    <w:rsid w:val="00B256B2"/>
    <w:rsid w:val="00B257FE"/>
    <w:rsid w:val="00B25993"/>
    <w:rsid w:val="00B30047"/>
    <w:rsid w:val="00B301A1"/>
    <w:rsid w:val="00B30C58"/>
    <w:rsid w:val="00B31247"/>
    <w:rsid w:val="00B34888"/>
    <w:rsid w:val="00B34A54"/>
    <w:rsid w:val="00B3531E"/>
    <w:rsid w:val="00B3561F"/>
    <w:rsid w:val="00B35D8E"/>
    <w:rsid w:val="00B36BFF"/>
    <w:rsid w:val="00B36EE4"/>
    <w:rsid w:val="00B3723E"/>
    <w:rsid w:val="00B373E8"/>
    <w:rsid w:val="00B4063E"/>
    <w:rsid w:val="00B40FD7"/>
    <w:rsid w:val="00B41353"/>
    <w:rsid w:val="00B414D0"/>
    <w:rsid w:val="00B41B6D"/>
    <w:rsid w:val="00B41D2D"/>
    <w:rsid w:val="00B42AAB"/>
    <w:rsid w:val="00B42CA5"/>
    <w:rsid w:val="00B42EA3"/>
    <w:rsid w:val="00B42F23"/>
    <w:rsid w:val="00B4314C"/>
    <w:rsid w:val="00B432A2"/>
    <w:rsid w:val="00B4338D"/>
    <w:rsid w:val="00B442A0"/>
    <w:rsid w:val="00B4562D"/>
    <w:rsid w:val="00B45B7F"/>
    <w:rsid w:val="00B46382"/>
    <w:rsid w:val="00B46597"/>
    <w:rsid w:val="00B4691C"/>
    <w:rsid w:val="00B46AA9"/>
    <w:rsid w:val="00B46ADF"/>
    <w:rsid w:val="00B47FD8"/>
    <w:rsid w:val="00B50BA0"/>
    <w:rsid w:val="00B51E11"/>
    <w:rsid w:val="00B545FD"/>
    <w:rsid w:val="00B549A4"/>
    <w:rsid w:val="00B54F30"/>
    <w:rsid w:val="00B55904"/>
    <w:rsid w:val="00B56053"/>
    <w:rsid w:val="00B577E4"/>
    <w:rsid w:val="00B604CA"/>
    <w:rsid w:val="00B60F68"/>
    <w:rsid w:val="00B61455"/>
    <w:rsid w:val="00B62596"/>
    <w:rsid w:val="00B6298C"/>
    <w:rsid w:val="00B62CA3"/>
    <w:rsid w:val="00B63B63"/>
    <w:rsid w:val="00B63E15"/>
    <w:rsid w:val="00B65619"/>
    <w:rsid w:val="00B65F7D"/>
    <w:rsid w:val="00B663DF"/>
    <w:rsid w:val="00B67BE9"/>
    <w:rsid w:val="00B67D29"/>
    <w:rsid w:val="00B70532"/>
    <w:rsid w:val="00B70A85"/>
    <w:rsid w:val="00B71105"/>
    <w:rsid w:val="00B724F3"/>
    <w:rsid w:val="00B739C4"/>
    <w:rsid w:val="00B73F25"/>
    <w:rsid w:val="00B741B2"/>
    <w:rsid w:val="00B744A2"/>
    <w:rsid w:val="00B74CCB"/>
    <w:rsid w:val="00B74F31"/>
    <w:rsid w:val="00B74F96"/>
    <w:rsid w:val="00B74FE8"/>
    <w:rsid w:val="00B75047"/>
    <w:rsid w:val="00B75E1A"/>
    <w:rsid w:val="00B7667E"/>
    <w:rsid w:val="00B768AB"/>
    <w:rsid w:val="00B7773B"/>
    <w:rsid w:val="00B77843"/>
    <w:rsid w:val="00B77934"/>
    <w:rsid w:val="00B80413"/>
    <w:rsid w:val="00B8151D"/>
    <w:rsid w:val="00B81D08"/>
    <w:rsid w:val="00B823F6"/>
    <w:rsid w:val="00B83D45"/>
    <w:rsid w:val="00B84363"/>
    <w:rsid w:val="00B84BD7"/>
    <w:rsid w:val="00B864DE"/>
    <w:rsid w:val="00B868E3"/>
    <w:rsid w:val="00B86D3C"/>
    <w:rsid w:val="00B86D85"/>
    <w:rsid w:val="00B86E1A"/>
    <w:rsid w:val="00B879A8"/>
    <w:rsid w:val="00B879BD"/>
    <w:rsid w:val="00B90B25"/>
    <w:rsid w:val="00B91D73"/>
    <w:rsid w:val="00B94796"/>
    <w:rsid w:val="00B947A5"/>
    <w:rsid w:val="00B948A3"/>
    <w:rsid w:val="00B95D31"/>
    <w:rsid w:val="00B9626B"/>
    <w:rsid w:val="00B97936"/>
    <w:rsid w:val="00B97E08"/>
    <w:rsid w:val="00BA12B1"/>
    <w:rsid w:val="00BA1611"/>
    <w:rsid w:val="00BA1D5E"/>
    <w:rsid w:val="00BA23E6"/>
    <w:rsid w:val="00BA29F7"/>
    <w:rsid w:val="00BA2F17"/>
    <w:rsid w:val="00BA49C8"/>
    <w:rsid w:val="00BA514D"/>
    <w:rsid w:val="00BA567B"/>
    <w:rsid w:val="00BA61A3"/>
    <w:rsid w:val="00BA6B74"/>
    <w:rsid w:val="00BA7E4E"/>
    <w:rsid w:val="00BB05C3"/>
    <w:rsid w:val="00BB181D"/>
    <w:rsid w:val="00BB1DD5"/>
    <w:rsid w:val="00BB1E16"/>
    <w:rsid w:val="00BB37BE"/>
    <w:rsid w:val="00BB559A"/>
    <w:rsid w:val="00BB5D49"/>
    <w:rsid w:val="00BB7E44"/>
    <w:rsid w:val="00BC0116"/>
    <w:rsid w:val="00BC2269"/>
    <w:rsid w:val="00BC33FC"/>
    <w:rsid w:val="00BC4CB2"/>
    <w:rsid w:val="00BC4F6A"/>
    <w:rsid w:val="00BC509B"/>
    <w:rsid w:val="00BC64AE"/>
    <w:rsid w:val="00BC698E"/>
    <w:rsid w:val="00BC6BDB"/>
    <w:rsid w:val="00BC7EB4"/>
    <w:rsid w:val="00BD0ABB"/>
    <w:rsid w:val="00BD0B78"/>
    <w:rsid w:val="00BD0CB7"/>
    <w:rsid w:val="00BD0EDA"/>
    <w:rsid w:val="00BD0FB5"/>
    <w:rsid w:val="00BD2391"/>
    <w:rsid w:val="00BD495A"/>
    <w:rsid w:val="00BD4A08"/>
    <w:rsid w:val="00BD5700"/>
    <w:rsid w:val="00BD691D"/>
    <w:rsid w:val="00BD7F9B"/>
    <w:rsid w:val="00BE0493"/>
    <w:rsid w:val="00BE0544"/>
    <w:rsid w:val="00BE0849"/>
    <w:rsid w:val="00BE143A"/>
    <w:rsid w:val="00BE1FB9"/>
    <w:rsid w:val="00BE2799"/>
    <w:rsid w:val="00BE28FC"/>
    <w:rsid w:val="00BE394C"/>
    <w:rsid w:val="00BE3ADA"/>
    <w:rsid w:val="00BE3F99"/>
    <w:rsid w:val="00BE4745"/>
    <w:rsid w:val="00BE49C7"/>
    <w:rsid w:val="00BE6464"/>
    <w:rsid w:val="00BE6D77"/>
    <w:rsid w:val="00BE70CE"/>
    <w:rsid w:val="00BE7195"/>
    <w:rsid w:val="00BF1092"/>
    <w:rsid w:val="00BF344B"/>
    <w:rsid w:val="00BF4CB2"/>
    <w:rsid w:val="00BF5099"/>
    <w:rsid w:val="00BF5A7B"/>
    <w:rsid w:val="00BF5BEA"/>
    <w:rsid w:val="00BF6A1B"/>
    <w:rsid w:val="00BF70F0"/>
    <w:rsid w:val="00BF7A5D"/>
    <w:rsid w:val="00BF7BAC"/>
    <w:rsid w:val="00C00EEA"/>
    <w:rsid w:val="00C01CAD"/>
    <w:rsid w:val="00C03FB9"/>
    <w:rsid w:val="00C044AA"/>
    <w:rsid w:val="00C04660"/>
    <w:rsid w:val="00C050D9"/>
    <w:rsid w:val="00C0585F"/>
    <w:rsid w:val="00C07472"/>
    <w:rsid w:val="00C07C8E"/>
    <w:rsid w:val="00C1063D"/>
    <w:rsid w:val="00C10AA7"/>
    <w:rsid w:val="00C111A7"/>
    <w:rsid w:val="00C115FA"/>
    <w:rsid w:val="00C12736"/>
    <w:rsid w:val="00C13399"/>
    <w:rsid w:val="00C138FA"/>
    <w:rsid w:val="00C143D4"/>
    <w:rsid w:val="00C1455C"/>
    <w:rsid w:val="00C14EB0"/>
    <w:rsid w:val="00C16489"/>
    <w:rsid w:val="00C169C4"/>
    <w:rsid w:val="00C16B46"/>
    <w:rsid w:val="00C16FE3"/>
    <w:rsid w:val="00C171AB"/>
    <w:rsid w:val="00C173CC"/>
    <w:rsid w:val="00C1740D"/>
    <w:rsid w:val="00C17853"/>
    <w:rsid w:val="00C179C6"/>
    <w:rsid w:val="00C20175"/>
    <w:rsid w:val="00C214FE"/>
    <w:rsid w:val="00C21AE1"/>
    <w:rsid w:val="00C21EAA"/>
    <w:rsid w:val="00C2233F"/>
    <w:rsid w:val="00C23BD7"/>
    <w:rsid w:val="00C2462A"/>
    <w:rsid w:val="00C24C63"/>
    <w:rsid w:val="00C268EB"/>
    <w:rsid w:val="00C26DCF"/>
    <w:rsid w:val="00C300FB"/>
    <w:rsid w:val="00C3066E"/>
    <w:rsid w:val="00C3159F"/>
    <w:rsid w:val="00C318C5"/>
    <w:rsid w:val="00C31AB3"/>
    <w:rsid w:val="00C31BDC"/>
    <w:rsid w:val="00C332A4"/>
    <w:rsid w:val="00C3330D"/>
    <w:rsid w:val="00C33324"/>
    <w:rsid w:val="00C337BF"/>
    <w:rsid w:val="00C3396C"/>
    <w:rsid w:val="00C34080"/>
    <w:rsid w:val="00C3471E"/>
    <w:rsid w:val="00C34859"/>
    <w:rsid w:val="00C34E76"/>
    <w:rsid w:val="00C34F80"/>
    <w:rsid w:val="00C35097"/>
    <w:rsid w:val="00C351AF"/>
    <w:rsid w:val="00C37311"/>
    <w:rsid w:val="00C37E3D"/>
    <w:rsid w:val="00C37F71"/>
    <w:rsid w:val="00C40A89"/>
    <w:rsid w:val="00C41D0F"/>
    <w:rsid w:val="00C41DAC"/>
    <w:rsid w:val="00C42352"/>
    <w:rsid w:val="00C42758"/>
    <w:rsid w:val="00C42E5D"/>
    <w:rsid w:val="00C44009"/>
    <w:rsid w:val="00C44241"/>
    <w:rsid w:val="00C44F79"/>
    <w:rsid w:val="00C451CA"/>
    <w:rsid w:val="00C4550B"/>
    <w:rsid w:val="00C4598F"/>
    <w:rsid w:val="00C459EE"/>
    <w:rsid w:val="00C468B6"/>
    <w:rsid w:val="00C46A29"/>
    <w:rsid w:val="00C46B0E"/>
    <w:rsid w:val="00C46D3E"/>
    <w:rsid w:val="00C47DDC"/>
    <w:rsid w:val="00C47DF4"/>
    <w:rsid w:val="00C500A3"/>
    <w:rsid w:val="00C51942"/>
    <w:rsid w:val="00C521BF"/>
    <w:rsid w:val="00C54857"/>
    <w:rsid w:val="00C55533"/>
    <w:rsid w:val="00C557D1"/>
    <w:rsid w:val="00C55883"/>
    <w:rsid w:val="00C55A68"/>
    <w:rsid w:val="00C55F06"/>
    <w:rsid w:val="00C560B4"/>
    <w:rsid w:val="00C56CBE"/>
    <w:rsid w:val="00C60517"/>
    <w:rsid w:val="00C61166"/>
    <w:rsid w:val="00C61720"/>
    <w:rsid w:val="00C61FD7"/>
    <w:rsid w:val="00C62202"/>
    <w:rsid w:val="00C6231F"/>
    <w:rsid w:val="00C631BD"/>
    <w:rsid w:val="00C65189"/>
    <w:rsid w:val="00C6604F"/>
    <w:rsid w:val="00C7138B"/>
    <w:rsid w:val="00C71798"/>
    <w:rsid w:val="00C71D0B"/>
    <w:rsid w:val="00C738E1"/>
    <w:rsid w:val="00C7402B"/>
    <w:rsid w:val="00C74031"/>
    <w:rsid w:val="00C740DD"/>
    <w:rsid w:val="00C7425E"/>
    <w:rsid w:val="00C74521"/>
    <w:rsid w:val="00C74EC2"/>
    <w:rsid w:val="00C7546E"/>
    <w:rsid w:val="00C759B6"/>
    <w:rsid w:val="00C77D70"/>
    <w:rsid w:val="00C81800"/>
    <w:rsid w:val="00C82A84"/>
    <w:rsid w:val="00C82D1B"/>
    <w:rsid w:val="00C869E6"/>
    <w:rsid w:val="00C872B9"/>
    <w:rsid w:val="00C91147"/>
    <w:rsid w:val="00C91CDF"/>
    <w:rsid w:val="00C922E1"/>
    <w:rsid w:val="00C92499"/>
    <w:rsid w:val="00C9486D"/>
    <w:rsid w:val="00C95123"/>
    <w:rsid w:val="00C954A9"/>
    <w:rsid w:val="00C95A76"/>
    <w:rsid w:val="00C962AF"/>
    <w:rsid w:val="00C96F30"/>
    <w:rsid w:val="00CA007E"/>
    <w:rsid w:val="00CA142C"/>
    <w:rsid w:val="00CA1601"/>
    <w:rsid w:val="00CA1EBD"/>
    <w:rsid w:val="00CA2078"/>
    <w:rsid w:val="00CA2802"/>
    <w:rsid w:val="00CA293A"/>
    <w:rsid w:val="00CA4312"/>
    <w:rsid w:val="00CA4D79"/>
    <w:rsid w:val="00CA539D"/>
    <w:rsid w:val="00CA57F7"/>
    <w:rsid w:val="00CA595A"/>
    <w:rsid w:val="00CA5A26"/>
    <w:rsid w:val="00CA5FFA"/>
    <w:rsid w:val="00CA6A8B"/>
    <w:rsid w:val="00CA72E1"/>
    <w:rsid w:val="00CA7820"/>
    <w:rsid w:val="00CB0739"/>
    <w:rsid w:val="00CB1974"/>
    <w:rsid w:val="00CB2852"/>
    <w:rsid w:val="00CB2C6A"/>
    <w:rsid w:val="00CB3A88"/>
    <w:rsid w:val="00CB4C79"/>
    <w:rsid w:val="00CB4F9E"/>
    <w:rsid w:val="00CB4FD5"/>
    <w:rsid w:val="00CB5B9C"/>
    <w:rsid w:val="00CB5CE0"/>
    <w:rsid w:val="00CB6466"/>
    <w:rsid w:val="00CB70FE"/>
    <w:rsid w:val="00CC0001"/>
    <w:rsid w:val="00CC14F2"/>
    <w:rsid w:val="00CC333B"/>
    <w:rsid w:val="00CC6F3D"/>
    <w:rsid w:val="00CC7CF1"/>
    <w:rsid w:val="00CD0520"/>
    <w:rsid w:val="00CD2934"/>
    <w:rsid w:val="00CD346A"/>
    <w:rsid w:val="00CD62F6"/>
    <w:rsid w:val="00CD7682"/>
    <w:rsid w:val="00CD7840"/>
    <w:rsid w:val="00CD7C92"/>
    <w:rsid w:val="00CE08FC"/>
    <w:rsid w:val="00CE1D9C"/>
    <w:rsid w:val="00CE2FB3"/>
    <w:rsid w:val="00CE3047"/>
    <w:rsid w:val="00CE3315"/>
    <w:rsid w:val="00CE353E"/>
    <w:rsid w:val="00CE389B"/>
    <w:rsid w:val="00CE3AB1"/>
    <w:rsid w:val="00CE552F"/>
    <w:rsid w:val="00CE68F5"/>
    <w:rsid w:val="00CE6D03"/>
    <w:rsid w:val="00CE7286"/>
    <w:rsid w:val="00CF0026"/>
    <w:rsid w:val="00CF09D3"/>
    <w:rsid w:val="00CF0D24"/>
    <w:rsid w:val="00CF10E6"/>
    <w:rsid w:val="00CF12D8"/>
    <w:rsid w:val="00CF29C1"/>
    <w:rsid w:val="00CF3612"/>
    <w:rsid w:val="00CF45A1"/>
    <w:rsid w:val="00CF4F52"/>
    <w:rsid w:val="00CF5FC5"/>
    <w:rsid w:val="00CF6A03"/>
    <w:rsid w:val="00CF6DEA"/>
    <w:rsid w:val="00CF73FB"/>
    <w:rsid w:val="00D01084"/>
    <w:rsid w:val="00D016BB"/>
    <w:rsid w:val="00D026EF"/>
    <w:rsid w:val="00D029F1"/>
    <w:rsid w:val="00D02B2D"/>
    <w:rsid w:val="00D02D31"/>
    <w:rsid w:val="00D04640"/>
    <w:rsid w:val="00D06455"/>
    <w:rsid w:val="00D1127D"/>
    <w:rsid w:val="00D11E8B"/>
    <w:rsid w:val="00D12381"/>
    <w:rsid w:val="00D14E7A"/>
    <w:rsid w:val="00D15DD1"/>
    <w:rsid w:val="00D16629"/>
    <w:rsid w:val="00D1720C"/>
    <w:rsid w:val="00D216AA"/>
    <w:rsid w:val="00D21C8C"/>
    <w:rsid w:val="00D224B9"/>
    <w:rsid w:val="00D22C3E"/>
    <w:rsid w:val="00D23452"/>
    <w:rsid w:val="00D23812"/>
    <w:rsid w:val="00D24EBD"/>
    <w:rsid w:val="00D2599F"/>
    <w:rsid w:val="00D25D4F"/>
    <w:rsid w:val="00D263E5"/>
    <w:rsid w:val="00D269ED"/>
    <w:rsid w:val="00D26A90"/>
    <w:rsid w:val="00D26E3D"/>
    <w:rsid w:val="00D2716C"/>
    <w:rsid w:val="00D301D6"/>
    <w:rsid w:val="00D304BB"/>
    <w:rsid w:val="00D31078"/>
    <w:rsid w:val="00D31651"/>
    <w:rsid w:val="00D324A1"/>
    <w:rsid w:val="00D324EC"/>
    <w:rsid w:val="00D3254F"/>
    <w:rsid w:val="00D33738"/>
    <w:rsid w:val="00D34BD4"/>
    <w:rsid w:val="00D351CE"/>
    <w:rsid w:val="00D35FF6"/>
    <w:rsid w:val="00D41089"/>
    <w:rsid w:val="00D410B3"/>
    <w:rsid w:val="00D41962"/>
    <w:rsid w:val="00D41CB3"/>
    <w:rsid w:val="00D421C4"/>
    <w:rsid w:val="00D42736"/>
    <w:rsid w:val="00D43BC8"/>
    <w:rsid w:val="00D440B6"/>
    <w:rsid w:val="00D44698"/>
    <w:rsid w:val="00D4494F"/>
    <w:rsid w:val="00D46BA8"/>
    <w:rsid w:val="00D4792F"/>
    <w:rsid w:val="00D50307"/>
    <w:rsid w:val="00D503DB"/>
    <w:rsid w:val="00D506A3"/>
    <w:rsid w:val="00D506E0"/>
    <w:rsid w:val="00D50C80"/>
    <w:rsid w:val="00D510BD"/>
    <w:rsid w:val="00D523DB"/>
    <w:rsid w:val="00D524B5"/>
    <w:rsid w:val="00D5293D"/>
    <w:rsid w:val="00D5307A"/>
    <w:rsid w:val="00D53DB6"/>
    <w:rsid w:val="00D551FF"/>
    <w:rsid w:val="00D55486"/>
    <w:rsid w:val="00D56A92"/>
    <w:rsid w:val="00D56DA3"/>
    <w:rsid w:val="00D57689"/>
    <w:rsid w:val="00D6089C"/>
    <w:rsid w:val="00D62CA1"/>
    <w:rsid w:val="00D63C89"/>
    <w:rsid w:val="00D647AA"/>
    <w:rsid w:val="00D64926"/>
    <w:rsid w:val="00D64F5A"/>
    <w:rsid w:val="00D65795"/>
    <w:rsid w:val="00D710E6"/>
    <w:rsid w:val="00D7117D"/>
    <w:rsid w:val="00D71CEF"/>
    <w:rsid w:val="00D71DEC"/>
    <w:rsid w:val="00D7231E"/>
    <w:rsid w:val="00D737D1"/>
    <w:rsid w:val="00D748C7"/>
    <w:rsid w:val="00D7531B"/>
    <w:rsid w:val="00D754FF"/>
    <w:rsid w:val="00D75935"/>
    <w:rsid w:val="00D7600F"/>
    <w:rsid w:val="00D76670"/>
    <w:rsid w:val="00D76DBD"/>
    <w:rsid w:val="00D76EDA"/>
    <w:rsid w:val="00D77015"/>
    <w:rsid w:val="00D7762A"/>
    <w:rsid w:val="00D802B8"/>
    <w:rsid w:val="00D84F8F"/>
    <w:rsid w:val="00D851F3"/>
    <w:rsid w:val="00D855EC"/>
    <w:rsid w:val="00D857E0"/>
    <w:rsid w:val="00D85C1E"/>
    <w:rsid w:val="00D85C65"/>
    <w:rsid w:val="00D85DD4"/>
    <w:rsid w:val="00D8775A"/>
    <w:rsid w:val="00D87E69"/>
    <w:rsid w:val="00D87EA6"/>
    <w:rsid w:val="00D9067A"/>
    <w:rsid w:val="00D90A17"/>
    <w:rsid w:val="00D91DEF"/>
    <w:rsid w:val="00D92138"/>
    <w:rsid w:val="00D925FB"/>
    <w:rsid w:val="00D928F0"/>
    <w:rsid w:val="00D92A90"/>
    <w:rsid w:val="00D93225"/>
    <w:rsid w:val="00D93B3A"/>
    <w:rsid w:val="00D9403F"/>
    <w:rsid w:val="00D9454D"/>
    <w:rsid w:val="00D94F07"/>
    <w:rsid w:val="00D94F0F"/>
    <w:rsid w:val="00D9514C"/>
    <w:rsid w:val="00D96014"/>
    <w:rsid w:val="00D97CD8"/>
    <w:rsid w:val="00D97F24"/>
    <w:rsid w:val="00DA0BA1"/>
    <w:rsid w:val="00DA152C"/>
    <w:rsid w:val="00DA1E29"/>
    <w:rsid w:val="00DA4D0D"/>
    <w:rsid w:val="00DA7164"/>
    <w:rsid w:val="00DA79A0"/>
    <w:rsid w:val="00DA7FD0"/>
    <w:rsid w:val="00DB0784"/>
    <w:rsid w:val="00DB0B31"/>
    <w:rsid w:val="00DB13AB"/>
    <w:rsid w:val="00DB1414"/>
    <w:rsid w:val="00DB14B6"/>
    <w:rsid w:val="00DB19B9"/>
    <w:rsid w:val="00DB1A6A"/>
    <w:rsid w:val="00DB1B89"/>
    <w:rsid w:val="00DB2651"/>
    <w:rsid w:val="00DB3AD5"/>
    <w:rsid w:val="00DB3DC6"/>
    <w:rsid w:val="00DB4AB3"/>
    <w:rsid w:val="00DB55E4"/>
    <w:rsid w:val="00DB5D81"/>
    <w:rsid w:val="00DB6065"/>
    <w:rsid w:val="00DB6535"/>
    <w:rsid w:val="00DB6564"/>
    <w:rsid w:val="00DB65C9"/>
    <w:rsid w:val="00DB6F97"/>
    <w:rsid w:val="00DB7239"/>
    <w:rsid w:val="00DC0041"/>
    <w:rsid w:val="00DC0597"/>
    <w:rsid w:val="00DC119F"/>
    <w:rsid w:val="00DC126D"/>
    <w:rsid w:val="00DC163B"/>
    <w:rsid w:val="00DC1CFB"/>
    <w:rsid w:val="00DC24BC"/>
    <w:rsid w:val="00DC2789"/>
    <w:rsid w:val="00DC3287"/>
    <w:rsid w:val="00DC3FCF"/>
    <w:rsid w:val="00DC4979"/>
    <w:rsid w:val="00DC4A70"/>
    <w:rsid w:val="00DC590F"/>
    <w:rsid w:val="00DC60AA"/>
    <w:rsid w:val="00DC6CFE"/>
    <w:rsid w:val="00DC6F44"/>
    <w:rsid w:val="00DD0140"/>
    <w:rsid w:val="00DD139F"/>
    <w:rsid w:val="00DD1ADB"/>
    <w:rsid w:val="00DD201D"/>
    <w:rsid w:val="00DD2672"/>
    <w:rsid w:val="00DD2B28"/>
    <w:rsid w:val="00DD2B7D"/>
    <w:rsid w:val="00DD300F"/>
    <w:rsid w:val="00DD33C5"/>
    <w:rsid w:val="00DD3681"/>
    <w:rsid w:val="00DD3AB7"/>
    <w:rsid w:val="00DD3C9D"/>
    <w:rsid w:val="00DD4A68"/>
    <w:rsid w:val="00DD5D2A"/>
    <w:rsid w:val="00DD695C"/>
    <w:rsid w:val="00DE0696"/>
    <w:rsid w:val="00DE083A"/>
    <w:rsid w:val="00DE2383"/>
    <w:rsid w:val="00DE32F9"/>
    <w:rsid w:val="00DE4F0B"/>
    <w:rsid w:val="00DE4FCA"/>
    <w:rsid w:val="00DE5230"/>
    <w:rsid w:val="00DE5A22"/>
    <w:rsid w:val="00DE6078"/>
    <w:rsid w:val="00DE638E"/>
    <w:rsid w:val="00DF0622"/>
    <w:rsid w:val="00DF16B0"/>
    <w:rsid w:val="00DF1F89"/>
    <w:rsid w:val="00DF21F0"/>
    <w:rsid w:val="00DF40E6"/>
    <w:rsid w:val="00DF48FC"/>
    <w:rsid w:val="00DF5584"/>
    <w:rsid w:val="00DF5846"/>
    <w:rsid w:val="00DF6750"/>
    <w:rsid w:val="00DF75FD"/>
    <w:rsid w:val="00E00E10"/>
    <w:rsid w:val="00E00F34"/>
    <w:rsid w:val="00E01132"/>
    <w:rsid w:val="00E02078"/>
    <w:rsid w:val="00E0335F"/>
    <w:rsid w:val="00E034C5"/>
    <w:rsid w:val="00E0370E"/>
    <w:rsid w:val="00E03E4E"/>
    <w:rsid w:val="00E04058"/>
    <w:rsid w:val="00E0421F"/>
    <w:rsid w:val="00E04EBD"/>
    <w:rsid w:val="00E05836"/>
    <w:rsid w:val="00E063E7"/>
    <w:rsid w:val="00E06933"/>
    <w:rsid w:val="00E06C3C"/>
    <w:rsid w:val="00E07136"/>
    <w:rsid w:val="00E07524"/>
    <w:rsid w:val="00E07910"/>
    <w:rsid w:val="00E1016C"/>
    <w:rsid w:val="00E103DA"/>
    <w:rsid w:val="00E10825"/>
    <w:rsid w:val="00E10A9B"/>
    <w:rsid w:val="00E12064"/>
    <w:rsid w:val="00E123F9"/>
    <w:rsid w:val="00E12C7C"/>
    <w:rsid w:val="00E13118"/>
    <w:rsid w:val="00E1423D"/>
    <w:rsid w:val="00E1549C"/>
    <w:rsid w:val="00E15792"/>
    <w:rsid w:val="00E16BC4"/>
    <w:rsid w:val="00E1763C"/>
    <w:rsid w:val="00E17C26"/>
    <w:rsid w:val="00E20CC2"/>
    <w:rsid w:val="00E225E8"/>
    <w:rsid w:val="00E2266D"/>
    <w:rsid w:val="00E22C14"/>
    <w:rsid w:val="00E24688"/>
    <w:rsid w:val="00E24A7E"/>
    <w:rsid w:val="00E25798"/>
    <w:rsid w:val="00E258D2"/>
    <w:rsid w:val="00E26128"/>
    <w:rsid w:val="00E2671C"/>
    <w:rsid w:val="00E26A86"/>
    <w:rsid w:val="00E274D4"/>
    <w:rsid w:val="00E27F89"/>
    <w:rsid w:val="00E3016A"/>
    <w:rsid w:val="00E306D7"/>
    <w:rsid w:val="00E31A29"/>
    <w:rsid w:val="00E3298B"/>
    <w:rsid w:val="00E32D81"/>
    <w:rsid w:val="00E330D7"/>
    <w:rsid w:val="00E342FA"/>
    <w:rsid w:val="00E35332"/>
    <w:rsid w:val="00E35AFA"/>
    <w:rsid w:val="00E36082"/>
    <w:rsid w:val="00E3716C"/>
    <w:rsid w:val="00E37D47"/>
    <w:rsid w:val="00E405CE"/>
    <w:rsid w:val="00E41B19"/>
    <w:rsid w:val="00E4242D"/>
    <w:rsid w:val="00E4256D"/>
    <w:rsid w:val="00E4365E"/>
    <w:rsid w:val="00E43A85"/>
    <w:rsid w:val="00E43EEF"/>
    <w:rsid w:val="00E43F22"/>
    <w:rsid w:val="00E4475A"/>
    <w:rsid w:val="00E44C00"/>
    <w:rsid w:val="00E4640D"/>
    <w:rsid w:val="00E465D4"/>
    <w:rsid w:val="00E46651"/>
    <w:rsid w:val="00E467E5"/>
    <w:rsid w:val="00E46F5D"/>
    <w:rsid w:val="00E50402"/>
    <w:rsid w:val="00E50735"/>
    <w:rsid w:val="00E51C8F"/>
    <w:rsid w:val="00E53C4E"/>
    <w:rsid w:val="00E54D63"/>
    <w:rsid w:val="00E5533B"/>
    <w:rsid w:val="00E55747"/>
    <w:rsid w:val="00E56CBF"/>
    <w:rsid w:val="00E5788D"/>
    <w:rsid w:val="00E579BA"/>
    <w:rsid w:val="00E609F6"/>
    <w:rsid w:val="00E6183C"/>
    <w:rsid w:val="00E6281D"/>
    <w:rsid w:val="00E6413E"/>
    <w:rsid w:val="00E652C0"/>
    <w:rsid w:val="00E65343"/>
    <w:rsid w:val="00E655A8"/>
    <w:rsid w:val="00E66A30"/>
    <w:rsid w:val="00E673B7"/>
    <w:rsid w:val="00E70634"/>
    <w:rsid w:val="00E70B8D"/>
    <w:rsid w:val="00E71C40"/>
    <w:rsid w:val="00E726E8"/>
    <w:rsid w:val="00E7436A"/>
    <w:rsid w:val="00E75046"/>
    <w:rsid w:val="00E75A8A"/>
    <w:rsid w:val="00E7738C"/>
    <w:rsid w:val="00E7772E"/>
    <w:rsid w:val="00E80375"/>
    <w:rsid w:val="00E80F2D"/>
    <w:rsid w:val="00E81E9F"/>
    <w:rsid w:val="00E82D5D"/>
    <w:rsid w:val="00E83CBF"/>
    <w:rsid w:val="00E83D7C"/>
    <w:rsid w:val="00E8474D"/>
    <w:rsid w:val="00E84967"/>
    <w:rsid w:val="00E8514E"/>
    <w:rsid w:val="00E8523A"/>
    <w:rsid w:val="00E85591"/>
    <w:rsid w:val="00E8730C"/>
    <w:rsid w:val="00E87585"/>
    <w:rsid w:val="00E9037E"/>
    <w:rsid w:val="00E91230"/>
    <w:rsid w:val="00E91CD4"/>
    <w:rsid w:val="00E92718"/>
    <w:rsid w:val="00E93579"/>
    <w:rsid w:val="00E93E14"/>
    <w:rsid w:val="00E94C4A"/>
    <w:rsid w:val="00E94F01"/>
    <w:rsid w:val="00E94F8A"/>
    <w:rsid w:val="00E94FE3"/>
    <w:rsid w:val="00E96203"/>
    <w:rsid w:val="00E968B3"/>
    <w:rsid w:val="00E96989"/>
    <w:rsid w:val="00E97495"/>
    <w:rsid w:val="00E977E2"/>
    <w:rsid w:val="00E97C1A"/>
    <w:rsid w:val="00EA02E6"/>
    <w:rsid w:val="00EA0DAE"/>
    <w:rsid w:val="00EA1918"/>
    <w:rsid w:val="00EA2E82"/>
    <w:rsid w:val="00EA3A82"/>
    <w:rsid w:val="00EA43CA"/>
    <w:rsid w:val="00EA467C"/>
    <w:rsid w:val="00EA5EA3"/>
    <w:rsid w:val="00EA643B"/>
    <w:rsid w:val="00EA6485"/>
    <w:rsid w:val="00EA6E53"/>
    <w:rsid w:val="00EA74DA"/>
    <w:rsid w:val="00EA7C02"/>
    <w:rsid w:val="00EA7FDB"/>
    <w:rsid w:val="00EB0898"/>
    <w:rsid w:val="00EB0CC0"/>
    <w:rsid w:val="00EB1162"/>
    <w:rsid w:val="00EB17F4"/>
    <w:rsid w:val="00EB2587"/>
    <w:rsid w:val="00EB32D4"/>
    <w:rsid w:val="00EB39AE"/>
    <w:rsid w:val="00EB4F9F"/>
    <w:rsid w:val="00EB78B3"/>
    <w:rsid w:val="00EB7D96"/>
    <w:rsid w:val="00EC01B2"/>
    <w:rsid w:val="00EC03D5"/>
    <w:rsid w:val="00EC052B"/>
    <w:rsid w:val="00EC068B"/>
    <w:rsid w:val="00EC07D7"/>
    <w:rsid w:val="00EC154A"/>
    <w:rsid w:val="00EC1D9C"/>
    <w:rsid w:val="00EC1DD5"/>
    <w:rsid w:val="00EC1EB8"/>
    <w:rsid w:val="00EC22AA"/>
    <w:rsid w:val="00EC2CBF"/>
    <w:rsid w:val="00EC362E"/>
    <w:rsid w:val="00EC3C23"/>
    <w:rsid w:val="00EC472D"/>
    <w:rsid w:val="00EC47E5"/>
    <w:rsid w:val="00EC526C"/>
    <w:rsid w:val="00EC5DB7"/>
    <w:rsid w:val="00EC5E49"/>
    <w:rsid w:val="00EC6D57"/>
    <w:rsid w:val="00EC6D7A"/>
    <w:rsid w:val="00EC7229"/>
    <w:rsid w:val="00EC7ADA"/>
    <w:rsid w:val="00EC7E38"/>
    <w:rsid w:val="00EC7E39"/>
    <w:rsid w:val="00ED03EE"/>
    <w:rsid w:val="00ED0992"/>
    <w:rsid w:val="00ED0C4E"/>
    <w:rsid w:val="00ED0CFA"/>
    <w:rsid w:val="00ED2193"/>
    <w:rsid w:val="00ED423A"/>
    <w:rsid w:val="00ED44FA"/>
    <w:rsid w:val="00ED5FA9"/>
    <w:rsid w:val="00ED692B"/>
    <w:rsid w:val="00ED78D3"/>
    <w:rsid w:val="00ED7F21"/>
    <w:rsid w:val="00EE06B0"/>
    <w:rsid w:val="00EE1005"/>
    <w:rsid w:val="00EE10B1"/>
    <w:rsid w:val="00EE1BD0"/>
    <w:rsid w:val="00EE21C3"/>
    <w:rsid w:val="00EE2B5E"/>
    <w:rsid w:val="00EE31A9"/>
    <w:rsid w:val="00EE3F5C"/>
    <w:rsid w:val="00EE4DB1"/>
    <w:rsid w:val="00EE667B"/>
    <w:rsid w:val="00EE7736"/>
    <w:rsid w:val="00EF111F"/>
    <w:rsid w:val="00EF1B3B"/>
    <w:rsid w:val="00EF230A"/>
    <w:rsid w:val="00EF29F9"/>
    <w:rsid w:val="00EF2BA8"/>
    <w:rsid w:val="00EF3793"/>
    <w:rsid w:val="00EF413D"/>
    <w:rsid w:val="00EF49BE"/>
    <w:rsid w:val="00EF51A1"/>
    <w:rsid w:val="00EF609E"/>
    <w:rsid w:val="00EF68A3"/>
    <w:rsid w:val="00EF69AB"/>
    <w:rsid w:val="00EF6F02"/>
    <w:rsid w:val="00EF77DA"/>
    <w:rsid w:val="00F01081"/>
    <w:rsid w:val="00F01A8E"/>
    <w:rsid w:val="00F02562"/>
    <w:rsid w:val="00F0258E"/>
    <w:rsid w:val="00F0402D"/>
    <w:rsid w:val="00F04141"/>
    <w:rsid w:val="00F04762"/>
    <w:rsid w:val="00F049C5"/>
    <w:rsid w:val="00F04AC3"/>
    <w:rsid w:val="00F05350"/>
    <w:rsid w:val="00F055F6"/>
    <w:rsid w:val="00F057FA"/>
    <w:rsid w:val="00F068FF"/>
    <w:rsid w:val="00F07423"/>
    <w:rsid w:val="00F078C4"/>
    <w:rsid w:val="00F10A66"/>
    <w:rsid w:val="00F11514"/>
    <w:rsid w:val="00F116EF"/>
    <w:rsid w:val="00F1212F"/>
    <w:rsid w:val="00F12190"/>
    <w:rsid w:val="00F12396"/>
    <w:rsid w:val="00F133BA"/>
    <w:rsid w:val="00F13908"/>
    <w:rsid w:val="00F13D46"/>
    <w:rsid w:val="00F143B8"/>
    <w:rsid w:val="00F14477"/>
    <w:rsid w:val="00F144A4"/>
    <w:rsid w:val="00F1570D"/>
    <w:rsid w:val="00F16F2C"/>
    <w:rsid w:val="00F17BC1"/>
    <w:rsid w:val="00F17E02"/>
    <w:rsid w:val="00F17E2A"/>
    <w:rsid w:val="00F203A4"/>
    <w:rsid w:val="00F23803"/>
    <w:rsid w:val="00F23FBF"/>
    <w:rsid w:val="00F244ED"/>
    <w:rsid w:val="00F24B51"/>
    <w:rsid w:val="00F26406"/>
    <w:rsid w:val="00F26717"/>
    <w:rsid w:val="00F27256"/>
    <w:rsid w:val="00F2745D"/>
    <w:rsid w:val="00F279D6"/>
    <w:rsid w:val="00F30C1F"/>
    <w:rsid w:val="00F316DA"/>
    <w:rsid w:val="00F32A2B"/>
    <w:rsid w:val="00F32B83"/>
    <w:rsid w:val="00F33388"/>
    <w:rsid w:val="00F34F61"/>
    <w:rsid w:val="00F35051"/>
    <w:rsid w:val="00F35A89"/>
    <w:rsid w:val="00F36081"/>
    <w:rsid w:val="00F36A86"/>
    <w:rsid w:val="00F3716E"/>
    <w:rsid w:val="00F37329"/>
    <w:rsid w:val="00F37D93"/>
    <w:rsid w:val="00F37EF7"/>
    <w:rsid w:val="00F40013"/>
    <w:rsid w:val="00F410BF"/>
    <w:rsid w:val="00F41B59"/>
    <w:rsid w:val="00F4350C"/>
    <w:rsid w:val="00F43F9E"/>
    <w:rsid w:val="00F4478D"/>
    <w:rsid w:val="00F4489E"/>
    <w:rsid w:val="00F45D9C"/>
    <w:rsid w:val="00F45E8B"/>
    <w:rsid w:val="00F47A7A"/>
    <w:rsid w:val="00F520D7"/>
    <w:rsid w:val="00F52694"/>
    <w:rsid w:val="00F527F2"/>
    <w:rsid w:val="00F536EC"/>
    <w:rsid w:val="00F53C03"/>
    <w:rsid w:val="00F54B2D"/>
    <w:rsid w:val="00F5538C"/>
    <w:rsid w:val="00F55A3C"/>
    <w:rsid w:val="00F56527"/>
    <w:rsid w:val="00F57743"/>
    <w:rsid w:val="00F6062B"/>
    <w:rsid w:val="00F619B1"/>
    <w:rsid w:val="00F636F8"/>
    <w:rsid w:val="00F644BA"/>
    <w:rsid w:val="00F6462A"/>
    <w:rsid w:val="00F65775"/>
    <w:rsid w:val="00F65E92"/>
    <w:rsid w:val="00F66C9E"/>
    <w:rsid w:val="00F66DFB"/>
    <w:rsid w:val="00F672FE"/>
    <w:rsid w:val="00F7018F"/>
    <w:rsid w:val="00F70434"/>
    <w:rsid w:val="00F72E09"/>
    <w:rsid w:val="00F73E2B"/>
    <w:rsid w:val="00F75DCB"/>
    <w:rsid w:val="00F76145"/>
    <w:rsid w:val="00F76A42"/>
    <w:rsid w:val="00F77E7F"/>
    <w:rsid w:val="00F80C2C"/>
    <w:rsid w:val="00F84337"/>
    <w:rsid w:val="00F843EE"/>
    <w:rsid w:val="00F848B9"/>
    <w:rsid w:val="00F85102"/>
    <w:rsid w:val="00F8604D"/>
    <w:rsid w:val="00F8647A"/>
    <w:rsid w:val="00F87176"/>
    <w:rsid w:val="00F87C8E"/>
    <w:rsid w:val="00F90819"/>
    <w:rsid w:val="00F90C6C"/>
    <w:rsid w:val="00F91E2C"/>
    <w:rsid w:val="00F9283E"/>
    <w:rsid w:val="00F929FB"/>
    <w:rsid w:val="00F92A1E"/>
    <w:rsid w:val="00F92D95"/>
    <w:rsid w:val="00F930D5"/>
    <w:rsid w:val="00F93794"/>
    <w:rsid w:val="00F93A6E"/>
    <w:rsid w:val="00F93AD3"/>
    <w:rsid w:val="00F93C25"/>
    <w:rsid w:val="00F9472A"/>
    <w:rsid w:val="00F94D66"/>
    <w:rsid w:val="00F95780"/>
    <w:rsid w:val="00F96130"/>
    <w:rsid w:val="00F977B7"/>
    <w:rsid w:val="00F97AD6"/>
    <w:rsid w:val="00F97BBA"/>
    <w:rsid w:val="00FA08EA"/>
    <w:rsid w:val="00FA17C5"/>
    <w:rsid w:val="00FA1D03"/>
    <w:rsid w:val="00FA1FC8"/>
    <w:rsid w:val="00FA2162"/>
    <w:rsid w:val="00FA6E4D"/>
    <w:rsid w:val="00FA6EA1"/>
    <w:rsid w:val="00FB0E18"/>
    <w:rsid w:val="00FB0E98"/>
    <w:rsid w:val="00FB0FA6"/>
    <w:rsid w:val="00FB1692"/>
    <w:rsid w:val="00FB19CD"/>
    <w:rsid w:val="00FB3C97"/>
    <w:rsid w:val="00FB4223"/>
    <w:rsid w:val="00FB4C2E"/>
    <w:rsid w:val="00FB5AA3"/>
    <w:rsid w:val="00FB6525"/>
    <w:rsid w:val="00FB6CB9"/>
    <w:rsid w:val="00FB7225"/>
    <w:rsid w:val="00FB7226"/>
    <w:rsid w:val="00FB784C"/>
    <w:rsid w:val="00FC1356"/>
    <w:rsid w:val="00FC1F1F"/>
    <w:rsid w:val="00FC221A"/>
    <w:rsid w:val="00FC26EE"/>
    <w:rsid w:val="00FC2E5F"/>
    <w:rsid w:val="00FC34C3"/>
    <w:rsid w:val="00FC3CCC"/>
    <w:rsid w:val="00FC3D5B"/>
    <w:rsid w:val="00FC4132"/>
    <w:rsid w:val="00FC4C40"/>
    <w:rsid w:val="00FC5058"/>
    <w:rsid w:val="00FC694C"/>
    <w:rsid w:val="00FC6D35"/>
    <w:rsid w:val="00FD0467"/>
    <w:rsid w:val="00FD0843"/>
    <w:rsid w:val="00FD0F72"/>
    <w:rsid w:val="00FD34F6"/>
    <w:rsid w:val="00FD40DA"/>
    <w:rsid w:val="00FD44CC"/>
    <w:rsid w:val="00FD4E7F"/>
    <w:rsid w:val="00FD57E2"/>
    <w:rsid w:val="00FD5A20"/>
    <w:rsid w:val="00FD5FC7"/>
    <w:rsid w:val="00FD69C7"/>
    <w:rsid w:val="00FD6FCC"/>
    <w:rsid w:val="00FD74B1"/>
    <w:rsid w:val="00FE211A"/>
    <w:rsid w:val="00FE2563"/>
    <w:rsid w:val="00FE2683"/>
    <w:rsid w:val="00FE288E"/>
    <w:rsid w:val="00FE3720"/>
    <w:rsid w:val="00FE4030"/>
    <w:rsid w:val="00FE40F6"/>
    <w:rsid w:val="00FE443D"/>
    <w:rsid w:val="00FE4734"/>
    <w:rsid w:val="00FE5D5A"/>
    <w:rsid w:val="00FE6CAD"/>
    <w:rsid w:val="00FE7B57"/>
    <w:rsid w:val="00FF1D84"/>
    <w:rsid w:val="00FF2F71"/>
    <w:rsid w:val="00FF30C1"/>
    <w:rsid w:val="00FF3110"/>
    <w:rsid w:val="00FF3D04"/>
    <w:rsid w:val="00FF47E0"/>
    <w:rsid w:val="00FF54C6"/>
    <w:rsid w:val="00FF68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161BA"/>
  <w15:docId w15:val="{64D37519-9E90-452E-9B02-60D297F4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F1825"/>
    <w:pPr>
      <w:widowControl w:val="0"/>
    </w:pPr>
    <w:rPr>
      <w:rFonts w:ascii="Arial" w:hAnsi="Arial"/>
      <w:snapToGrid w:val="0"/>
      <w:sz w:val="24"/>
      <w:lang w:val="es-ES_tradnl"/>
    </w:rPr>
  </w:style>
  <w:style w:type="paragraph" w:styleId="Ttulo1">
    <w:name w:val="heading 1"/>
    <w:basedOn w:val="Normal"/>
    <w:next w:val="Normal"/>
    <w:qFormat/>
    <w:rsid w:val="005F1825"/>
    <w:pPr>
      <w:spacing w:before="240"/>
      <w:jc w:val="center"/>
      <w:outlineLvl w:val="0"/>
    </w:pPr>
    <w:rPr>
      <w:color w:val="000000"/>
    </w:rPr>
  </w:style>
  <w:style w:type="paragraph" w:styleId="Ttulo2">
    <w:name w:val="heading 2"/>
    <w:basedOn w:val="Normal"/>
    <w:next w:val="Normal"/>
    <w:qFormat/>
    <w:rsid w:val="005F1825"/>
    <w:pPr>
      <w:spacing w:before="240"/>
      <w:jc w:val="center"/>
      <w:outlineLvl w:val="1"/>
    </w:pPr>
    <w:rPr>
      <w:b/>
      <w:color w:val="000000"/>
      <w:sz w:val="28"/>
    </w:rPr>
  </w:style>
  <w:style w:type="paragraph" w:styleId="Ttulo3">
    <w:name w:val="heading 3"/>
    <w:basedOn w:val="Normal"/>
    <w:next w:val="Sangranormal"/>
    <w:qFormat/>
    <w:rsid w:val="005F1825"/>
    <w:pPr>
      <w:keepNext/>
      <w:spacing w:before="240"/>
      <w:outlineLvl w:val="2"/>
    </w:pPr>
    <w:rPr>
      <w:b/>
      <w:color w:val="80808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5F1825"/>
    <w:pPr>
      <w:ind w:left="720"/>
    </w:pPr>
  </w:style>
  <w:style w:type="paragraph" w:styleId="Textonotaalfinal">
    <w:name w:val="endnote text"/>
    <w:basedOn w:val="Normal"/>
    <w:semiHidden/>
    <w:rsid w:val="005F1825"/>
    <w:rPr>
      <w:sz w:val="20"/>
    </w:rPr>
  </w:style>
  <w:style w:type="paragraph" w:customStyle="1" w:styleId="Asunto">
    <w:name w:val="Asunto"/>
    <w:basedOn w:val="Normal"/>
    <w:rsid w:val="005F1825"/>
    <w:pPr>
      <w:keepLines/>
      <w:spacing w:before="240"/>
      <w:ind w:left="5040" w:hanging="1267"/>
    </w:pPr>
    <w:rPr>
      <w:rFonts w:ascii="Univers" w:hAnsi="Univers"/>
      <w:color w:val="000000"/>
      <w:u w:val="single"/>
    </w:rPr>
  </w:style>
  <w:style w:type="paragraph" w:styleId="Piedepgina">
    <w:name w:val="footer"/>
    <w:basedOn w:val="Normal"/>
    <w:link w:val="PiedepginaCar"/>
    <w:uiPriority w:val="99"/>
    <w:rsid w:val="005F1825"/>
    <w:pPr>
      <w:tabs>
        <w:tab w:val="center" w:pos="4819"/>
        <w:tab w:val="right" w:pos="9071"/>
      </w:tabs>
    </w:pPr>
  </w:style>
  <w:style w:type="paragraph" w:styleId="Encabezado">
    <w:name w:val="header"/>
    <w:basedOn w:val="Normal"/>
    <w:link w:val="EncabezadoCar"/>
    <w:rsid w:val="005F1825"/>
    <w:pPr>
      <w:tabs>
        <w:tab w:val="center" w:pos="4819"/>
        <w:tab w:val="right" w:pos="9071"/>
      </w:tabs>
    </w:pPr>
  </w:style>
  <w:style w:type="paragraph" w:customStyle="1" w:styleId="p0">
    <w:name w:val="p0"/>
    <w:basedOn w:val="Normal"/>
    <w:rsid w:val="005F1825"/>
    <w:pPr>
      <w:keepLines/>
      <w:spacing w:before="240"/>
      <w:jc w:val="both"/>
    </w:pPr>
    <w:rPr>
      <w:color w:val="0000FF"/>
    </w:rPr>
  </w:style>
  <w:style w:type="paragraph" w:customStyle="1" w:styleId="n0">
    <w:name w:val="n0"/>
    <w:basedOn w:val="Normal"/>
    <w:rsid w:val="005F1825"/>
    <w:pPr>
      <w:keepLines/>
      <w:spacing w:before="240"/>
      <w:ind w:left="1080" w:hanging="1080"/>
      <w:jc w:val="both"/>
    </w:pPr>
    <w:rPr>
      <w:color w:val="800080"/>
    </w:rPr>
  </w:style>
  <w:style w:type="paragraph" w:customStyle="1" w:styleId="bullet">
    <w:name w:val="bullet"/>
    <w:basedOn w:val="Normal"/>
    <w:rsid w:val="005F1825"/>
    <w:pPr>
      <w:numPr>
        <w:numId w:val="19"/>
      </w:numPr>
      <w:spacing w:before="240"/>
      <w:ind w:right="1185"/>
      <w:jc w:val="both"/>
    </w:pPr>
    <w:rPr>
      <w:b/>
      <w:color w:val="000080"/>
      <w:sz w:val="22"/>
    </w:rPr>
  </w:style>
  <w:style w:type="paragraph" w:customStyle="1" w:styleId="fecha">
    <w:name w:val="fecha"/>
    <w:basedOn w:val="Normal"/>
    <w:rsid w:val="005F1825"/>
    <w:pPr>
      <w:jc w:val="right"/>
    </w:pPr>
  </w:style>
  <w:style w:type="paragraph" w:customStyle="1" w:styleId="parra-nota">
    <w:name w:val="parra-nota"/>
    <w:basedOn w:val="p0"/>
    <w:rsid w:val="005F1825"/>
    <w:pPr>
      <w:tabs>
        <w:tab w:val="left" w:pos="567"/>
      </w:tabs>
      <w:spacing w:before="600"/>
      <w:ind w:left="567" w:right="11" w:hanging="567"/>
    </w:pPr>
  </w:style>
  <w:style w:type="paragraph" w:customStyle="1" w:styleId="parra-nota1">
    <w:name w:val="parra-nota1"/>
    <w:basedOn w:val="parra-nota"/>
    <w:rsid w:val="005F1825"/>
    <w:pPr>
      <w:tabs>
        <w:tab w:val="clear" w:pos="567"/>
      </w:tabs>
      <w:ind w:firstLine="0"/>
    </w:pPr>
  </w:style>
  <w:style w:type="paragraph" w:customStyle="1" w:styleId="Normal1">
    <w:name w:val="Normal1"/>
    <w:rsid w:val="005F1825"/>
    <w:rPr>
      <w:rFonts w:ascii="CG Times" w:hAnsi="CG Times"/>
      <w:lang w:val="es-ES_tradnl"/>
    </w:rPr>
  </w:style>
  <w:style w:type="paragraph" w:styleId="Textoindependiente">
    <w:name w:val="Body Text"/>
    <w:basedOn w:val="Normal"/>
    <w:rsid w:val="005F1825"/>
    <w:pPr>
      <w:widowControl/>
    </w:pPr>
    <w:rPr>
      <w:color w:val="000000"/>
      <w:lang w:val="es-ES"/>
    </w:rPr>
  </w:style>
  <w:style w:type="character" w:styleId="Hipervnculo">
    <w:name w:val="Hyperlink"/>
    <w:basedOn w:val="Fuentedeprrafopredeter"/>
    <w:rsid w:val="005F1825"/>
    <w:rPr>
      <w:color w:val="0000FF"/>
      <w:u w:val="single"/>
    </w:rPr>
  </w:style>
  <w:style w:type="paragraph" w:styleId="Textodeglobo">
    <w:name w:val="Balloon Text"/>
    <w:basedOn w:val="Normal"/>
    <w:semiHidden/>
    <w:rsid w:val="005F1825"/>
    <w:rPr>
      <w:rFonts w:ascii="Tahoma" w:hAnsi="Tahoma" w:cs="Tahoma"/>
      <w:sz w:val="16"/>
      <w:szCs w:val="16"/>
    </w:rPr>
  </w:style>
  <w:style w:type="paragraph" w:styleId="NormalWeb">
    <w:name w:val="Normal (Web)"/>
    <w:basedOn w:val="Normal"/>
    <w:uiPriority w:val="99"/>
    <w:rsid w:val="002E5C03"/>
    <w:pPr>
      <w:widowControl/>
      <w:spacing w:before="100" w:beforeAutospacing="1" w:after="100" w:afterAutospacing="1"/>
    </w:pPr>
    <w:rPr>
      <w:rFonts w:cs="Arial"/>
      <w:snapToGrid/>
      <w:color w:val="000000"/>
      <w:sz w:val="16"/>
      <w:szCs w:val="16"/>
      <w:lang w:val="es-ES"/>
    </w:rPr>
  </w:style>
  <w:style w:type="paragraph" w:customStyle="1" w:styleId="parr2">
    <w:name w:val="parr2"/>
    <w:basedOn w:val="Normal"/>
    <w:rsid w:val="002A200D"/>
    <w:pPr>
      <w:widowControl/>
      <w:spacing w:before="600"/>
      <w:ind w:left="567" w:right="15"/>
      <w:jc w:val="both"/>
    </w:pPr>
    <w:rPr>
      <w:snapToGrid/>
    </w:rPr>
  </w:style>
  <w:style w:type="paragraph" w:customStyle="1" w:styleId="parrafo1">
    <w:name w:val="parrafo1"/>
    <w:basedOn w:val="p0"/>
    <w:rsid w:val="002D0297"/>
    <w:pPr>
      <w:keepLines w:val="0"/>
      <w:widowControl/>
      <w:spacing w:before="480"/>
      <w:ind w:left="426" w:right="443"/>
    </w:pPr>
    <w:rPr>
      <w:snapToGrid/>
      <w:color w:val="auto"/>
    </w:rPr>
  </w:style>
  <w:style w:type="paragraph" w:customStyle="1" w:styleId="titdoc">
    <w:name w:val="titdoc"/>
    <w:basedOn w:val="Normal"/>
    <w:rsid w:val="00E51C8F"/>
    <w:pPr>
      <w:widowControl/>
      <w:spacing w:before="120"/>
      <w:ind w:left="709" w:hanging="709"/>
      <w:jc w:val="both"/>
    </w:pPr>
    <w:rPr>
      <w:b/>
      <w:snapToGrid/>
    </w:rPr>
  </w:style>
  <w:style w:type="paragraph" w:styleId="Textoindependiente3">
    <w:name w:val="Body Text 3"/>
    <w:basedOn w:val="Normal"/>
    <w:link w:val="Textoindependiente3Car"/>
    <w:rsid w:val="00A00A68"/>
    <w:pPr>
      <w:spacing w:after="120"/>
    </w:pPr>
    <w:rPr>
      <w:sz w:val="16"/>
      <w:szCs w:val="16"/>
    </w:rPr>
  </w:style>
  <w:style w:type="character" w:customStyle="1" w:styleId="Textoindependiente3Car">
    <w:name w:val="Texto independiente 3 Car"/>
    <w:basedOn w:val="Fuentedeprrafopredeter"/>
    <w:link w:val="Textoindependiente3"/>
    <w:rsid w:val="00A00A68"/>
    <w:rPr>
      <w:rFonts w:ascii="Arial" w:hAnsi="Arial"/>
      <w:snapToGrid w:val="0"/>
      <w:sz w:val="16"/>
      <w:szCs w:val="16"/>
      <w:lang w:val="es-ES_tradnl"/>
    </w:rPr>
  </w:style>
  <w:style w:type="character" w:customStyle="1" w:styleId="EncabezadoCar">
    <w:name w:val="Encabezado Car"/>
    <w:basedOn w:val="Fuentedeprrafopredeter"/>
    <w:link w:val="Encabezado"/>
    <w:rsid w:val="00B06AE9"/>
    <w:rPr>
      <w:rFonts w:ascii="Arial" w:hAnsi="Arial"/>
      <w:snapToGrid w:val="0"/>
      <w:sz w:val="24"/>
      <w:lang w:val="es-ES_tradnl"/>
    </w:rPr>
  </w:style>
  <w:style w:type="paragraph" w:customStyle="1" w:styleId="p01">
    <w:name w:val="p01"/>
    <w:basedOn w:val="Normal1"/>
    <w:next w:val="p0"/>
    <w:rsid w:val="000C55BE"/>
    <w:pPr>
      <w:keepLines/>
      <w:spacing w:before="240"/>
      <w:jc w:val="both"/>
    </w:pPr>
    <w:rPr>
      <w:rFonts w:ascii="Univers" w:hAnsi="Univers"/>
      <w:color w:val="0000FF"/>
      <w:sz w:val="24"/>
    </w:rPr>
  </w:style>
  <w:style w:type="table" w:styleId="Tablaconcuadrcula">
    <w:name w:val="Table Grid"/>
    <w:basedOn w:val="Tablanormal"/>
    <w:rsid w:val="00663A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mbre">
    <w:name w:val="nombre"/>
    <w:basedOn w:val="Normal"/>
    <w:rsid w:val="003F26EB"/>
    <w:pPr>
      <w:keepLines/>
      <w:spacing w:before="240"/>
      <w:ind w:left="1080" w:hanging="1080"/>
    </w:pPr>
    <w:rPr>
      <w:rFonts w:ascii="Helvetica" w:hAnsi="Helvetica"/>
      <w:color w:val="0000FF"/>
    </w:rPr>
  </w:style>
  <w:style w:type="paragraph" w:styleId="Textonotapie">
    <w:name w:val="footnote text"/>
    <w:basedOn w:val="Normal"/>
    <w:link w:val="TextonotapieCar"/>
    <w:uiPriority w:val="99"/>
    <w:rsid w:val="0036725F"/>
    <w:pPr>
      <w:widowControl/>
    </w:pPr>
    <w:rPr>
      <w:rFonts w:ascii="Times New Roman" w:hAnsi="Times New Roman"/>
      <w:snapToGrid/>
      <w:sz w:val="20"/>
      <w:lang w:val="es-ES"/>
    </w:rPr>
  </w:style>
  <w:style w:type="character" w:customStyle="1" w:styleId="TextonotapieCar">
    <w:name w:val="Texto nota pie Car"/>
    <w:basedOn w:val="Fuentedeprrafopredeter"/>
    <w:link w:val="Textonotapie"/>
    <w:uiPriority w:val="99"/>
    <w:rsid w:val="0036725F"/>
  </w:style>
  <w:style w:type="character" w:styleId="Refdenotaalpie">
    <w:name w:val="footnote reference"/>
    <w:basedOn w:val="Fuentedeprrafopredeter"/>
    <w:uiPriority w:val="99"/>
    <w:rsid w:val="0036725F"/>
    <w:rPr>
      <w:rFonts w:cs="Arial"/>
      <w:b/>
      <w:smallCaps/>
      <w:sz w:val="22"/>
      <w:vertAlign w:val="superscript"/>
      <w:lang w:val="es-MX"/>
    </w:rPr>
  </w:style>
  <w:style w:type="character" w:customStyle="1" w:styleId="PiedepginaCar">
    <w:name w:val="Pie de página Car"/>
    <w:basedOn w:val="Fuentedeprrafopredeter"/>
    <w:link w:val="Piedepgina"/>
    <w:uiPriority w:val="99"/>
    <w:rsid w:val="00B577E4"/>
    <w:rPr>
      <w:rFonts w:ascii="Arial" w:hAnsi="Arial"/>
      <w:snapToGrid w:val="0"/>
      <w:sz w:val="24"/>
      <w:lang w:val="es-ES_tradnl" w:eastAsia="es-ES"/>
    </w:rPr>
  </w:style>
  <w:style w:type="character" w:styleId="Refdenotaalfinal">
    <w:name w:val="endnote reference"/>
    <w:basedOn w:val="Fuentedeprrafopredeter"/>
    <w:rsid w:val="00B577E4"/>
    <w:rPr>
      <w:vertAlign w:val="superscript"/>
    </w:rPr>
  </w:style>
  <w:style w:type="paragraph" w:customStyle="1" w:styleId="p02">
    <w:name w:val="p02"/>
    <w:basedOn w:val="Normal"/>
    <w:next w:val="p0"/>
    <w:rsid w:val="009C447D"/>
    <w:pPr>
      <w:keepLines/>
      <w:widowControl/>
      <w:spacing w:before="240"/>
      <w:ind w:right="11"/>
      <w:jc w:val="both"/>
    </w:pPr>
    <w:rPr>
      <w:rFonts w:ascii="Univers" w:hAnsi="Univers"/>
      <w:snapToGrid/>
      <w:color w:val="0000FF"/>
    </w:rPr>
  </w:style>
  <w:style w:type="paragraph" w:customStyle="1" w:styleId="Profesin">
    <w:name w:val="Profesión"/>
    <w:basedOn w:val="Normal"/>
    <w:rsid w:val="0005576F"/>
    <w:pPr>
      <w:widowControl/>
      <w:jc w:val="center"/>
    </w:pPr>
    <w:rPr>
      <w:b/>
      <w:caps/>
      <w:snapToGrid/>
      <w:spacing w:val="25"/>
      <w:sz w:val="28"/>
    </w:rPr>
  </w:style>
  <w:style w:type="paragraph" w:customStyle="1" w:styleId="n01">
    <w:name w:val="n01"/>
    <w:basedOn w:val="Normal"/>
    <w:rsid w:val="002169BE"/>
    <w:pPr>
      <w:keepLines/>
      <w:widowControl/>
      <w:spacing w:before="240"/>
      <w:ind w:left="720" w:hanging="720"/>
      <w:jc w:val="both"/>
    </w:pPr>
    <w:rPr>
      <w:rFonts w:ascii="Univers (W1)" w:hAnsi="Univers (W1)"/>
      <w:snapToGrid/>
      <w:color w:val="800080"/>
    </w:rPr>
  </w:style>
  <w:style w:type="paragraph" w:customStyle="1" w:styleId="Default">
    <w:name w:val="Default"/>
    <w:rsid w:val="002169BE"/>
    <w:pPr>
      <w:widowControl w:val="0"/>
      <w:autoSpaceDE w:val="0"/>
      <w:autoSpaceDN w:val="0"/>
      <w:adjustRightInd w:val="0"/>
    </w:pPr>
    <w:rPr>
      <w:rFonts w:ascii="Arial" w:eastAsiaTheme="minorEastAsia" w:hAnsi="Arial" w:cs="Arial"/>
      <w:color w:val="000000"/>
      <w:sz w:val="24"/>
      <w:szCs w:val="24"/>
    </w:rPr>
  </w:style>
  <w:style w:type="paragraph" w:styleId="Prrafodelista">
    <w:name w:val="List Paragraph"/>
    <w:basedOn w:val="Normal"/>
    <w:uiPriority w:val="34"/>
    <w:qFormat/>
    <w:rsid w:val="00A57241"/>
    <w:pPr>
      <w:ind w:left="720"/>
      <w:contextualSpacing/>
    </w:pPr>
  </w:style>
  <w:style w:type="character" w:styleId="Refdecomentario">
    <w:name w:val="annotation reference"/>
    <w:basedOn w:val="Fuentedeprrafopredeter"/>
    <w:uiPriority w:val="99"/>
    <w:rsid w:val="00C3471E"/>
    <w:rPr>
      <w:sz w:val="16"/>
      <w:szCs w:val="16"/>
    </w:rPr>
  </w:style>
  <w:style w:type="character" w:customStyle="1" w:styleId="tituloproy21">
    <w:name w:val="titulo_proy21"/>
    <w:basedOn w:val="Fuentedeprrafopredeter"/>
    <w:rsid w:val="002C2C06"/>
    <w:rPr>
      <w:rFonts w:ascii="Arial" w:hAnsi="Arial" w:cs="Arial" w:hint="default"/>
      <w:b/>
      <w:bCs/>
      <w:strike w:val="0"/>
      <w:dstrike w:val="0"/>
      <w:color w:val="000000"/>
      <w:sz w:val="30"/>
      <w:szCs w:val="30"/>
      <w:u w:val="none"/>
      <w:effect w:val="none"/>
    </w:rPr>
  </w:style>
  <w:style w:type="character" w:customStyle="1" w:styleId="st1">
    <w:name w:val="st1"/>
    <w:basedOn w:val="Fuentedeprrafopredeter"/>
    <w:rsid w:val="00610305"/>
  </w:style>
  <w:style w:type="paragraph" w:styleId="Textoindependiente2">
    <w:name w:val="Body Text 2"/>
    <w:basedOn w:val="Normal"/>
    <w:link w:val="Textoindependiente2Car"/>
    <w:unhideWhenUsed/>
    <w:rsid w:val="00607F08"/>
    <w:pPr>
      <w:spacing w:after="120" w:line="480" w:lineRule="auto"/>
    </w:pPr>
  </w:style>
  <w:style w:type="character" w:customStyle="1" w:styleId="Textoindependiente2Car">
    <w:name w:val="Texto independiente 2 Car"/>
    <w:basedOn w:val="Fuentedeprrafopredeter"/>
    <w:link w:val="Textoindependiente2"/>
    <w:rsid w:val="00607F08"/>
    <w:rPr>
      <w:rFonts w:ascii="Arial" w:hAnsi="Arial"/>
      <w:snapToGrid w:val="0"/>
      <w:sz w:val="24"/>
      <w:lang w:val="es-ES_tradnl"/>
    </w:rPr>
  </w:style>
  <w:style w:type="character" w:styleId="Hipervnculovisitado">
    <w:name w:val="FollowedHyperlink"/>
    <w:basedOn w:val="Fuentedeprrafopredeter"/>
    <w:semiHidden/>
    <w:unhideWhenUsed/>
    <w:rsid w:val="00573E5B"/>
    <w:rPr>
      <w:color w:val="800080" w:themeColor="followedHyperlink"/>
      <w:u w:val="single"/>
    </w:rPr>
  </w:style>
  <w:style w:type="character" w:customStyle="1" w:styleId="Mencinsinresolver1">
    <w:name w:val="Mención sin resolver1"/>
    <w:basedOn w:val="Fuentedeprrafopredeter"/>
    <w:uiPriority w:val="99"/>
    <w:semiHidden/>
    <w:unhideWhenUsed/>
    <w:rsid w:val="001A3153"/>
    <w:rPr>
      <w:color w:val="605E5C"/>
      <w:shd w:val="clear" w:color="auto" w:fill="E1DFDD"/>
    </w:rPr>
  </w:style>
  <w:style w:type="character" w:styleId="Mencinsinresolver">
    <w:name w:val="Unresolved Mention"/>
    <w:basedOn w:val="Fuentedeprrafopredeter"/>
    <w:uiPriority w:val="99"/>
    <w:semiHidden/>
    <w:unhideWhenUsed/>
    <w:rsid w:val="00254AD4"/>
    <w:rPr>
      <w:color w:val="605E5C"/>
      <w:shd w:val="clear" w:color="auto" w:fill="E1DFDD"/>
    </w:rPr>
  </w:style>
  <w:style w:type="paragraph" w:styleId="Revisin">
    <w:name w:val="Revision"/>
    <w:hidden/>
    <w:uiPriority w:val="99"/>
    <w:semiHidden/>
    <w:rsid w:val="0079454D"/>
    <w:rPr>
      <w:rFonts w:ascii="Arial" w:hAnsi="Arial"/>
      <w:snapToGrid w:val="0"/>
      <w:sz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477011">
      <w:bodyDiv w:val="1"/>
      <w:marLeft w:val="0"/>
      <w:marRight w:val="0"/>
      <w:marTop w:val="0"/>
      <w:marBottom w:val="0"/>
      <w:divBdr>
        <w:top w:val="none" w:sz="0" w:space="0" w:color="auto"/>
        <w:left w:val="none" w:sz="0" w:space="0" w:color="auto"/>
        <w:bottom w:val="none" w:sz="0" w:space="0" w:color="auto"/>
        <w:right w:val="none" w:sz="0" w:space="0" w:color="auto"/>
      </w:divBdr>
    </w:div>
    <w:div w:id="486745596">
      <w:bodyDiv w:val="1"/>
      <w:marLeft w:val="0"/>
      <w:marRight w:val="0"/>
      <w:marTop w:val="0"/>
      <w:marBottom w:val="0"/>
      <w:divBdr>
        <w:top w:val="none" w:sz="0" w:space="0" w:color="auto"/>
        <w:left w:val="none" w:sz="0" w:space="0" w:color="auto"/>
        <w:bottom w:val="none" w:sz="0" w:space="0" w:color="auto"/>
        <w:right w:val="none" w:sz="0" w:space="0" w:color="auto"/>
      </w:divBdr>
    </w:div>
    <w:div w:id="623537239">
      <w:bodyDiv w:val="1"/>
      <w:marLeft w:val="0"/>
      <w:marRight w:val="0"/>
      <w:marTop w:val="0"/>
      <w:marBottom w:val="0"/>
      <w:divBdr>
        <w:top w:val="none" w:sz="0" w:space="0" w:color="auto"/>
        <w:left w:val="none" w:sz="0" w:space="0" w:color="auto"/>
        <w:bottom w:val="none" w:sz="0" w:space="0" w:color="auto"/>
        <w:right w:val="none" w:sz="0" w:space="0" w:color="auto"/>
      </w:divBdr>
    </w:div>
    <w:div w:id="771439630">
      <w:bodyDiv w:val="1"/>
      <w:marLeft w:val="0"/>
      <w:marRight w:val="0"/>
      <w:marTop w:val="0"/>
      <w:marBottom w:val="0"/>
      <w:divBdr>
        <w:top w:val="none" w:sz="0" w:space="0" w:color="auto"/>
        <w:left w:val="none" w:sz="0" w:space="0" w:color="auto"/>
        <w:bottom w:val="none" w:sz="0" w:space="0" w:color="auto"/>
        <w:right w:val="none" w:sz="0" w:space="0" w:color="auto"/>
      </w:divBdr>
    </w:div>
    <w:div w:id="853347473">
      <w:bodyDiv w:val="1"/>
      <w:marLeft w:val="0"/>
      <w:marRight w:val="0"/>
      <w:marTop w:val="0"/>
      <w:marBottom w:val="0"/>
      <w:divBdr>
        <w:top w:val="none" w:sz="0" w:space="0" w:color="auto"/>
        <w:left w:val="none" w:sz="0" w:space="0" w:color="auto"/>
        <w:bottom w:val="none" w:sz="0" w:space="0" w:color="auto"/>
        <w:right w:val="none" w:sz="0" w:space="0" w:color="auto"/>
      </w:divBdr>
    </w:div>
    <w:div w:id="882442417">
      <w:bodyDiv w:val="1"/>
      <w:marLeft w:val="0"/>
      <w:marRight w:val="0"/>
      <w:marTop w:val="0"/>
      <w:marBottom w:val="0"/>
      <w:divBdr>
        <w:top w:val="none" w:sz="0" w:space="0" w:color="auto"/>
        <w:left w:val="none" w:sz="0" w:space="0" w:color="auto"/>
        <w:bottom w:val="none" w:sz="0" w:space="0" w:color="auto"/>
        <w:right w:val="none" w:sz="0" w:space="0" w:color="auto"/>
      </w:divBdr>
    </w:div>
    <w:div w:id="1054545712">
      <w:bodyDiv w:val="1"/>
      <w:marLeft w:val="0"/>
      <w:marRight w:val="0"/>
      <w:marTop w:val="0"/>
      <w:marBottom w:val="0"/>
      <w:divBdr>
        <w:top w:val="none" w:sz="0" w:space="0" w:color="auto"/>
        <w:left w:val="none" w:sz="0" w:space="0" w:color="auto"/>
        <w:bottom w:val="none" w:sz="0" w:space="0" w:color="auto"/>
        <w:right w:val="none" w:sz="0" w:space="0" w:color="auto"/>
      </w:divBdr>
    </w:div>
    <w:div w:id="1279483548">
      <w:bodyDiv w:val="1"/>
      <w:marLeft w:val="0"/>
      <w:marRight w:val="0"/>
      <w:marTop w:val="0"/>
      <w:marBottom w:val="0"/>
      <w:divBdr>
        <w:top w:val="none" w:sz="0" w:space="0" w:color="auto"/>
        <w:left w:val="none" w:sz="0" w:space="0" w:color="auto"/>
        <w:bottom w:val="none" w:sz="0" w:space="0" w:color="auto"/>
        <w:right w:val="none" w:sz="0" w:space="0" w:color="auto"/>
      </w:divBdr>
    </w:div>
    <w:div w:id="1605266309">
      <w:bodyDiv w:val="1"/>
      <w:marLeft w:val="0"/>
      <w:marRight w:val="0"/>
      <w:marTop w:val="0"/>
      <w:marBottom w:val="0"/>
      <w:divBdr>
        <w:top w:val="none" w:sz="0" w:space="0" w:color="auto"/>
        <w:left w:val="none" w:sz="0" w:space="0" w:color="auto"/>
        <w:bottom w:val="none" w:sz="0" w:space="0" w:color="auto"/>
        <w:right w:val="none" w:sz="0" w:space="0" w:color="auto"/>
      </w:divBdr>
    </w:div>
    <w:div w:id="1701778462">
      <w:bodyDiv w:val="1"/>
      <w:marLeft w:val="0"/>
      <w:marRight w:val="0"/>
      <w:marTop w:val="0"/>
      <w:marBottom w:val="0"/>
      <w:divBdr>
        <w:top w:val="none" w:sz="0" w:space="0" w:color="auto"/>
        <w:left w:val="none" w:sz="0" w:space="0" w:color="auto"/>
        <w:bottom w:val="none" w:sz="0" w:space="0" w:color="auto"/>
        <w:right w:val="none" w:sz="0" w:space="0" w:color="auto"/>
      </w:divBdr>
    </w:div>
    <w:div w:id="1883444619">
      <w:bodyDiv w:val="1"/>
      <w:marLeft w:val="0"/>
      <w:marRight w:val="0"/>
      <w:marTop w:val="0"/>
      <w:marBottom w:val="0"/>
      <w:divBdr>
        <w:top w:val="none" w:sz="0" w:space="0" w:color="auto"/>
        <w:left w:val="none" w:sz="0" w:space="0" w:color="auto"/>
        <w:bottom w:val="none" w:sz="0" w:space="0" w:color="auto"/>
        <w:right w:val="none" w:sz="0" w:space="0" w:color="auto"/>
      </w:divBdr>
    </w:div>
    <w:div w:id="1926264804">
      <w:bodyDiv w:val="1"/>
      <w:marLeft w:val="0"/>
      <w:marRight w:val="0"/>
      <w:marTop w:val="0"/>
      <w:marBottom w:val="0"/>
      <w:divBdr>
        <w:top w:val="none" w:sz="0" w:space="0" w:color="auto"/>
        <w:left w:val="none" w:sz="0" w:space="0" w:color="auto"/>
        <w:bottom w:val="none" w:sz="0" w:space="0" w:color="auto"/>
        <w:right w:val="none" w:sz="0" w:space="0" w:color="auto"/>
      </w:divBdr>
    </w:div>
    <w:div w:id="2118601402">
      <w:bodyDiv w:val="1"/>
      <w:marLeft w:val="0"/>
      <w:marRight w:val="0"/>
      <w:marTop w:val="0"/>
      <w:marBottom w:val="0"/>
      <w:divBdr>
        <w:top w:val="none" w:sz="0" w:space="0" w:color="auto"/>
        <w:left w:val="none" w:sz="0" w:space="0" w:color="auto"/>
        <w:bottom w:val="none" w:sz="0" w:space="0" w:color="auto"/>
        <w:right w:val="none" w:sz="0" w:space="0" w:color="auto"/>
      </w:divBdr>
    </w:div>
    <w:div w:id="2126850444">
      <w:bodyDiv w:val="1"/>
      <w:marLeft w:val="0"/>
      <w:marRight w:val="0"/>
      <w:marTop w:val="0"/>
      <w:marBottom w:val="0"/>
      <w:divBdr>
        <w:top w:val="none" w:sz="0" w:space="0" w:color="auto"/>
        <w:left w:val="none" w:sz="0" w:space="0" w:color="auto"/>
        <w:bottom w:val="none" w:sz="0" w:space="0" w:color="auto"/>
        <w:right w:val="none" w:sz="0" w:space="0" w:color="auto"/>
      </w:divBdr>
      <w:divsChild>
        <w:div w:id="469592732">
          <w:marLeft w:val="0"/>
          <w:marRight w:val="0"/>
          <w:marTop w:val="0"/>
          <w:marBottom w:val="0"/>
          <w:divBdr>
            <w:top w:val="none" w:sz="0" w:space="0" w:color="auto"/>
            <w:left w:val="none" w:sz="0" w:space="0" w:color="auto"/>
            <w:bottom w:val="none" w:sz="0" w:space="0" w:color="auto"/>
            <w:right w:val="none" w:sz="0" w:space="0" w:color="auto"/>
          </w:divBdr>
          <w:divsChild>
            <w:div w:id="671837456">
              <w:marLeft w:val="0"/>
              <w:marRight w:val="0"/>
              <w:marTop w:val="0"/>
              <w:marBottom w:val="0"/>
              <w:divBdr>
                <w:top w:val="none" w:sz="0" w:space="0" w:color="auto"/>
                <w:left w:val="none" w:sz="0" w:space="0" w:color="auto"/>
                <w:bottom w:val="none" w:sz="0" w:space="0" w:color="auto"/>
                <w:right w:val="none" w:sz="0" w:space="0" w:color="auto"/>
              </w:divBdr>
              <w:divsChild>
                <w:div w:id="537086065">
                  <w:marLeft w:val="15"/>
                  <w:marRight w:val="0"/>
                  <w:marTop w:val="0"/>
                  <w:marBottom w:val="0"/>
                  <w:divBdr>
                    <w:top w:val="none" w:sz="0" w:space="0" w:color="auto"/>
                    <w:left w:val="none" w:sz="0" w:space="0" w:color="auto"/>
                    <w:bottom w:val="none" w:sz="0" w:space="0" w:color="auto"/>
                    <w:right w:val="none" w:sz="0" w:space="0" w:color="auto"/>
                  </w:divBdr>
                  <w:divsChild>
                    <w:div w:id="799305079">
                      <w:marLeft w:val="0"/>
                      <w:marRight w:val="0"/>
                      <w:marTop w:val="0"/>
                      <w:marBottom w:val="0"/>
                      <w:divBdr>
                        <w:top w:val="none" w:sz="0" w:space="0" w:color="auto"/>
                        <w:left w:val="none" w:sz="0" w:space="0" w:color="auto"/>
                        <w:bottom w:val="none" w:sz="0" w:space="0" w:color="auto"/>
                        <w:right w:val="none" w:sz="0" w:space="0" w:color="auto"/>
                      </w:divBdr>
                      <w:divsChild>
                        <w:div w:id="2140996372">
                          <w:marLeft w:val="0"/>
                          <w:marRight w:val="0"/>
                          <w:marTop w:val="0"/>
                          <w:marBottom w:val="0"/>
                          <w:divBdr>
                            <w:top w:val="none" w:sz="0" w:space="0" w:color="auto"/>
                            <w:left w:val="none" w:sz="0" w:space="0" w:color="auto"/>
                            <w:bottom w:val="none" w:sz="0" w:space="0" w:color="auto"/>
                            <w:right w:val="none" w:sz="0" w:space="0" w:color="auto"/>
                          </w:divBdr>
                          <w:divsChild>
                            <w:div w:id="4860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chart" Target="charts/chart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29"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hyperlink" Target="javascript:AddMetaDato('2951','Sistema%20de%20indicadores%20c&#237;clicos','');"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hyperlink" Target="https://www.inegi.org.mx/app/biblioteca/ficha.html?upc=702825099060" TargetMode="External"/><Relationship Id="rId30" Type="http://schemas.openxmlformats.org/officeDocument/2006/relationships/hyperlink" Target="https://www.inegi.org.mx/sistemas/bie/default.aspx" TargetMode="External"/><Relationship Id="rId8" Type="http://schemas.openxmlformats.org/officeDocument/2006/relationships/hyperlink" Target="mailto:comunicacionsocial@inegi.or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monica.jimenez\Documents\ITAT\2021\ITAT-21III\Graficas%20Turistico%20desestacionalizada-tendenciaII2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onica.jimenez\Documents\ITAT\2021\ITAT-21III\Graficas%20Turistico%20desestacionalizada-tendenciaII20.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onica.jimenez\Documents\ITAT\2021\ITAT-21III\Graficas%20Turistico%20desestacionalizada-tendenciaII2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onica.jimenez\Documents\ITAT\2021\ITAT-21III\Graficas%20Turistico%20desestacionalizada-tendenciaII2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onica.jimenez\Documents\ITAT\2021\ITAT-21III\Graficas%20Turistico%20desestacionalizada-tendenciaII20.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onica.jimenez\Documents\ITAT\2021\ITAT-21III\Graficas%20Turistico%20desestacionalizada-tendenciaII2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51E-2"/>
          <c:y val="3.0836814819635145E-2"/>
          <c:w val="0.9152601893408342"/>
          <c:h val="0.78564416333204257"/>
        </c:manualLayout>
      </c:layout>
      <c:barChart>
        <c:barDir val="col"/>
        <c:grouping val="stacked"/>
        <c:varyColors val="0"/>
        <c:ser>
          <c:idx val="0"/>
          <c:order val="0"/>
          <c:tx>
            <c:strRef>
              <c:f>datos!$D$4</c:f>
              <c:strCache>
                <c:ptCount val="1"/>
                <c:pt idx="0">
                  <c:v>Serie Desestacionalizada</c:v>
                </c:pt>
              </c:strCache>
            </c:strRef>
          </c:tx>
          <c:spPr>
            <a:solidFill>
              <a:schemeClr val="accent1">
                <a:lumMod val="75000"/>
              </a:schemeClr>
            </a:solidFill>
            <a:ln w="12700">
              <a:noFill/>
              <a:prstDash val="solid"/>
            </a:ln>
            <a:effectLst/>
            <a:scene3d>
              <a:camera prst="orthographicFront"/>
              <a:lightRig rig="threePt" dir="t"/>
            </a:scene3d>
            <a:sp3d/>
          </c:spPr>
          <c:invertIfNegative val="0"/>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datos!$D$17:$D$71</c:f>
              <c:numCache>
                <c:formatCode>0.0</c:formatCode>
                <c:ptCount val="55"/>
                <c:pt idx="0">
                  <c:v>95.087834193231799</c:v>
                </c:pt>
                <c:pt idx="1">
                  <c:v>94.883928328344894</c:v>
                </c:pt>
                <c:pt idx="2">
                  <c:v>94.275867983715699</c:v>
                </c:pt>
                <c:pt idx="3">
                  <c:v>97.099344941775001</c:v>
                </c:pt>
                <c:pt idx="4">
                  <c:v>92.776410205493704</c:v>
                </c:pt>
                <c:pt idx="5">
                  <c:v>85.707088630085806</c:v>
                </c:pt>
                <c:pt idx="6">
                  <c:v>90.692704543696394</c:v>
                </c:pt>
                <c:pt idx="7">
                  <c:v>91.2582074383416</c:v>
                </c:pt>
                <c:pt idx="8">
                  <c:v>92.545596437390302</c:v>
                </c:pt>
                <c:pt idx="9">
                  <c:v>91.856535378120299</c:v>
                </c:pt>
                <c:pt idx="10">
                  <c:v>92.479395739428099</c:v>
                </c:pt>
                <c:pt idx="11">
                  <c:v>91.615250455098803</c:v>
                </c:pt>
                <c:pt idx="12">
                  <c:v>92.165849118528001</c:v>
                </c:pt>
                <c:pt idx="13">
                  <c:v>94.199510319729399</c:v>
                </c:pt>
                <c:pt idx="14">
                  <c:v>95.287300398039505</c:v>
                </c:pt>
                <c:pt idx="15">
                  <c:v>97.598672330211301</c:v>
                </c:pt>
                <c:pt idx="16">
                  <c:v>96.221298064189099</c:v>
                </c:pt>
                <c:pt idx="17">
                  <c:v>98.6070416660001</c:v>
                </c:pt>
                <c:pt idx="18">
                  <c:v>98.701374664819795</c:v>
                </c:pt>
                <c:pt idx="19">
                  <c:v>97.949030875533794</c:v>
                </c:pt>
                <c:pt idx="20">
                  <c:v>98.249190548466103</c:v>
                </c:pt>
                <c:pt idx="21">
                  <c:v>99.0379079404225</c:v>
                </c:pt>
                <c:pt idx="22">
                  <c:v>100.95010064916301</c:v>
                </c:pt>
                <c:pt idx="23">
                  <c:v>101.649860724706</c:v>
                </c:pt>
                <c:pt idx="24">
                  <c:v>100.913530279851</c:v>
                </c:pt>
                <c:pt idx="25">
                  <c:v>101.051003690849</c:v>
                </c:pt>
                <c:pt idx="26">
                  <c:v>101.509548571642</c:v>
                </c:pt>
                <c:pt idx="27">
                  <c:v>102.589290728218</c:v>
                </c:pt>
                <c:pt idx="28">
                  <c:v>102.033327181177</c:v>
                </c:pt>
                <c:pt idx="29">
                  <c:v>103.915100597877</c:v>
                </c:pt>
                <c:pt idx="30">
                  <c:v>106.38494435363801</c:v>
                </c:pt>
                <c:pt idx="31">
                  <c:v>107.208740103962</c:v>
                </c:pt>
                <c:pt idx="32">
                  <c:v>105.975456256264</c:v>
                </c:pt>
                <c:pt idx="33">
                  <c:v>106.060968821684</c:v>
                </c:pt>
                <c:pt idx="34">
                  <c:v>107.677037061129</c:v>
                </c:pt>
                <c:pt idx="35">
                  <c:v>109.743849457043</c:v>
                </c:pt>
                <c:pt idx="36">
                  <c:v>112.75447886815201</c:v>
                </c:pt>
                <c:pt idx="37">
                  <c:v>110.563387543598</c:v>
                </c:pt>
                <c:pt idx="38">
                  <c:v>108.68370368228101</c:v>
                </c:pt>
                <c:pt idx="39">
                  <c:v>110.301146272737</c:v>
                </c:pt>
                <c:pt idx="40">
                  <c:v>111.792850646139</c:v>
                </c:pt>
                <c:pt idx="41">
                  <c:v>113.058747753525</c:v>
                </c:pt>
                <c:pt idx="42">
                  <c:v>113.19620028618201</c:v>
                </c:pt>
                <c:pt idx="43">
                  <c:v>113.08214668746599</c:v>
                </c:pt>
                <c:pt idx="44">
                  <c:v>112.654061666242</c:v>
                </c:pt>
                <c:pt idx="45">
                  <c:v>111.542005541159</c:v>
                </c:pt>
                <c:pt idx="46">
                  <c:v>115.27111061072701</c:v>
                </c:pt>
                <c:pt idx="47">
                  <c:v>111.772496127474</c:v>
                </c:pt>
                <c:pt idx="48">
                  <c:v>113.737449545121</c:v>
                </c:pt>
                <c:pt idx="49">
                  <c:v>58.652728304850903</c:v>
                </c:pt>
                <c:pt idx="50">
                  <c:v>77.310966496105195</c:v>
                </c:pt>
                <c:pt idx="51">
                  <c:v>85.7735438313846</c:v>
                </c:pt>
                <c:pt idx="52">
                  <c:v>85.8581807271689</c:v>
                </c:pt>
                <c:pt idx="53">
                  <c:v>94.160594841201601</c:v>
                </c:pt>
                <c:pt idx="54">
                  <c:v>96.542427840669802</c:v>
                </c:pt>
              </c:numCache>
            </c:numRef>
          </c:val>
          <c:extLst>
            <c:ext xmlns:c16="http://schemas.microsoft.com/office/drawing/2014/chart" uri="{C3380CC4-5D6E-409C-BE32-E72D297353CC}">
              <c16:uniqueId val="{00000000-7DB4-47A2-B329-6ECDB5AD0E45}"/>
            </c:ext>
          </c:extLst>
        </c:ser>
        <c:dLbls>
          <c:showLegendKey val="0"/>
          <c:showVal val="0"/>
          <c:showCatName val="0"/>
          <c:showSerName val="0"/>
          <c:showPercent val="0"/>
          <c:showBubbleSize val="0"/>
        </c:dLbls>
        <c:gapWidth val="60"/>
        <c:overlap val="100"/>
        <c:axId val="884170672"/>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datos!$E$17:$E$71</c:f>
              <c:numCache>
                <c:formatCode>0.0</c:formatCode>
                <c:ptCount val="55"/>
                <c:pt idx="0">
                  <c:v>94.417407551609401</c:v>
                </c:pt>
                <c:pt idx="1">
                  <c:v>94.964168272386104</c:v>
                </c:pt>
                <c:pt idx="2">
                  <c:v>94.665524140396599</c:v>
                </c:pt>
                <c:pt idx="3">
                  <c:v>94.489481036152995</c:v>
                </c:pt>
                <c:pt idx="4">
                  <c:v>93.930295782434101</c:v>
                </c:pt>
                <c:pt idx="5">
                  <c:v>93.495068200438496</c:v>
                </c:pt>
                <c:pt idx="6">
                  <c:v>93.1334751139714</c:v>
                </c:pt>
                <c:pt idx="7">
                  <c:v>92.683201451636094</c:v>
                </c:pt>
                <c:pt idx="8">
                  <c:v>92.392439720711707</c:v>
                </c:pt>
                <c:pt idx="9">
                  <c:v>92.402557249619093</c:v>
                </c:pt>
                <c:pt idx="10">
                  <c:v>92.094351173649002</c:v>
                </c:pt>
                <c:pt idx="11">
                  <c:v>91.834880208816799</c:v>
                </c:pt>
                <c:pt idx="12">
                  <c:v>92.353155957319004</c:v>
                </c:pt>
                <c:pt idx="13">
                  <c:v>93.863256147048801</c:v>
                </c:pt>
                <c:pt idx="14">
                  <c:v>95.695958515275805</c:v>
                </c:pt>
                <c:pt idx="15">
                  <c:v>97.138270879815096</c:v>
                </c:pt>
                <c:pt idx="16">
                  <c:v>98.065064520755897</c:v>
                </c:pt>
                <c:pt idx="17">
                  <c:v>98.503705690107907</c:v>
                </c:pt>
                <c:pt idx="18">
                  <c:v>98.556190913960606</c:v>
                </c:pt>
                <c:pt idx="19">
                  <c:v>98.129892138404003</c:v>
                </c:pt>
                <c:pt idx="20">
                  <c:v>98.161162926835601</c:v>
                </c:pt>
                <c:pt idx="21">
                  <c:v>99.256045761262598</c:v>
                </c:pt>
                <c:pt idx="22">
                  <c:v>100.79500546288</c:v>
                </c:pt>
                <c:pt idx="23">
                  <c:v>101.463830697584</c:v>
                </c:pt>
                <c:pt idx="24">
                  <c:v>101.123723165602</c:v>
                </c:pt>
                <c:pt idx="25">
                  <c:v>101.01869810528299</c:v>
                </c:pt>
                <c:pt idx="26">
                  <c:v>101.57603497423</c:v>
                </c:pt>
                <c:pt idx="27">
                  <c:v>101.89348949992799</c:v>
                </c:pt>
                <c:pt idx="28">
                  <c:v>102.346973340045</c:v>
                </c:pt>
                <c:pt idx="29">
                  <c:v>103.973646435527</c:v>
                </c:pt>
                <c:pt idx="30">
                  <c:v>106.25108134040499</c:v>
                </c:pt>
                <c:pt idx="31">
                  <c:v>106.93068045474401</c:v>
                </c:pt>
                <c:pt idx="32">
                  <c:v>106.207786507157</c:v>
                </c:pt>
                <c:pt idx="33">
                  <c:v>106.155804438285</c:v>
                </c:pt>
                <c:pt idx="34">
                  <c:v>107.564615879321</c:v>
                </c:pt>
                <c:pt idx="35">
                  <c:v>110.219018573062</c:v>
                </c:pt>
                <c:pt idx="36">
                  <c:v>111.875029998915</c:v>
                </c:pt>
                <c:pt idx="37">
                  <c:v>110.72199991351999</c:v>
                </c:pt>
                <c:pt idx="38">
                  <c:v>109.186704978468</c:v>
                </c:pt>
                <c:pt idx="39">
                  <c:v>110.042479461488</c:v>
                </c:pt>
                <c:pt idx="40">
                  <c:v>111.851780483393</c:v>
                </c:pt>
                <c:pt idx="41">
                  <c:v>112.928079603898</c:v>
                </c:pt>
                <c:pt idx="42">
                  <c:v>113.265181889064</c:v>
                </c:pt>
                <c:pt idx="43">
                  <c:v>113.10471907276199</c:v>
                </c:pt>
                <c:pt idx="44">
                  <c:v>112.377340400279</c:v>
                </c:pt>
                <c:pt idx="45">
                  <c:v>112.209338953463</c:v>
                </c:pt>
                <c:pt idx="46">
                  <c:v>112.263466438466</c:v>
                </c:pt>
                <c:pt idx="47">
                  <c:v>112.424091567662</c:v>
                </c:pt>
                <c:pt idx="48">
                  <c:v>113.540770524359</c:v>
                </c:pt>
                <c:pt idx="49">
                  <c:v>74.776991204428498</c:v>
                </c:pt>
                <c:pt idx="50">
                  <c:v>77.7547850898071</c:v>
                </c:pt>
                <c:pt idx="51">
                  <c:v>82.743000457248101</c:v>
                </c:pt>
                <c:pt idx="52">
                  <c:v>88.855714300513597</c:v>
                </c:pt>
                <c:pt idx="53">
                  <c:v>93.710209277742905</c:v>
                </c:pt>
                <c:pt idx="54">
                  <c:v>96.893833482614099</c:v>
                </c:pt>
              </c:numCache>
            </c:numRef>
          </c:val>
          <c:smooth val="0"/>
          <c:extLst>
            <c:ext xmlns:c16="http://schemas.microsoft.com/office/drawing/2014/chart" uri="{C3380CC4-5D6E-409C-BE32-E72D297353CC}">
              <c16:uniqueId val="{00000001-7DB4-47A2-B329-6ECDB5AD0E45}"/>
            </c:ext>
          </c:extLst>
        </c:ser>
        <c:dLbls>
          <c:showLegendKey val="0"/>
          <c:showVal val="0"/>
          <c:showCatName val="0"/>
          <c:showSerName val="0"/>
          <c:showPercent val="0"/>
          <c:showBubbleSize val="0"/>
        </c:dLbls>
        <c:marker val="1"/>
        <c:smooth val="0"/>
        <c:axId val="884170672"/>
        <c:axId val="1"/>
      </c:lineChart>
      <c:catAx>
        <c:axId val="88417067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884170672"/>
        <c:crosses val="autoZero"/>
        <c:crossBetween val="between"/>
      </c:valAx>
      <c:spPr>
        <a:noFill/>
        <a:ln w="12700">
          <a:solidFill>
            <a:srgbClr val="808080"/>
          </a:solidFill>
          <a:prstDash val="solid"/>
        </a:ln>
      </c:spPr>
    </c:plotArea>
    <c:legend>
      <c:legendPos val="r"/>
      <c:layout>
        <c:manualLayout>
          <c:xMode val="edge"/>
          <c:yMode val="edge"/>
          <c:x val="0"/>
          <c:y val="0.91980360065466449"/>
          <c:w val="0.99666295884315903"/>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65E-2"/>
          <c:y val="3.0836814819635152E-2"/>
          <c:w val="0.91526018934083408"/>
          <c:h val="0.78347268269097947"/>
        </c:manualLayout>
      </c:layout>
      <c:barChart>
        <c:barDir val="col"/>
        <c:grouping val="clustered"/>
        <c:varyColors val="0"/>
        <c:ser>
          <c:idx val="0"/>
          <c:order val="0"/>
          <c:tx>
            <c:strRef>
              <c:f>datos!$H$4</c:f>
              <c:strCache>
                <c:ptCount val="1"/>
                <c:pt idx="0">
                  <c:v>Serie Desestacionalizada</c:v>
                </c:pt>
              </c:strCache>
            </c:strRef>
          </c:tx>
          <c:spPr>
            <a:solidFill>
              <a:schemeClr val="accent1">
                <a:lumMod val="75000"/>
              </a:schemeClr>
            </a:solidFill>
            <a:ln w="12700">
              <a:noFill/>
              <a:prstDash val="solid"/>
            </a:ln>
            <a:effectLst/>
            <a:scene3d>
              <a:camera prst="orthographicFront"/>
              <a:lightRig rig="threePt" dir="t"/>
            </a:scene3d>
            <a:sp3d/>
          </c:spPr>
          <c:invertIfNegative val="0"/>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datos!$H$17:$H$71</c:f>
              <c:numCache>
                <c:formatCode>0.0</c:formatCode>
                <c:ptCount val="55"/>
                <c:pt idx="0">
                  <c:v>93.617180674287994</c:v>
                </c:pt>
                <c:pt idx="1">
                  <c:v>93.200183534558406</c:v>
                </c:pt>
                <c:pt idx="2">
                  <c:v>92.845558140201305</c:v>
                </c:pt>
                <c:pt idx="3">
                  <c:v>95.377905346457297</c:v>
                </c:pt>
                <c:pt idx="4">
                  <c:v>91.218586662583803</c:v>
                </c:pt>
                <c:pt idx="5">
                  <c:v>85.075553370620895</c:v>
                </c:pt>
                <c:pt idx="6">
                  <c:v>89.815026372829394</c:v>
                </c:pt>
                <c:pt idx="7">
                  <c:v>90.116675737467801</c:v>
                </c:pt>
                <c:pt idx="8">
                  <c:v>91.816522169336807</c:v>
                </c:pt>
                <c:pt idx="9">
                  <c:v>91.178945719331594</c:v>
                </c:pt>
                <c:pt idx="10">
                  <c:v>91.867354843488897</c:v>
                </c:pt>
                <c:pt idx="11">
                  <c:v>91.719953259441496</c:v>
                </c:pt>
                <c:pt idx="12">
                  <c:v>91.803306488218496</c:v>
                </c:pt>
                <c:pt idx="13">
                  <c:v>93.936704106889295</c:v>
                </c:pt>
                <c:pt idx="14">
                  <c:v>94.844596022411196</c:v>
                </c:pt>
                <c:pt idx="15">
                  <c:v>97.010846231149301</c:v>
                </c:pt>
                <c:pt idx="16">
                  <c:v>95.524641560084007</c:v>
                </c:pt>
                <c:pt idx="17">
                  <c:v>98.095178983888403</c:v>
                </c:pt>
                <c:pt idx="18">
                  <c:v>98.394508756612197</c:v>
                </c:pt>
                <c:pt idx="19">
                  <c:v>97.555164663989899</c:v>
                </c:pt>
                <c:pt idx="20">
                  <c:v>98.314661694340799</c:v>
                </c:pt>
                <c:pt idx="21">
                  <c:v>98.804518568673501</c:v>
                </c:pt>
                <c:pt idx="22">
                  <c:v>100.973318615952</c:v>
                </c:pt>
                <c:pt idx="23">
                  <c:v>101.843286872611</c:v>
                </c:pt>
                <c:pt idx="24">
                  <c:v>101.466074974458</c:v>
                </c:pt>
                <c:pt idx="25">
                  <c:v>101.84498743073</c:v>
                </c:pt>
                <c:pt idx="26">
                  <c:v>102.281474616636</c:v>
                </c:pt>
                <c:pt idx="27">
                  <c:v>103.974985295883</c:v>
                </c:pt>
                <c:pt idx="28">
                  <c:v>103.256827236793</c:v>
                </c:pt>
                <c:pt idx="29">
                  <c:v>105.502296237892</c:v>
                </c:pt>
                <c:pt idx="30">
                  <c:v>107.72213540270501</c:v>
                </c:pt>
                <c:pt idx="31">
                  <c:v>108.47870305951299</c:v>
                </c:pt>
                <c:pt idx="32">
                  <c:v>107.92165121513</c:v>
                </c:pt>
                <c:pt idx="33">
                  <c:v>108.447609842961</c:v>
                </c:pt>
                <c:pt idx="34">
                  <c:v>110.192994250862</c:v>
                </c:pt>
                <c:pt idx="35">
                  <c:v>111.996306661454</c:v>
                </c:pt>
                <c:pt idx="36">
                  <c:v>113.561026972815</c:v>
                </c:pt>
                <c:pt idx="37">
                  <c:v>111.985070548829</c:v>
                </c:pt>
                <c:pt idx="38">
                  <c:v>111.269161180708</c:v>
                </c:pt>
                <c:pt idx="39">
                  <c:v>113.608702575085</c:v>
                </c:pt>
                <c:pt idx="40">
                  <c:v>115.94870147271401</c:v>
                </c:pt>
                <c:pt idx="41">
                  <c:v>116.79894974613499</c:v>
                </c:pt>
                <c:pt idx="42">
                  <c:v>116.73367822988401</c:v>
                </c:pt>
                <c:pt idx="43">
                  <c:v>116.818644651941</c:v>
                </c:pt>
                <c:pt idx="44">
                  <c:v>116.976917897193</c:v>
                </c:pt>
                <c:pt idx="45">
                  <c:v>115.72233263656</c:v>
                </c:pt>
                <c:pt idx="46">
                  <c:v>119.14384097016099</c:v>
                </c:pt>
                <c:pt idx="47">
                  <c:v>116.12117696414199</c:v>
                </c:pt>
                <c:pt idx="48">
                  <c:v>117.500316061646</c:v>
                </c:pt>
                <c:pt idx="49">
                  <c:v>61.887274672561297</c:v>
                </c:pt>
                <c:pt idx="50">
                  <c:v>80.238907657601303</c:v>
                </c:pt>
                <c:pt idx="51">
                  <c:v>88.598747158508004</c:v>
                </c:pt>
                <c:pt idx="52">
                  <c:v>89.752080039326998</c:v>
                </c:pt>
                <c:pt idx="53">
                  <c:v>99.950914099871298</c:v>
                </c:pt>
                <c:pt idx="54">
                  <c:v>103.073661748989</c:v>
                </c:pt>
              </c:numCache>
            </c:numRef>
          </c:val>
          <c:extLst>
            <c:ext xmlns:c16="http://schemas.microsoft.com/office/drawing/2014/chart" uri="{C3380CC4-5D6E-409C-BE32-E72D297353CC}">
              <c16:uniqueId val="{00000000-10EB-438C-8A6D-B412D59049D0}"/>
            </c:ext>
          </c:extLst>
        </c:ser>
        <c:dLbls>
          <c:showLegendKey val="0"/>
          <c:showVal val="0"/>
          <c:showCatName val="0"/>
          <c:showSerName val="0"/>
          <c:showPercent val="0"/>
          <c:showBubbleSize val="0"/>
        </c:dLbls>
        <c:gapWidth val="60"/>
        <c:axId val="884168176"/>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datos!$I$17:$I$71</c:f>
              <c:numCache>
                <c:formatCode>0.0</c:formatCode>
                <c:ptCount val="55"/>
                <c:pt idx="0">
                  <c:v>92.887339737195703</c:v>
                </c:pt>
                <c:pt idx="1">
                  <c:v>93.369379291831706</c:v>
                </c:pt>
                <c:pt idx="2">
                  <c:v>93.147828953181204</c:v>
                </c:pt>
                <c:pt idx="3">
                  <c:v>92.967077859880902</c:v>
                </c:pt>
                <c:pt idx="4">
                  <c:v>92.342610098423606</c:v>
                </c:pt>
                <c:pt idx="5">
                  <c:v>92.070641132069994</c:v>
                </c:pt>
                <c:pt idx="6">
                  <c:v>91.862806571102993</c:v>
                </c:pt>
                <c:pt idx="7">
                  <c:v>91.579168696057707</c:v>
                </c:pt>
                <c:pt idx="8">
                  <c:v>91.529710750758298</c:v>
                </c:pt>
                <c:pt idx="9">
                  <c:v>91.695944698823894</c:v>
                </c:pt>
                <c:pt idx="10">
                  <c:v>91.660490516006703</c:v>
                </c:pt>
                <c:pt idx="11">
                  <c:v>91.675154431258704</c:v>
                </c:pt>
                <c:pt idx="12">
                  <c:v>92.180981753575693</c:v>
                </c:pt>
                <c:pt idx="13">
                  <c:v>93.515059196960905</c:v>
                </c:pt>
                <c:pt idx="14">
                  <c:v>95.278608669778606</c:v>
                </c:pt>
                <c:pt idx="15">
                  <c:v>96.521933025487996</c:v>
                </c:pt>
                <c:pt idx="16">
                  <c:v>97.388876864637894</c:v>
                </c:pt>
                <c:pt idx="17">
                  <c:v>97.984977668273402</c:v>
                </c:pt>
                <c:pt idx="18">
                  <c:v>98.167272180960893</c:v>
                </c:pt>
                <c:pt idx="19">
                  <c:v>97.893369320296401</c:v>
                </c:pt>
                <c:pt idx="20">
                  <c:v>98.034388447512598</c:v>
                </c:pt>
                <c:pt idx="21">
                  <c:v>99.166244432034304</c:v>
                </c:pt>
                <c:pt idx="22">
                  <c:v>100.750878289837</c:v>
                </c:pt>
                <c:pt idx="23">
                  <c:v>101.699983720641</c:v>
                </c:pt>
                <c:pt idx="24">
                  <c:v>101.664462875974</c:v>
                </c:pt>
                <c:pt idx="25">
                  <c:v>101.74955608357</c:v>
                </c:pt>
                <c:pt idx="26">
                  <c:v>102.42297933181101</c:v>
                </c:pt>
                <c:pt idx="27">
                  <c:v>103.137065087422</c:v>
                </c:pt>
                <c:pt idx="28">
                  <c:v>104.00169828054401</c:v>
                </c:pt>
                <c:pt idx="29">
                  <c:v>105.59316873278701</c:v>
                </c:pt>
                <c:pt idx="30">
                  <c:v>107.565368337688</c:v>
                </c:pt>
                <c:pt idx="31">
                  <c:v>108.31371516686799</c:v>
                </c:pt>
                <c:pt idx="32">
                  <c:v>108.08761103323199</c:v>
                </c:pt>
                <c:pt idx="33">
                  <c:v>108.542911153416</c:v>
                </c:pt>
                <c:pt idx="34">
                  <c:v>110.129481904063</c:v>
                </c:pt>
                <c:pt idx="35">
                  <c:v>112.187624337042</c:v>
                </c:pt>
                <c:pt idx="36">
                  <c:v>113.05417740297599</c:v>
                </c:pt>
                <c:pt idx="37">
                  <c:v>112.11762901657799</c:v>
                </c:pt>
                <c:pt idx="38">
                  <c:v>111.654679839042</c:v>
                </c:pt>
                <c:pt idx="39">
                  <c:v>113.49380576470899</c:v>
                </c:pt>
                <c:pt idx="40">
                  <c:v>115.797116793686</c:v>
                </c:pt>
                <c:pt idx="41">
                  <c:v>116.762858610602</c:v>
                </c:pt>
                <c:pt idx="42">
                  <c:v>116.817581956125</c:v>
                </c:pt>
                <c:pt idx="43">
                  <c:v>116.922119891428</c:v>
                </c:pt>
                <c:pt idx="44">
                  <c:v>116.572986495555</c:v>
                </c:pt>
                <c:pt idx="45">
                  <c:v>116.37681249017599</c:v>
                </c:pt>
                <c:pt idx="46">
                  <c:v>116.370679786274</c:v>
                </c:pt>
                <c:pt idx="47">
                  <c:v>116.507844820291</c:v>
                </c:pt>
                <c:pt idx="48">
                  <c:v>117.50658490465599</c:v>
                </c:pt>
                <c:pt idx="49">
                  <c:v>77.418263902774001</c:v>
                </c:pt>
                <c:pt idx="50">
                  <c:v>80.601010136549704</c:v>
                </c:pt>
                <c:pt idx="51">
                  <c:v>85.998313542117998</c:v>
                </c:pt>
                <c:pt idx="52">
                  <c:v>93.190755121025006</c:v>
                </c:pt>
                <c:pt idx="53">
                  <c:v>99.3852929311455</c:v>
                </c:pt>
                <c:pt idx="54">
                  <c:v>103.44114652279499</c:v>
                </c:pt>
              </c:numCache>
            </c:numRef>
          </c:val>
          <c:smooth val="0"/>
          <c:extLst>
            <c:ext xmlns:c16="http://schemas.microsoft.com/office/drawing/2014/chart" uri="{C3380CC4-5D6E-409C-BE32-E72D297353CC}">
              <c16:uniqueId val="{00000001-10EB-438C-8A6D-B412D59049D0}"/>
            </c:ext>
          </c:extLst>
        </c:ser>
        <c:dLbls>
          <c:showLegendKey val="0"/>
          <c:showVal val="0"/>
          <c:showCatName val="0"/>
          <c:showSerName val="0"/>
          <c:showPercent val="0"/>
          <c:showBubbleSize val="0"/>
        </c:dLbls>
        <c:marker val="1"/>
        <c:smooth val="0"/>
        <c:axId val="884168176"/>
        <c:axId val="1"/>
      </c:lineChart>
      <c:catAx>
        <c:axId val="8841681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884168176"/>
        <c:crosses val="autoZero"/>
        <c:crossBetween val="between"/>
      </c:valAx>
      <c:spPr>
        <a:noFill/>
        <a:ln w="12700">
          <a:solidFill>
            <a:schemeClr val="bg1">
              <a:lumMod val="65000"/>
            </a:schemeClr>
          </a:solidFill>
        </a:ln>
      </c:spPr>
    </c:plotArea>
    <c:legend>
      <c:legendPos val="r"/>
      <c:layout>
        <c:manualLayout>
          <c:xMode val="edge"/>
          <c:yMode val="edge"/>
          <c:x val="2.2246941045606229E-3"/>
          <c:y val="0.91311475409836063"/>
          <c:w val="0.99332591768631817"/>
          <c:h val="5.9016393442622953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253098436496176E-2"/>
          <c:y val="2.5852478720533766E-2"/>
          <c:w val="0.91526018934083408"/>
          <c:h val="0.78127257863258892"/>
        </c:manualLayout>
      </c:layout>
      <c:barChart>
        <c:barDir val="col"/>
        <c:grouping val="clustered"/>
        <c:varyColors val="0"/>
        <c:ser>
          <c:idx val="0"/>
          <c:order val="0"/>
          <c:tx>
            <c:strRef>
              <c:f>datos!$F$4</c:f>
              <c:strCache>
                <c:ptCount val="1"/>
                <c:pt idx="0">
                  <c:v>Serie Desestacionalizada</c:v>
                </c:pt>
              </c:strCache>
            </c:strRef>
          </c:tx>
          <c:spPr>
            <a:solidFill>
              <a:schemeClr val="accent1">
                <a:lumMod val="75000"/>
              </a:schemeClr>
            </a:solidFill>
            <a:ln w="12700">
              <a:noFill/>
              <a:prstDash val="solid"/>
            </a:ln>
            <a:effectLst/>
            <a:scene3d>
              <a:camera prst="orthographicFront"/>
              <a:lightRig rig="threePt" dir="t"/>
            </a:scene3d>
            <a:sp3d/>
          </c:spPr>
          <c:invertIfNegative val="0"/>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datos!$F$17:$F$71</c:f>
              <c:numCache>
                <c:formatCode>0.0</c:formatCode>
                <c:ptCount val="55"/>
                <c:pt idx="0">
                  <c:v>101.429358735504</c:v>
                </c:pt>
                <c:pt idx="1">
                  <c:v>102.083971071973</c:v>
                </c:pt>
                <c:pt idx="2">
                  <c:v>100.309219722387</c:v>
                </c:pt>
                <c:pt idx="3">
                  <c:v>103.528853645986</c:v>
                </c:pt>
                <c:pt idx="4">
                  <c:v>99.625722946341497</c:v>
                </c:pt>
                <c:pt idx="5">
                  <c:v>88.484621773189701</c:v>
                </c:pt>
                <c:pt idx="6">
                  <c:v>94.403420215259899</c:v>
                </c:pt>
                <c:pt idx="7">
                  <c:v>95.269962186539303</c:v>
                </c:pt>
                <c:pt idx="8">
                  <c:v>96.077547553327506</c:v>
                </c:pt>
                <c:pt idx="9">
                  <c:v>94.772266408088498</c:v>
                </c:pt>
                <c:pt idx="10">
                  <c:v>95.138249798944898</c:v>
                </c:pt>
                <c:pt idx="11">
                  <c:v>90.496240805028506</c:v>
                </c:pt>
                <c:pt idx="12">
                  <c:v>94.163989124288094</c:v>
                </c:pt>
                <c:pt idx="13">
                  <c:v>95.342338299647494</c:v>
                </c:pt>
                <c:pt idx="14">
                  <c:v>97.189798118340903</c:v>
                </c:pt>
                <c:pt idx="15">
                  <c:v>99.578531939815406</c:v>
                </c:pt>
                <c:pt idx="16">
                  <c:v>99.391846228474904</c:v>
                </c:pt>
                <c:pt idx="17">
                  <c:v>100.73048189612101</c:v>
                </c:pt>
                <c:pt idx="18">
                  <c:v>100.05067522063599</c:v>
                </c:pt>
                <c:pt idx="19">
                  <c:v>99.484193145573201</c:v>
                </c:pt>
                <c:pt idx="20">
                  <c:v>97.854491229988497</c:v>
                </c:pt>
                <c:pt idx="21">
                  <c:v>100.13811512834</c:v>
                </c:pt>
                <c:pt idx="22">
                  <c:v>100.891891989482</c:v>
                </c:pt>
                <c:pt idx="23">
                  <c:v>101.000933472409</c:v>
                </c:pt>
                <c:pt idx="24">
                  <c:v>98.185181393202797</c:v>
                </c:pt>
                <c:pt idx="25">
                  <c:v>97.9834113898292</c:v>
                </c:pt>
                <c:pt idx="26">
                  <c:v>98.438840605166206</c:v>
                </c:pt>
                <c:pt idx="27">
                  <c:v>96.898410592138006</c:v>
                </c:pt>
                <c:pt idx="28">
                  <c:v>96.542560630251998</c:v>
                </c:pt>
                <c:pt idx="29">
                  <c:v>97.631520399102897</c:v>
                </c:pt>
                <c:pt idx="30">
                  <c:v>101.08540549723</c:v>
                </c:pt>
                <c:pt idx="31">
                  <c:v>101.548675219492</c:v>
                </c:pt>
                <c:pt idx="32">
                  <c:v>97.938295371275004</c:v>
                </c:pt>
                <c:pt idx="33">
                  <c:v>96.321210825735605</c:v>
                </c:pt>
                <c:pt idx="34">
                  <c:v>97.445413119622003</c:v>
                </c:pt>
                <c:pt idx="35">
                  <c:v>99.630401690226094</c:v>
                </c:pt>
                <c:pt idx="36">
                  <c:v>109.718037655136</c:v>
                </c:pt>
                <c:pt idx="37">
                  <c:v>104.732461923541</c:v>
                </c:pt>
                <c:pt idx="38">
                  <c:v>97.992809777888695</c:v>
                </c:pt>
                <c:pt idx="39">
                  <c:v>95.948580301905594</c:v>
                </c:pt>
                <c:pt idx="40">
                  <c:v>95.091270093040805</c:v>
                </c:pt>
                <c:pt idx="41">
                  <c:v>97.843630089250098</c:v>
                </c:pt>
                <c:pt idx="42">
                  <c:v>98.180470108710097</c:v>
                </c:pt>
                <c:pt idx="43">
                  <c:v>97.202660063972502</c:v>
                </c:pt>
                <c:pt idx="44">
                  <c:v>95.074569311880197</c:v>
                </c:pt>
                <c:pt idx="45">
                  <c:v>94.6027716710676</c:v>
                </c:pt>
                <c:pt idx="46">
                  <c:v>98.636428547467204</c:v>
                </c:pt>
                <c:pt idx="47">
                  <c:v>93.710196252266101</c:v>
                </c:pt>
                <c:pt idx="48">
                  <c:v>98.075836561387206</c:v>
                </c:pt>
                <c:pt idx="49">
                  <c:v>45.389632614088001</c:v>
                </c:pt>
                <c:pt idx="50">
                  <c:v>64.745002508468204</c:v>
                </c:pt>
                <c:pt idx="51">
                  <c:v>74.098978734895098</c:v>
                </c:pt>
                <c:pt idx="52">
                  <c:v>69.916975078166402</c:v>
                </c:pt>
                <c:pt idx="53">
                  <c:v>70.132642661113195</c:v>
                </c:pt>
                <c:pt idx="54">
                  <c:v>68.370106133687401</c:v>
                </c:pt>
              </c:numCache>
            </c:numRef>
          </c:val>
          <c:extLst>
            <c:ext xmlns:c16="http://schemas.microsoft.com/office/drawing/2014/chart" uri="{C3380CC4-5D6E-409C-BE32-E72D297353CC}">
              <c16:uniqueId val="{00000000-BAB9-4C95-92EA-1576A619437C}"/>
            </c:ext>
          </c:extLst>
        </c:ser>
        <c:dLbls>
          <c:showLegendKey val="0"/>
          <c:showVal val="0"/>
          <c:showCatName val="0"/>
          <c:showSerName val="0"/>
          <c:showPercent val="0"/>
          <c:showBubbleSize val="0"/>
        </c:dLbls>
        <c:gapWidth val="60"/>
        <c:axId val="884183152"/>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datos!$G$17:$G$71</c:f>
              <c:numCache>
                <c:formatCode>0.0</c:formatCode>
                <c:ptCount val="55"/>
                <c:pt idx="0">
                  <c:v>100.668611021953</c:v>
                </c:pt>
                <c:pt idx="1">
                  <c:v>101.857658267451</c:v>
                </c:pt>
                <c:pt idx="2">
                  <c:v>101.825478349722</c:v>
                </c:pt>
                <c:pt idx="3">
                  <c:v>101.605190722144</c:v>
                </c:pt>
                <c:pt idx="4">
                  <c:v>100.466269581308</c:v>
                </c:pt>
                <c:pt idx="5">
                  <c:v>98.9907383317328</c:v>
                </c:pt>
                <c:pt idx="6">
                  <c:v>98.047206756654404</c:v>
                </c:pt>
                <c:pt idx="7">
                  <c:v>96.956041723161107</c:v>
                </c:pt>
                <c:pt idx="8">
                  <c:v>96.049672908917003</c:v>
                </c:pt>
                <c:pt idx="9">
                  <c:v>95.489700615480203</c:v>
                </c:pt>
                <c:pt idx="10">
                  <c:v>94.256871298368196</c:v>
                </c:pt>
                <c:pt idx="11">
                  <c:v>93.402896300287495</c:v>
                </c:pt>
                <c:pt idx="12">
                  <c:v>93.758618080568795</c:v>
                </c:pt>
                <c:pt idx="13">
                  <c:v>95.434052106356006</c:v>
                </c:pt>
                <c:pt idx="14">
                  <c:v>97.4099119563231</c:v>
                </c:pt>
                <c:pt idx="15">
                  <c:v>99.048809778940594</c:v>
                </c:pt>
                <c:pt idx="16">
                  <c:v>99.953235490807302</c:v>
                </c:pt>
                <c:pt idx="17">
                  <c:v>100.31377409506599</c:v>
                </c:pt>
                <c:pt idx="18">
                  <c:v>100.202310920586</c:v>
                </c:pt>
                <c:pt idx="19">
                  <c:v>99.397562384440306</c:v>
                </c:pt>
                <c:pt idx="20">
                  <c:v>99.315131619720205</c:v>
                </c:pt>
                <c:pt idx="21">
                  <c:v>100.03861767442</c:v>
                </c:pt>
                <c:pt idx="22">
                  <c:v>101.031629876951</c:v>
                </c:pt>
                <c:pt idx="23">
                  <c:v>100.432336191421</c:v>
                </c:pt>
                <c:pt idx="24">
                  <c:v>98.7460552516836</c:v>
                </c:pt>
                <c:pt idx="25">
                  <c:v>98.040049375894597</c:v>
                </c:pt>
                <c:pt idx="26">
                  <c:v>98.009128645150895</c:v>
                </c:pt>
                <c:pt idx="27">
                  <c:v>97.112831577338994</c:v>
                </c:pt>
                <c:pt idx="28">
                  <c:v>96.494107468570405</c:v>
                </c:pt>
                <c:pt idx="29">
                  <c:v>98.092320337554597</c:v>
                </c:pt>
                <c:pt idx="30">
                  <c:v>100.77168998424401</c:v>
                </c:pt>
                <c:pt idx="31">
                  <c:v>101.023676756483</c:v>
                </c:pt>
                <c:pt idx="32">
                  <c:v>98.328847888986104</c:v>
                </c:pt>
                <c:pt idx="33">
                  <c:v>96.2841737413831</c:v>
                </c:pt>
                <c:pt idx="34">
                  <c:v>97.833225835405301</c:v>
                </c:pt>
                <c:pt idx="35">
                  <c:v>102.851923879683</c:v>
                </c:pt>
                <c:pt idx="36">
                  <c:v>106.75505115431601</c:v>
                </c:pt>
                <c:pt idx="37">
                  <c:v>104.412847711575</c:v>
                </c:pt>
                <c:pt idx="38">
                  <c:v>98.876160558858203</c:v>
                </c:pt>
                <c:pt idx="39">
                  <c:v>95.513068619560698</c:v>
                </c:pt>
                <c:pt idx="40">
                  <c:v>95.711573461975703</c:v>
                </c:pt>
                <c:pt idx="41">
                  <c:v>97.320387914488293</c:v>
                </c:pt>
                <c:pt idx="42">
                  <c:v>98.2492341355279</c:v>
                </c:pt>
                <c:pt idx="43">
                  <c:v>97.008652044050706</c:v>
                </c:pt>
                <c:pt idx="44">
                  <c:v>95.103195565456105</c:v>
                </c:pt>
                <c:pt idx="45">
                  <c:v>95.593004281416697</c:v>
                </c:pt>
                <c:pt idx="46">
                  <c:v>96.388309518095696</c:v>
                </c:pt>
                <c:pt idx="47">
                  <c:v>96.679911519754199</c:v>
                </c:pt>
                <c:pt idx="48">
                  <c:v>96.669613072766793</c:v>
                </c:pt>
                <c:pt idx="49">
                  <c:v>67.986722633210803</c:v>
                </c:pt>
                <c:pt idx="50">
                  <c:v>68.386605238402893</c:v>
                </c:pt>
                <c:pt idx="51">
                  <c:v>69.850811987270205</c:v>
                </c:pt>
                <c:pt idx="52">
                  <c:v>70.446288021665296</c:v>
                </c:pt>
                <c:pt idx="53">
                  <c:v>69.586272474333001</c:v>
                </c:pt>
                <c:pt idx="54">
                  <c:v>68.964760876601105</c:v>
                </c:pt>
              </c:numCache>
            </c:numRef>
          </c:val>
          <c:smooth val="0"/>
          <c:extLst>
            <c:ext xmlns:c16="http://schemas.microsoft.com/office/drawing/2014/chart" uri="{C3380CC4-5D6E-409C-BE32-E72D297353CC}">
              <c16:uniqueId val="{00000001-BAB9-4C95-92EA-1576A619437C}"/>
            </c:ext>
          </c:extLst>
        </c:ser>
        <c:dLbls>
          <c:showLegendKey val="0"/>
          <c:showVal val="0"/>
          <c:showCatName val="0"/>
          <c:showSerName val="0"/>
          <c:showPercent val="0"/>
          <c:showBubbleSize val="0"/>
        </c:dLbls>
        <c:marker val="1"/>
        <c:smooth val="0"/>
        <c:axId val="884183152"/>
        <c:axId val="1"/>
      </c:lineChart>
      <c:catAx>
        <c:axId val="884183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4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884183152"/>
        <c:crosses val="autoZero"/>
        <c:crossBetween val="between"/>
      </c:valAx>
      <c:spPr>
        <a:noFill/>
        <a:ln w="12700">
          <a:solidFill>
            <a:srgbClr val="808080"/>
          </a:solidFill>
          <a:prstDash val="solid"/>
        </a:ln>
      </c:spPr>
    </c:plotArea>
    <c:legend>
      <c:legendPos val="r"/>
      <c:layout>
        <c:manualLayout>
          <c:xMode val="edge"/>
          <c:yMode val="edge"/>
          <c:x val="0"/>
          <c:y val="0.90507364975450078"/>
          <c:w val="0.99777530589543939"/>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75000"/>
              </a:schemeClr>
            </a:solidFill>
            <a:ln w="12700">
              <a:noFill/>
              <a:prstDash val="solid"/>
            </a:ln>
            <a:effectLst/>
            <a:scene3d>
              <a:camera prst="orthographicFront"/>
              <a:lightRig rig="threePt" dir="t"/>
            </a:scene3d>
            <a:sp3d/>
          </c:spPr>
          <c:invertIfNegative val="0"/>
          <c:dPt>
            <c:idx val="35"/>
            <c:invertIfNegative val="0"/>
            <c:bubble3D val="0"/>
            <c:extLst>
              <c:ext xmlns:c16="http://schemas.microsoft.com/office/drawing/2014/chart" uri="{C3380CC4-5D6E-409C-BE32-E72D297353CC}">
                <c16:uniqueId val="{00000000-2008-4A6D-BCDD-BF6038E4B78A}"/>
              </c:ext>
            </c:extLst>
          </c:dPt>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datos!$J$17:$J$71</c:f>
              <c:numCache>
                <c:formatCode>0.0</c:formatCode>
                <c:ptCount val="55"/>
                <c:pt idx="0">
                  <c:v>94.197121095426098</c:v>
                </c:pt>
                <c:pt idx="1">
                  <c:v>94.106424488563405</c:v>
                </c:pt>
                <c:pt idx="2">
                  <c:v>93.133597107787907</c:v>
                </c:pt>
                <c:pt idx="3">
                  <c:v>94.882192431968406</c:v>
                </c:pt>
                <c:pt idx="4">
                  <c:v>90.555969679346404</c:v>
                </c:pt>
                <c:pt idx="5">
                  <c:v>83.963201398366905</c:v>
                </c:pt>
                <c:pt idx="6">
                  <c:v>89.405275003119499</c:v>
                </c:pt>
                <c:pt idx="7">
                  <c:v>90.999656656086998</c:v>
                </c:pt>
                <c:pt idx="8">
                  <c:v>91.568772437244107</c:v>
                </c:pt>
                <c:pt idx="9">
                  <c:v>90.745309857193604</c:v>
                </c:pt>
                <c:pt idx="10">
                  <c:v>90.962053791951703</c:v>
                </c:pt>
                <c:pt idx="11">
                  <c:v>89.951379372852799</c:v>
                </c:pt>
                <c:pt idx="12">
                  <c:v>91.138945250178196</c:v>
                </c:pt>
                <c:pt idx="13">
                  <c:v>92.925777642856104</c:v>
                </c:pt>
                <c:pt idx="14">
                  <c:v>94.192824316710897</c:v>
                </c:pt>
                <c:pt idx="15">
                  <c:v>96.274594977566295</c:v>
                </c:pt>
                <c:pt idx="16">
                  <c:v>95.0136958477013</c:v>
                </c:pt>
                <c:pt idx="17">
                  <c:v>96.859837407581296</c:v>
                </c:pt>
                <c:pt idx="18">
                  <c:v>97.125852306438404</c:v>
                </c:pt>
                <c:pt idx="19">
                  <c:v>96.924629085761097</c:v>
                </c:pt>
                <c:pt idx="20">
                  <c:v>97.748828166342406</c:v>
                </c:pt>
                <c:pt idx="21">
                  <c:v>99.3202373044806</c:v>
                </c:pt>
                <c:pt idx="22">
                  <c:v>101.01429217670599</c:v>
                </c:pt>
                <c:pt idx="23">
                  <c:v>101.805974626042</c:v>
                </c:pt>
                <c:pt idx="24">
                  <c:v>100.09556030512501</c:v>
                </c:pt>
                <c:pt idx="25">
                  <c:v>100.567794958581</c:v>
                </c:pt>
                <c:pt idx="26">
                  <c:v>101.061600221574</c:v>
                </c:pt>
                <c:pt idx="27">
                  <c:v>101.623503381752</c:v>
                </c:pt>
                <c:pt idx="28">
                  <c:v>101.727722058099</c:v>
                </c:pt>
                <c:pt idx="29">
                  <c:v>103.29887118578</c:v>
                </c:pt>
                <c:pt idx="30">
                  <c:v>106.01401118913699</c:v>
                </c:pt>
                <c:pt idx="31">
                  <c:v>107.83524775428</c:v>
                </c:pt>
                <c:pt idx="32">
                  <c:v>107.722763768683</c:v>
                </c:pt>
                <c:pt idx="33">
                  <c:v>107.30926901047501</c:v>
                </c:pt>
                <c:pt idx="34">
                  <c:v>108.910284573475</c:v>
                </c:pt>
                <c:pt idx="35">
                  <c:v>111.256139697313</c:v>
                </c:pt>
                <c:pt idx="36">
                  <c:v>112.962654648556</c:v>
                </c:pt>
                <c:pt idx="37">
                  <c:v>111.727750105214</c:v>
                </c:pt>
                <c:pt idx="38">
                  <c:v>108.898980780952</c:v>
                </c:pt>
                <c:pt idx="39">
                  <c:v>109.69038772136599</c:v>
                </c:pt>
                <c:pt idx="40">
                  <c:v>113.14333802693299</c:v>
                </c:pt>
                <c:pt idx="41">
                  <c:v>114.738829953096</c:v>
                </c:pt>
                <c:pt idx="42">
                  <c:v>115.083678597478</c:v>
                </c:pt>
                <c:pt idx="43">
                  <c:v>114.361543396267</c:v>
                </c:pt>
                <c:pt idx="44">
                  <c:v>114.730593518408</c:v>
                </c:pt>
                <c:pt idx="45">
                  <c:v>114.34108661429801</c:v>
                </c:pt>
                <c:pt idx="46">
                  <c:v>118.040562580922</c:v>
                </c:pt>
                <c:pt idx="47">
                  <c:v>114.619736214577</c:v>
                </c:pt>
                <c:pt idx="48">
                  <c:v>115.373206281473</c:v>
                </c:pt>
                <c:pt idx="49">
                  <c:v>55.642593726538401</c:v>
                </c:pt>
                <c:pt idx="50">
                  <c:v>74.902423301049694</c:v>
                </c:pt>
                <c:pt idx="51">
                  <c:v>84.7376527464682</c:v>
                </c:pt>
                <c:pt idx="52">
                  <c:v>86.067212433076605</c:v>
                </c:pt>
                <c:pt idx="53">
                  <c:v>94.268327140233694</c:v>
                </c:pt>
                <c:pt idx="54">
                  <c:v>98.611995650619804</c:v>
                </c:pt>
              </c:numCache>
            </c:numRef>
          </c:val>
          <c:extLst>
            <c:ext xmlns:c16="http://schemas.microsoft.com/office/drawing/2014/chart" uri="{C3380CC4-5D6E-409C-BE32-E72D297353CC}">
              <c16:uniqueId val="{00000001-2008-4A6D-BCDD-BF6038E4B78A}"/>
            </c:ext>
          </c:extLst>
        </c:ser>
        <c:dLbls>
          <c:showLegendKey val="0"/>
          <c:showVal val="0"/>
          <c:showCatName val="0"/>
          <c:showSerName val="0"/>
          <c:showPercent val="0"/>
          <c:showBubbleSize val="0"/>
        </c:dLbls>
        <c:gapWidth val="60"/>
        <c:axId val="884178992"/>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datos!$K$17:$K$71</c:f>
              <c:numCache>
                <c:formatCode>0.0</c:formatCode>
                <c:ptCount val="55"/>
                <c:pt idx="0">
                  <c:v>93.869521394626503</c:v>
                </c:pt>
                <c:pt idx="1">
                  <c:v>94.068863245104396</c:v>
                </c:pt>
                <c:pt idx="2">
                  <c:v>93.377627850089794</c:v>
                </c:pt>
                <c:pt idx="3">
                  <c:v>92.769943626989104</c:v>
                </c:pt>
                <c:pt idx="4">
                  <c:v>92.243793349432707</c:v>
                </c:pt>
                <c:pt idx="5">
                  <c:v>92.017462626983004</c:v>
                </c:pt>
                <c:pt idx="6">
                  <c:v>92.123862512948193</c:v>
                </c:pt>
                <c:pt idx="7">
                  <c:v>92.119094432796103</c:v>
                </c:pt>
                <c:pt idx="8">
                  <c:v>91.664567481075693</c:v>
                </c:pt>
                <c:pt idx="9">
                  <c:v>91.181351241037007</c:v>
                </c:pt>
                <c:pt idx="10">
                  <c:v>90.570670649136801</c:v>
                </c:pt>
                <c:pt idx="11">
                  <c:v>90.3400677080907</c:v>
                </c:pt>
                <c:pt idx="12">
                  <c:v>91.118624863192494</c:v>
                </c:pt>
                <c:pt idx="13">
                  <c:v>92.756327801824597</c:v>
                </c:pt>
                <c:pt idx="14">
                  <c:v>94.4654515776962</c:v>
                </c:pt>
                <c:pt idx="15">
                  <c:v>95.750301491013005</c:v>
                </c:pt>
                <c:pt idx="16">
                  <c:v>96.4362581902855</c:v>
                </c:pt>
                <c:pt idx="17">
                  <c:v>96.786934263066399</c:v>
                </c:pt>
                <c:pt idx="18">
                  <c:v>97.012594858165599</c:v>
                </c:pt>
                <c:pt idx="19">
                  <c:v>97.0546606412247</c:v>
                </c:pt>
                <c:pt idx="20">
                  <c:v>97.774260453558995</c:v>
                </c:pt>
                <c:pt idx="21">
                  <c:v>99.349641551955898</c:v>
                </c:pt>
                <c:pt idx="22">
                  <c:v>101.001246196005</c:v>
                </c:pt>
                <c:pt idx="23">
                  <c:v>101.565506717912</c:v>
                </c:pt>
                <c:pt idx="24">
                  <c:v>101.019138411132</c:v>
                </c:pt>
                <c:pt idx="25">
                  <c:v>100.626677204937</c:v>
                </c:pt>
                <c:pt idx="26">
                  <c:v>101.04837817069701</c:v>
                </c:pt>
                <c:pt idx="27">
                  <c:v>101.443579103781</c:v>
                </c:pt>
                <c:pt idx="28">
                  <c:v>101.892752284587</c:v>
                </c:pt>
                <c:pt idx="29">
                  <c:v>103.42479443584899</c:v>
                </c:pt>
                <c:pt idx="30">
                  <c:v>105.94072580024699</c:v>
                </c:pt>
                <c:pt idx="31">
                  <c:v>107.639013262316</c:v>
                </c:pt>
                <c:pt idx="32">
                  <c:v>107.672627273478</c:v>
                </c:pt>
                <c:pt idx="33">
                  <c:v>107.57251736340601</c:v>
                </c:pt>
                <c:pt idx="34">
                  <c:v>108.918692574994</c:v>
                </c:pt>
                <c:pt idx="35">
                  <c:v>111.32353791884999</c:v>
                </c:pt>
                <c:pt idx="36">
                  <c:v>112.694674527057</c:v>
                </c:pt>
                <c:pt idx="37">
                  <c:v>111.44384726266</c:v>
                </c:pt>
                <c:pt idx="38">
                  <c:v>109.352219077621</c:v>
                </c:pt>
                <c:pt idx="39">
                  <c:v>109.951813405791</c:v>
                </c:pt>
                <c:pt idx="40">
                  <c:v>112.7669668602</c:v>
                </c:pt>
                <c:pt idx="41">
                  <c:v>114.769900823341</c:v>
                </c:pt>
                <c:pt idx="42">
                  <c:v>114.93869711360399</c:v>
                </c:pt>
                <c:pt idx="43">
                  <c:v>114.655830605671</c:v>
                </c:pt>
                <c:pt idx="44">
                  <c:v>114.301382738969</c:v>
                </c:pt>
                <c:pt idx="45">
                  <c:v>115.26989343276</c:v>
                </c:pt>
                <c:pt idx="46">
                  <c:v>115.911625532618</c:v>
                </c:pt>
                <c:pt idx="47">
                  <c:v>115.24019343929901</c:v>
                </c:pt>
                <c:pt idx="48">
                  <c:v>115.648935631352</c:v>
                </c:pt>
                <c:pt idx="49">
                  <c:v>71.976967214514204</c:v>
                </c:pt>
                <c:pt idx="50">
                  <c:v>75.695047242158495</c:v>
                </c:pt>
                <c:pt idx="51">
                  <c:v>81.516509145289305</c:v>
                </c:pt>
                <c:pt idx="52">
                  <c:v>88.383707753842003</c:v>
                </c:pt>
                <c:pt idx="53">
                  <c:v>93.978782226911704</c:v>
                </c:pt>
                <c:pt idx="54">
                  <c:v>99.194759703386197</c:v>
                </c:pt>
              </c:numCache>
            </c:numRef>
          </c:val>
          <c:smooth val="0"/>
          <c:extLst>
            <c:ext xmlns:c16="http://schemas.microsoft.com/office/drawing/2014/chart" uri="{C3380CC4-5D6E-409C-BE32-E72D297353CC}">
              <c16:uniqueId val="{00000002-2008-4A6D-BCDD-BF6038E4B78A}"/>
            </c:ext>
          </c:extLst>
        </c:ser>
        <c:dLbls>
          <c:showLegendKey val="0"/>
          <c:showVal val="0"/>
          <c:showCatName val="0"/>
          <c:showSerName val="0"/>
          <c:showPercent val="0"/>
          <c:showBubbleSize val="0"/>
        </c:dLbls>
        <c:marker val="1"/>
        <c:smooth val="0"/>
        <c:axId val="884178992"/>
        <c:axId val="1"/>
      </c:lineChart>
      <c:catAx>
        <c:axId val="88417899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3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884178992"/>
        <c:crosses val="autoZero"/>
        <c:crossBetween val="between"/>
      </c:valAx>
      <c:spPr>
        <a:noFill/>
        <a:ln w="12700" cmpd="dbl">
          <a:solidFill>
            <a:schemeClr val="tx1">
              <a:lumMod val="50000"/>
              <a:lumOff val="50000"/>
            </a:schemeClr>
          </a:solidFill>
          <a:prstDash val="solid"/>
        </a:ln>
        <a:effectLst>
          <a:outerShdw blurRad="50800" dist="12700" dir="5400000" algn="ctr" rotWithShape="0">
            <a:schemeClr val="bg1">
              <a:alpha val="43000"/>
            </a:schemeClr>
          </a:outerShdw>
        </a:effectLst>
      </c:spPr>
    </c:plotArea>
    <c:legend>
      <c:legendPos val="r"/>
      <c:layout>
        <c:manualLayout>
          <c:xMode val="edge"/>
          <c:yMode val="edge"/>
          <c:x val="0"/>
          <c:y val="0.90834697217675942"/>
          <c:w val="1"/>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chemeClr val="tx1">
          <a:alpha val="96000"/>
        </a:schemeClr>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0463818271328733E-2"/>
          <c:y val="4.1747833893922018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75000"/>
              </a:schemeClr>
            </a:solidFill>
            <a:ln w="12700">
              <a:noFill/>
              <a:prstDash val="solid"/>
            </a:ln>
            <a:effectLst/>
            <a:scene3d>
              <a:camera prst="orthographicFront"/>
              <a:lightRig rig="threePt" dir="t"/>
            </a:scene3d>
            <a:sp3d/>
          </c:spPr>
          <c:invertIfNegative val="0"/>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datos!$N$17:$N$71</c:f>
              <c:numCache>
                <c:formatCode>0.0</c:formatCode>
                <c:ptCount val="55"/>
                <c:pt idx="0">
                  <c:v>87.158644143881006</c:v>
                </c:pt>
                <c:pt idx="1">
                  <c:v>87.670685069583399</c:v>
                </c:pt>
                <c:pt idx="2">
                  <c:v>86.989000064271394</c:v>
                </c:pt>
                <c:pt idx="3">
                  <c:v>97.085760196340502</c:v>
                </c:pt>
                <c:pt idx="4">
                  <c:v>102.3843222867</c:v>
                </c:pt>
                <c:pt idx="5">
                  <c:v>80.884005197914206</c:v>
                </c:pt>
                <c:pt idx="6">
                  <c:v>91.2421257294572</c:v>
                </c:pt>
                <c:pt idx="7">
                  <c:v>90.2326918878383</c:v>
                </c:pt>
                <c:pt idx="8">
                  <c:v>96.736343005171904</c:v>
                </c:pt>
                <c:pt idx="9">
                  <c:v>87.010057041909107</c:v>
                </c:pt>
                <c:pt idx="10">
                  <c:v>90.567228503289996</c:v>
                </c:pt>
                <c:pt idx="11">
                  <c:v>84.132113807163094</c:v>
                </c:pt>
                <c:pt idx="12">
                  <c:v>79.518209212082695</c:v>
                </c:pt>
                <c:pt idx="13">
                  <c:v>81.135166331357695</c:v>
                </c:pt>
                <c:pt idx="14">
                  <c:v>85.3125440512908</c:v>
                </c:pt>
                <c:pt idx="15">
                  <c:v>95.525520133879397</c:v>
                </c:pt>
                <c:pt idx="16">
                  <c:v>91.955747277462905</c:v>
                </c:pt>
                <c:pt idx="17">
                  <c:v>98.2514796884075</c:v>
                </c:pt>
                <c:pt idx="18">
                  <c:v>95.669529147454497</c:v>
                </c:pt>
                <c:pt idx="19">
                  <c:v>91.131178914552805</c:v>
                </c:pt>
                <c:pt idx="20">
                  <c:v>94.961467109620898</c:v>
                </c:pt>
                <c:pt idx="21">
                  <c:v>96.409534762089393</c:v>
                </c:pt>
                <c:pt idx="22">
                  <c:v>102.85432106813801</c:v>
                </c:pt>
                <c:pt idx="23">
                  <c:v>106.907426351059</c:v>
                </c:pt>
                <c:pt idx="24">
                  <c:v>108.475017108777</c:v>
                </c:pt>
                <c:pt idx="25">
                  <c:v>110.607407303233</c:v>
                </c:pt>
                <c:pt idx="26">
                  <c:v>111.510986310012</c:v>
                </c:pt>
                <c:pt idx="27">
                  <c:v>118.44995260395299</c:v>
                </c:pt>
                <c:pt idx="28">
                  <c:v>125.45707386437699</c:v>
                </c:pt>
                <c:pt idx="29">
                  <c:v>134.67233303966901</c:v>
                </c:pt>
                <c:pt idx="30">
                  <c:v>141.829241768858</c:v>
                </c:pt>
                <c:pt idx="31">
                  <c:v>143.65435587794599</c:v>
                </c:pt>
                <c:pt idx="32">
                  <c:v>156.477267697439</c:v>
                </c:pt>
                <c:pt idx="33">
                  <c:v>167.11692425648999</c:v>
                </c:pt>
                <c:pt idx="34">
                  <c:v>176.485424312546</c:v>
                </c:pt>
                <c:pt idx="35">
                  <c:v>181.06950511275701</c:v>
                </c:pt>
                <c:pt idx="36">
                  <c:v>183.02029606144501</c:v>
                </c:pt>
                <c:pt idx="37">
                  <c:v>173.890557016391</c:v>
                </c:pt>
                <c:pt idx="38">
                  <c:v>173.646603912057</c:v>
                </c:pt>
                <c:pt idx="39">
                  <c:v>179.20282094734301</c:v>
                </c:pt>
                <c:pt idx="40">
                  <c:v>178.11822753311699</c:v>
                </c:pt>
                <c:pt idx="41">
                  <c:v>181.93495370782401</c:v>
                </c:pt>
                <c:pt idx="42">
                  <c:v>182.432257981639</c:v>
                </c:pt>
                <c:pt idx="43">
                  <c:v>188.51228093132801</c:v>
                </c:pt>
                <c:pt idx="44">
                  <c:v>195.94126018330499</c:v>
                </c:pt>
                <c:pt idx="45">
                  <c:v>180.827184702268</c:v>
                </c:pt>
                <c:pt idx="46">
                  <c:v>191.75166330923199</c:v>
                </c:pt>
                <c:pt idx="47">
                  <c:v>177.35761102281899</c:v>
                </c:pt>
                <c:pt idx="48">
                  <c:v>198.17848912516101</c:v>
                </c:pt>
                <c:pt idx="49">
                  <c:v>20.212380377275998</c:v>
                </c:pt>
                <c:pt idx="50">
                  <c:v>70.378043845570005</c:v>
                </c:pt>
                <c:pt idx="51">
                  <c:v>100.669385409082</c:v>
                </c:pt>
                <c:pt idx="52">
                  <c:v>99.1490069195616</c:v>
                </c:pt>
                <c:pt idx="53">
                  <c:v>156.945780211422</c:v>
                </c:pt>
                <c:pt idx="54">
                  <c:v>204.63651811407499</c:v>
                </c:pt>
              </c:numCache>
            </c:numRef>
          </c:val>
          <c:extLst>
            <c:ext xmlns:c16="http://schemas.microsoft.com/office/drawing/2014/chart" uri="{C3380CC4-5D6E-409C-BE32-E72D297353CC}">
              <c16:uniqueId val="{00000000-2606-4D9F-8FCD-A51E1E3F4137}"/>
            </c:ext>
          </c:extLst>
        </c:ser>
        <c:dLbls>
          <c:showLegendKey val="0"/>
          <c:showVal val="0"/>
          <c:showCatName val="0"/>
          <c:showSerName val="0"/>
          <c:showPercent val="0"/>
          <c:showBubbleSize val="0"/>
        </c:dLbls>
        <c:gapWidth val="60"/>
        <c:axId val="884180240"/>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datos!$O$17:$O$71</c:f>
              <c:numCache>
                <c:formatCode>0.0</c:formatCode>
                <c:ptCount val="55"/>
                <c:pt idx="0">
                  <c:v>87.475949395489096</c:v>
                </c:pt>
                <c:pt idx="1">
                  <c:v>86.572297258507405</c:v>
                </c:pt>
                <c:pt idx="2">
                  <c:v>89.011815096429501</c:v>
                </c:pt>
                <c:pt idx="3">
                  <c:v>96.482587386785895</c:v>
                </c:pt>
                <c:pt idx="4">
                  <c:v>100.761353496338</c:v>
                </c:pt>
                <c:pt idx="5">
                  <c:v>96.554417199738793</c:v>
                </c:pt>
                <c:pt idx="6">
                  <c:v>91.143748876646399</c:v>
                </c:pt>
                <c:pt idx="7">
                  <c:v>91.372468904719199</c:v>
                </c:pt>
                <c:pt idx="8">
                  <c:v>92.649754611000901</c:v>
                </c:pt>
                <c:pt idx="9">
                  <c:v>92.258181169236295</c:v>
                </c:pt>
                <c:pt idx="10">
                  <c:v>89.2145739546432</c:v>
                </c:pt>
                <c:pt idx="11">
                  <c:v>84.410402889121997</c:v>
                </c:pt>
                <c:pt idx="12">
                  <c:v>80.111502733995707</c:v>
                </c:pt>
                <c:pt idx="13">
                  <c:v>80.769874496394493</c:v>
                </c:pt>
                <c:pt idx="14">
                  <c:v>86.360717280894704</c:v>
                </c:pt>
                <c:pt idx="15">
                  <c:v>91.218121800638301</c:v>
                </c:pt>
                <c:pt idx="16">
                  <c:v>94.618628140878997</c:v>
                </c:pt>
                <c:pt idx="17">
                  <c:v>96.624990372901905</c:v>
                </c:pt>
                <c:pt idx="18">
                  <c:v>95.394958488821501</c:v>
                </c:pt>
                <c:pt idx="19">
                  <c:v>92.678709819798399</c:v>
                </c:pt>
                <c:pt idx="20">
                  <c:v>93.630258153321194</c:v>
                </c:pt>
                <c:pt idx="21">
                  <c:v>97.493849854154405</c:v>
                </c:pt>
                <c:pt idx="22">
                  <c:v>102.318706069301</c:v>
                </c:pt>
                <c:pt idx="23">
                  <c:v>106.676562376428</c:v>
                </c:pt>
                <c:pt idx="24">
                  <c:v>108.83068989309</c:v>
                </c:pt>
                <c:pt idx="25">
                  <c:v>109.942323418323</c:v>
                </c:pt>
                <c:pt idx="26">
                  <c:v>112.48252493485801</c:v>
                </c:pt>
                <c:pt idx="27">
                  <c:v>117.854667566714</c:v>
                </c:pt>
                <c:pt idx="28">
                  <c:v>125.92747910037799</c:v>
                </c:pt>
                <c:pt idx="29">
                  <c:v>134.35687224103799</c:v>
                </c:pt>
                <c:pt idx="30">
                  <c:v>141.36003783645799</c:v>
                </c:pt>
                <c:pt idx="31">
                  <c:v>147.66918309323401</c:v>
                </c:pt>
                <c:pt idx="32">
                  <c:v>156.41263572413101</c:v>
                </c:pt>
                <c:pt idx="33">
                  <c:v>167.19931842164499</c:v>
                </c:pt>
                <c:pt idx="34">
                  <c:v>176.06950740590099</c:v>
                </c:pt>
                <c:pt idx="35">
                  <c:v>181.84770707246801</c:v>
                </c:pt>
                <c:pt idx="36">
                  <c:v>180.933985999871</c:v>
                </c:pt>
                <c:pt idx="37">
                  <c:v>175.58318137459699</c:v>
                </c:pt>
                <c:pt idx="38">
                  <c:v>174.333536291597</c:v>
                </c:pt>
                <c:pt idx="39">
                  <c:v>177.441823313849</c:v>
                </c:pt>
                <c:pt idx="40">
                  <c:v>179.56934747050701</c:v>
                </c:pt>
                <c:pt idx="41">
                  <c:v>180.67767915048699</c:v>
                </c:pt>
                <c:pt idx="42">
                  <c:v>183.39678232414801</c:v>
                </c:pt>
                <c:pt idx="43">
                  <c:v>189.955718770125</c:v>
                </c:pt>
                <c:pt idx="44">
                  <c:v>191.33501991147</c:v>
                </c:pt>
                <c:pt idx="45">
                  <c:v>185.30434334876699</c:v>
                </c:pt>
                <c:pt idx="46">
                  <c:v>178.086405437059</c:v>
                </c:pt>
                <c:pt idx="47">
                  <c:v>180.32630112473001</c:v>
                </c:pt>
                <c:pt idx="48">
                  <c:v>198.73140559809201</c:v>
                </c:pt>
                <c:pt idx="49">
                  <c:v>59.8346751459543</c:v>
                </c:pt>
                <c:pt idx="50">
                  <c:v>71.297212623462102</c:v>
                </c:pt>
                <c:pt idx="51">
                  <c:v>88.249787575535606</c:v>
                </c:pt>
                <c:pt idx="52">
                  <c:v>116.16983766947899</c:v>
                </c:pt>
                <c:pt idx="53">
                  <c:v>155.96012826214499</c:v>
                </c:pt>
                <c:pt idx="54">
                  <c:v>205.97044038965899</c:v>
                </c:pt>
              </c:numCache>
            </c:numRef>
          </c:val>
          <c:smooth val="0"/>
          <c:extLst>
            <c:ext xmlns:c16="http://schemas.microsoft.com/office/drawing/2014/chart" uri="{C3380CC4-5D6E-409C-BE32-E72D297353CC}">
              <c16:uniqueId val="{00000001-2606-4D9F-8FCD-A51E1E3F4137}"/>
            </c:ext>
          </c:extLst>
        </c:ser>
        <c:dLbls>
          <c:showLegendKey val="0"/>
          <c:showVal val="0"/>
          <c:showCatName val="0"/>
          <c:showSerName val="0"/>
          <c:showPercent val="0"/>
          <c:showBubbleSize val="0"/>
        </c:dLbls>
        <c:marker val="1"/>
        <c:smooth val="0"/>
        <c:axId val="884180240"/>
        <c:axId val="1"/>
      </c:lineChart>
      <c:catAx>
        <c:axId val="884180240"/>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220"/>
          <c:min val="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884180240"/>
        <c:crosses val="autoZero"/>
        <c:crossBetween val="between"/>
      </c:valAx>
      <c:spPr>
        <a:noFill/>
        <a:ln w="12700">
          <a:solidFill>
            <a:schemeClr val="bg1">
              <a:lumMod val="65000"/>
            </a:schemeClr>
          </a:solidFill>
        </a:ln>
      </c:spPr>
    </c:plotArea>
    <c:legend>
      <c:legendPos val="r"/>
      <c:layout>
        <c:manualLayout>
          <c:xMode val="edge"/>
          <c:yMode val="edge"/>
          <c:x val="1.1123470522803114E-3"/>
          <c:y val="0.91653027823240585"/>
          <c:w val="0.99332591768631817"/>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900" b="0" i="0" u="none" strike="noStrike" baseline="0">
          <a:solidFill>
            <a:srgbClr val="000000"/>
          </a:solidFill>
          <a:latin typeface="Arial"/>
          <a:ea typeface="Arial"/>
          <a:cs typeface="Arial"/>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2302558398220279E-2"/>
          <c:y val="3.0836814819635155E-2"/>
          <c:w val="0.91526018934083397"/>
          <c:h val="0.78347268269097958"/>
        </c:manualLayout>
      </c:layout>
      <c:barChart>
        <c:barDir val="col"/>
        <c:grouping val="clustered"/>
        <c:varyColors val="0"/>
        <c:ser>
          <c:idx val="0"/>
          <c:order val="0"/>
          <c:tx>
            <c:strRef>
              <c:f>datos!$H$4</c:f>
              <c:strCache>
                <c:ptCount val="1"/>
                <c:pt idx="0">
                  <c:v>Serie Desestacionalizada</c:v>
                </c:pt>
              </c:strCache>
            </c:strRef>
          </c:tx>
          <c:spPr>
            <a:solidFill>
              <a:schemeClr val="accent1">
                <a:lumMod val="75000"/>
              </a:schemeClr>
            </a:solidFill>
            <a:ln w="12700">
              <a:noFill/>
              <a:prstDash val="solid"/>
            </a:ln>
            <a:effectLst/>
            <a:scene3d>
              <a:camera prst="orthographicFront"/>
              <a:lightRig rig="threePt" dir="t"/>
            </a:scene3d>
            <a:sp3d/>
          </c:spPr>
          <c:invertIfNegative val="0"/>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datos!$L$17:$L$71</c:f>
              <c:numCache>
                <c:formatCode>0.0</c:formatCode>
                <c:ptCount val="55"/>
                <c:pt idx="0">
                  <c:v>95.315221995954403</c:v>
                </c:pt>
                <c:pt idx="1">
                  <c:v>94.916572427322293</c:v>
                </c:pt>
                <c:pt idx="2">
                  <c:v>93.911239710472103</c:v>
                </c:pt>
                <c:pt idx="3">
                  <c:v>94.287728457926903</c:v>
                </c:pt>
                <c:pt idx="4">
                  <c:v>88.923462412585806</c:v>
                </c:pt>
                <c:pt idx="5">
                  <c:v>84.4015234441827</c:v>
                </c:pt>
                <c:pt idx="6">
                  <c:v>89.315554174193096</c:v>
                </c:pt>
                <c:pt idx="7">
                  <c:v>90.774997457087395</c:v>
                </c:pt>
                <c:pt idx="8">
                  <c:v>91.013548608574496</c:v>
                </c:pt>
                <c:pt idx="9">
                  <c:v>91.175196048353897</c:v>
                </c:pt>
                <c:pt idx="10">
                  <c:v>91.085434001437903</c:v>
                </c:pt>
                <c:pt idx="11">
                  <c:v>90.431592133929101</c:v>
                </c:pt>
                <c:pt idx="12">
                  <c:v>93.041140466575399</c:v>
                </c:pt>
                <c:pt idx="13">
                  <c:v>94.281037816446499</c:v>
                </c:pt>
                <c:pt idx="14">
                  <c:v>95.131617167167505</c:v>
                </c:pt>
                <c:pt idx="15">
                  <c:v>96.1468404444919</c:v>
                </c:pt>
                <c:pt idx="16">
                  <c:v>95.814992149238506</c:v>
                </c:pt>
                <c:pt idx="17">
                  <c:v>96.568553150843101</c:v>
                </c:pt>
                <c:pt idx="18">
                  <c:v>97.164066203202793</c:v>
                </c:pt>
                <c:pt idx="19">
                  <c:v>97.550213163214096</c:v>
                </c:pt>
                <c:pt idx="20">
                  <c:v>98.518576492902994</c:v>
                </c:pt>
                <c:pt idx="21">
                  <c:v>99.590274339697402</c:v>
                </c:pt>
                <c:pt idx="22">
                  <c:v>100.55266330962399</c:v>
                </c:pt>
                <c:pt idx="23">
                  <c:v>101.093187395771</c:v>
                </c:pt>
                <c:pt idx="24">
                  <c:v>99.401735371623204</c:v>
                </c:pt>
                <c:pt idx="25">
                  <c:v>99.258632967793304</c:v>
                </c:pt>
                <c:pt idx="26">
                  <c:v>99.539377938046201</c:v>
                </c:pt>
                <c:pt idx="27">
                  <c:v>99.468988606766203</c:v>
                </c:pt>
                <c:pt idx="28">
                  <c:v>98.9747263823173</c:v>
                </c:pt>
                <c:pt idx="29">
                  <c:v>99.419751541227299</c:v>
                </c:pt>
                <c:pt idx="30">
                  <c:v>101.594048025078</c:v>
                </c:pt>
                <c:pt idx="31">
                  <c:v>103.24059455747501</c:v>
                </c:pt>
                <c:pt idx="32">
                  <c:v>101.695398505727</c:v>
                </c:pt>
                <c:pt idx="33">
                  <c:v>99.9694709007006</c:v>
                </c:pt>
                <c:pt idx="34">
                  <c:v>100.878488183614</c:v>
                </c:pt>
                <c:pt idx="35">
                  <c:v>102.369784689413</c:v>
                </c:pt>
                <c:pt idx="36">
                  <c:v>104.153026916371</c:v>
                </c:pt>
                <c:pt idx="37">
                  <c:v>104.10631927315499</c:v>
                </c:pt>
                <c:pt idx="38">
                  <c:v>101.067810147778</c:v>
                </c:pt>
                <c:pt idx="39">
                  <c:v>100.767764069263</c:v>
                </c:pt>
                <c:pt idx="40">
                  <c:v>105.17629460643801</c:v>
                </c:pt>
                <c:pt idx="41">
                  <c:v>106.608445529628</c:v>
                </c:pt>
                <c:pt idx="42">
                  <c:v>106.71484798808901</c:v>
                </c:pt>
                <c:pt idx="43">
                  <c:v>104.896631320159</c:v>
                </c:pt>
                <c:pt idx="44">
                  <c:v>104.591917776172</c:v>
                </c:pt>
                <c:pt idx="45">
                  <c:v>106.36741524473599</c:v>
                </c:pt>
                <c:pt idx="46">
                  <c:v>108.74010778345399</c:v>
                </c:pt>
                <c:pt idx="47">
                  <c:v>106.735202884408</c:v>
                </c:pt>
                <c:pt idx="48">
                  <c:v>105.036318989194</c:v>
                </c:pt>
                <c:pt idx="49">
                  <c:v>60.328026920357402</c:v>
                </c:pt>
                <c:pt idx="50">
                  <c:v>74.4446675448023</c:v>
                </c:pt>
                <c:pt idx="51">
                  <c:v>82.958642135569903</c:v>
                </c:pt>
                <c:pt idx="52">
                  <c:v>84.733231104922496</c:v>
                </c:pt>
                <c:pt idx="53">
                  <c:v>86.8622982446865</c:v>
                </c:pt>
                <c:pt idx="54">
                  <c:v>85.427439424776907</c:v>
                </c:pt>
              </c:numCache>
            </c:numRef>
          </c:val>
          <c:extLst>
            <c:ext xmlns:c16="http://schemas.microsoft.com/office/drawing/2014/chart" uri="{C3380CC4-5D6E-409C-BE32-E72D297353CC}">
              <c16:uniqueId val="{00000000-8859-4DC9-800E-51A476E5E364}"/>
            </c:ext>
          </c:extLst>
        </c:ser>
        <c:dLbls>
          <c:showLegendKey val="0"/>
          <c:showVal val="0"/>
          <c:showCatName val="0"/>
          <c:showSerName val="0"/>
          <c:showPercent val="0"/>
          <c:showBubbleSize val="0"/>
        </c:dLbls>
        <c:gapWidth val="60"/>
        <c:axId val="884175664"/>
        <c:axId val="1"/>
      </c:barChart>
      <c:lineChart>
        <c:grouping val="standard"/>
        <c:varyColors val="0"/>
        <c:ser>
          <c:idx val="1"/>
          <c:order val="1"/>
          <c:tx>
            <c:v>Serie de Tendencia-Ciclo</c:v>
          </c:tx>
          <c:spPr>
            <a:ln w="15875">
              <a:solidFill>
                <a:schemeClr val="tx2">
                  <a:lumMod val="75000"/>
                </a:schemeClr>
              </a:solidFill>
              <a:prstDash val="solid"/>
            </a:ln>
          </c:spPr>
          <c:marker>
            <c:symbol val="none"/>
          </c:marker>
          <c:cat>
            <c:multiLvlStrRef>
              <c:f>datos!$B$17:$C$71</c:f>
              <c:multiLvlStrCache>
                <c:ptCount val="55"/>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pt idx="42">
                    <c:v>III</c:v>
                  </c:pt>
                  <c:pt idx="43">
                    <c:v>IV</c:v>
                  </c:pt>
                  <c:pt idx="44">
                    <c:v>I</c:v>
                  </c:pt>
                  <c:pt idx="45">
                    <c:v>II</c:v>
                  </c:pt>
                  <c:pt idx="46">
                    <c:v>III</c:v>
                  </c:pt>
                  <c:pt idx="47">
                    <c:v>IV</c:v>
                  </c:pt>
                  <c:pt idx="48">
                    <c:v>I</c:v>
                  </c:pt>
                  <c:pt idx="49">
                    <c:v>II</c:v>
                  </c:pt>
                  <c:pt idx="50">
                    <c:v>III</c:v>
                  </c:pt>
                  <c:pt idx="51">
                    <c:v>IV</c:v>
                  </c:pt>
                  <c:pt idx="52">
                    <c:v>I</c:v>
                  </c:pt>
                  <c:pt idx="53">
                    <c:v>II</c:v>
                  </c:pt>
                  <c:pt idx="54">
                    <c:v>III</c:v>
                  </c:pt>
                </c:lvl>
                <c:lvl>
                  <c:pt idx="0">
                    <c:v>2008</c:v>
                  </c:pt>
                  <c:pt idx="4">
                    <c:v>2009</c:v>
                  </c:pt>
                  <c:pt idx="8">
                    <c:v>2010</c:v>
                  </c:pt>
                  <c:pt idx="12">
                    <c:v>2011</c:v>
                  </c:pt>
                  <c:pt idx="16">
                    <c:v>2012</c:v>
                  </c:pt>
                  <c:pt idx="20">
                    <c:v>2013</c:v>
                  </c:pt>
                  <c:pt idx="24">
                    <c:v>2014</c:v>
                  </c:pt>
                  <c:pt idx="28">
                    <c:v>2015</c:v>
                  </c:pt>
                  <c:pt idx="32">
                    <c:v>2016</c:v>
                  </c:pt>
                  <c:pt idx="36">
                    <c:v>2017</c:v>
                  </c:pt>
                  <c:pt idx="40">
                    <c:v>2018</c:v>
                  </c:pt>
                  <c:pt idx="44">
                    <c:v>2019</c:v>
                  </c:pt>
                  <c:pt idx="48">
                    <c:v>2020</c:v>
                  </c:pt>
                  <c:pt idx="52">
                    <c:v>2021</c:v>
                  </c:pt>
                </c:lvl>
              </c:multiLvlStrCache>
            </c:multiLvlStrRef>
          </c:cat>
          <c:val>
            <c:numRef>
              <c:f>datos!$M$17:$M$71</c:f>
              <c:numCache>
                <c:formatCode>0.0</c:formatCode>
                <c:ptCount val="55"/>
                <c:pt idx="0">
                  <c:v>94.533602001455705</c:v>
                </c:pt>
                <c:pt idx="1">
                  <c:v>94.8895577853161</c:v>
                </c:pt>
                <c:pt idx="2">
                  <c:v>93.968245738182901</c:v>
                </c:pt>
                <c:pt idx="3">
                  <c:v>92.379616979387606</c:v>
                </c:pt>
                <c:pt idx="4">
                  <c:v>90.887553422261504</c:v>
                </c:pt>
                <c:pt idx="5">
                  <c:v>90.593256769460794</c:v>
                </c:pt>
                <c:pt idx="6">
                  <c:v>91.239051755381794</c:v>
                </c:pt>
                <c:pt idx="7">
                  <c:v>91.522926253699893</c:v>
                </c:pt>
                <c:pt idx="8">
                  <c:v>91.336081983938399</c:v>
                </c:pt>
                <c:pt idx="9">
                  <c:v>91.222753185680006</c:v>
                </c:pt>
                <c:pt idx="10">
                  <c:v>90.966170151698407</c:v>
                </c:pt>
                <c:pt idx="11">
                  <c:v>91.363456021981193</c:v>
                </c:pt>
                <c:pt idx="12">
                  <c:v>92.790454580954503</c:v>
                </c:pt>
                <c:pt idx="13">
                  <c:v>94.2738778855867</c:v>
                </c:pt>
                <c:pt idx="14">
                  <c:v>95.283677196046995</c:v>
                </c:pt>
                <c:pt idx="15">
                  <c:v>95.857364225381303</c:v>
                </c:pt>
                <c:pt idx="16">
                  <c:v>96.084949292140493</c:v>
                </c:pt>
                <c:pt idx="17">
                  <c:v>96.481034022818804</c:v>
                </c:pt>
                <c:pt idx="18">
                  <c:v>97.102180313930006</c:v>
                </c:pt>
                <c:pt idx="19">
                  <c:v>97.6435008688713</c:v>
                </c:pt>
                <c:pt idx="20">
                  <c:v>98.499028159089505</c:v>
                </c:pt>
                <c:pt idx="21">
                  <c:v>99.632497644231805</c:v>
                </c:pt>
                <c:pt idx="22">
                  <c:v>100.518663667167</c:v>
                </c:pt>
                <c:pt idx="23">
                  <c:v>100.434547140239</c:v>
                </c:pt>
                <c:pt idx="24">
                  <c:v>99.655953381006299</c:v>
                </c:pt>
                <c:pt idx="25">
                  <c:v>99.285506552396697</c:v>
                </c:pt>
                <c:pt idx="26">
                  <c:v>99.483401925786595</c:v>
                </c:pt>
                <c:pt idx="27">
                  <c:v>99.363555473453104</c:v>
                </c:pt>
                <c:pt idx="28">
                  <c:v>99.016812756685496</c:v>
                </c:pt>
                <c:pt idx="29">
                  <c:v>99.648149296025196</c:v>
                </c:pt>
                <c:pt idx="30">
                  <c:v>101.605264127723</c:v>
                </c:pt>
                <c:pt idx="31">
                  <c:v>102.78834341848</c:v>
                </c:pt>
                <c:pt idx="32">
                  <c:v>101.691074845773</c:v>
                </c:pt>
                <c:pt idx="33">
                  <c:v>100.33160318221999</c:v>
                </c:pt>
                <c:pt idx="34">
                  <c:v>100.749086171622</c:v>
                </c:pt>
                <c:pt idx="35">
                  <c:v>102.505089623765</c:v>
                </c:pt>
                <c:pt idx="36">
                  <c:v>104.079255752253</c:v>
                </c:pt>
                <c:pt idx="37">
                  <c:v>103.525990502364</c:v>
                </c:pt>
                <c:pt idx="38">
                  <c:v>101.61270544813701</c:v>
                </c:pt>
                <c:pt idx="39">
                  <c:v>101.995767555733</c:v>
                </c:pt>
                <c:pt idx="40">
                  <c:v>104.76289313844001</c:v>
                </c:pt>
                <c:pt idx="41">
                  <c:v>106.70559905848</c:v>
                </c:pt>
                <c:pt idx="42">
                  <c:v>106.418425431614</c:v>
                </c:pt>
                <c:pt idx="43">
                  <c:v>105.107469437628</c:v>
                </c:pt>
                <c:pt idx="44">
                  <c:v>104.757770275254</c:v>
                </c:pt>
                <c:pt idx="45">
                  <c:v>106.562411226309</c:v>
                </c:pt>
                <c:pt idx="46">
                  <c:v>107.91398432115299</c:v>
                </c:pt>
                <c:pt idx="47">
                  <c:v>106.909264063949</c:v>
                </c:pt>
                <c:pt idx="48">
                  <c:v>104.99129801306501</c:v>
                </c:pt>
                <c:pt idx="49">
                  <c:v>73.323982738104505</c:v>
                </c:pt>
                <c:pt idx="50">
                  <c:v>76.172785121266898</c:v>
                </c:pt>
                <c:pt idx="51">
                  <c:v>80.693113219438104</c:v>
                </c:pt>
                <c:pt idx="52">
                  <c:v>84.798125176231196</c:v>
                </c:pt>
                <c:pt idx="53">
                  <c:v>86.320640386981196</c:v>
                </c:pt>
                <c:pt idx="54">
                  <c:v>86.061420736094902</c:v>
                </c:pt>
              </c:numCache>
            </c:numRef>
          </c:val>
          <c:smooth val="0"/>
          <c:extLst>
            <c:ext xmlns:c16="http://schemas.microsoft.com/office/drawing/2014/chart" uri="{C3380CC4-5D6E-409C-BE32-E72D297353CC}">
              <c16:uniqueId val="{00000001-8859-4DC9-800E-51A476E5E364}"/>
            </c:ext>
          </c:extLst>
        </c:ser>
        <c:dLbls>
          <c:showLegendKey val="0"/>
          <c:showVal val="0"/>
          <c:showCatName val="0"/>
          <c:showSerName val="0"/>
          <c:showPercent val="0"/>
          <c:showBubbleSize val="0"/>
        </c:dLbls>
        <c:marker val="1"/>
        <c:smooth val="0"/>
        <c:axId val="884175664"/>
        <c:axId val="1"/>
      </c:lineChart>
      <c:catAx>
        <c:axId val="8841756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1"/>
        <c:crosses val="autoZero"/>
        <c:auto val="1"/>
        <c:lblAlgn val="ctr"/>
        <c:lblOffset val="0"/>
        <c:tickLblSkip val="1"/>
        <c:tickMarkSkip val="12"/>
        <c:noMultiLvlLbl val="1"/>
      </c:catAx>
      <c:valAx>
        <c:axId val="1"/>
        <c:scaling>
          <c:orientation val="minMax"/>
          <c:max val="120"/>
          <c:min val="50"/>
        </c:scaling>
        <c:delete val="0"/>
        <c:axPos val="l"/>
        <c:numFmt formatCode="0" sourceLinked="0"/>
        <c:majorTickMark val="out"/>
        <c:minorTickMark val="none"/>
        <c:tickLblPos val="nextTo"/>
        <c:spPr>
          <a:ln w="3175">
            <a:solidFill>
              <a:srgbClr val="000000"/>
            </a:solidFill>
            <a:prstDash val="solid"/>
          </a:ln>
        </c:spPr>
        <c:txPr>
          <a:bodyPr rot="0" vert="horz"/>
          <a:lstStyle/>
          <a:p>
            <a:pPr>
              <a:defRPr sz="700" b="0" i="0" u="none" strike="noStrike" baseline="0">
                <a:solidFill>
                  <a:srgbClr val="000000"/>
                </a:solidFill>
                <a:latin typeface="Arial"/>
                <a:ea typeface="Arial"/>
                <a:cs typeface="Arial"/>
              </a:defRPr>
            </a:pPr>
            <a:endParaRPr lang="es-MX"/>
          </a:p>
        </c:txPr>
        <c:crossAx val="884175664"/>
        <c:crosses val="autoZero"/>
        <c:crossBetween val="between"/>
      </c:valAx>
      <c:spPr>
        <a:noFill/>
        <a:ln w="12700">
          <a:solidFill>
            <a:srgbClr val="808080"/>
          </a:solidFill>
          <a:prstDash val="solid"/>
        </a:ln>
      </c:spPr>
    </c:plotArea>
    <c:legend>
      <c:legendPos val="r"/>
      <c:layout>
        <c:manualLayout>
          <c:xMode val="edge"/>
          <c:yMode val="edge"/>
          <c:x val="4.6718576195773083E-2"/>
          <c:y val="0.91325695581014732"/>
          <c:w val="0.95216907675194662"/>
          <c:h val="5.8919803600654665E-2"/>
        </c:manualLayout>
      </c:layout>
      <c:overlay val="0"/>
      <c:spPr>
        <a:noFill/>
        <a:ln w="25400">
          <a:noFill/>
        </a:ln>
      </c:spPr>
      <c:txPr>
        <a:bodyPr/>
        <a:lstStyle/>
        <a:p>
          <a:pPr>
            <a:defRPr sz="700" b="0" i="0" u="none" strike="noStrike" baseline="0">
              <a:solidFill>
                <a:srgbClr val="000000"/>
              </a:solidFill>
              <a:latin typeface="Arial"/>
              <a:ea typeface="Arial"/>
              <a:cs typeface="Arial"/>
            </a:defRPr>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8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2FB68E-2E6C-49D2-BBF4-F12D274F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1450</Words>
  <Characters>7979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Comunicado de Prensa. Indicadores Trimestrales de la Actividad Económica. Tercer Trimestre de 2021</vt:lpstr>
    </vt:vector>
  </TitlesOfParts>
  <Company>DGCNES y P.  "INEGI"</Company>
  <LinksUpToDate>false</LinksUpToDate>
  <CharactersWithSpaces>9411</CharactersWithSpaces>
  <SharedDoc>false</SharedDoc>
  <HLinks>
    <vt:vector size="24" baseType="variant">
      <vt:variant>
        <vt:i4>262227</vt:i4>
      </vt:variant>
      <vt:variant>
        <vt:i4>0</vt:i4>
      </vt:variant>
      <vt:variant>
        <vt:i4>0</vt:i4>
      </vt:variant>
      <vt:variant>
        <vt:i4>5</vt:i4>
      </vt:variant>
      <vt:variant>
        <vt:lpwstr>http://www.inegi.org.mx/</vt:lpwstr>
      </vt:variant>
      <vt:variant>
        <vt:lpwstr/>
      </vt:variant>
      <vt:variant>
        <vt:i4>196687</vt:i4>
      </vt:variant>
      <vt:variant>
        <vt:i4>0</vt:i4>
      </vt:variant>
      <vt:variant>
        <vt:i4>0</vt:i4>
      </vt:variant>
      <vt:variant>
        <vt:i4>5</vt:i4>
      </vt:variant>
      <vt:variant>
        <vt:lpwstr>http://www.censo2010.org.mx/</vt:lpwstr>
      </vt:variant>
      <vt:variant>
        <vt:lpwstr/>
      </vt:variant>
      <vt:variant>
        <vt:i4>196687</vt:i4>
      </vt:variant>
      <vt:variant>
        <vt:i4>-1</vt:i4>
      </vt:variant>
      <vt:variant>
        <vt:i4>9217</vt:i4>
      </vt:variant>
      <vt:variant>
        <vt:i4>4</vt:i4>
      </vt:variant>
      <vt:variant>
        <vt:lpwstr>http://www.censo2010.org.mx/</vt:lpwstr>
      </vt:variant>
      <vt:variant>
        <vt:lpwstr/>
      </vt:variant>
      <vt:variant>
        <vt:i4>196687</vt:i4>
      </vt:variant>
      <vt:variant>
        <vt:i4>-1</vt:i4>
      </vt:variant>
      <vt:variant>
        <vt:i4>1026</vt:i4>
      </vt:variant>
      <vt:variant>
        <vt:i4>4</vt:i4>
      </vt:variant>
      <vt:variant>
        <vt:lpwstr>http://www.censo2010.org.mx/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Actividad Turística. Tercer Trimestre de 2021</dc:title>
  <dc:creator>MONICA JUAREZ JIMENEZ</dc:creator>
  <cp:lastModifiedBy>GUILLEN MEDINA MOISES</cp:lastModifiedBy>
  <cp:revision>71</cp:revision>
  <cp:lastPrinted>2022-02-10T23:34:00Z</cp:lastPrinted>
  <dcterms:created xsi:type="dcterms:W3CDTF">2021-11-09T15:00:00Z</dcterms:created>
  <dcterms:modified xsi:type="dcterms:W3CDTF">2022-02-11T02:10:00Z</dcterms:modified>
</cp:coreProperties>
</file>