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0C479" w14:textId="77777777" w:rsidR="00EE35D0" w:rsidRDefault="00EE35D0" w:rsidP="00EE35D0">
      <w:pPr>
        <w:pStyle w:val="Ttulo"/>
        <w:spacing w:before="120"/>
        <w:ind w:left="709"/>
        <w:jc w:val="right"/>
        <w:rPr>
          <w:b w:val="0"/>
          <w:bCs/>
          <w:caps/>
          <w:sz w:val="28"/>
          <w:szCs w:val="28"/>
          <w:lang w:val="es-MX"/>
        </w:rPr>
      </w:pPr>
      <w:bookmarkStart w:id="0" w:name="_Hlk117510934"/>
      <w:bookmarkEnd w:id="0"/>
      <w:r>
        <w:rPr>
          <w:noProof/>
          <w:lang w:eastAsia="es-MX"/>
        </w:rPr>
        <mc:AlternateContent>
          <mc:Choice Requires="wps">
            <w:drawing>
              <wp:anchor distT="45720" distB="45720" distL="114300" distR="114300" simplePos="0" relativeHeight="251659264" behindDoc="0" locked="0" layoutInCell="1" allowOverlap="1" wp14:anchorId="073E4AF4" wp14:editId="7BCE33E6">
                <wp:simplePos x="0" y="0"/>
                <wp:positionH relativeFrom="column">
                  <wp:posOffset>3084195</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9590757" w14:textId="77777777" w:rsidR="00EE35D0" w:rsidRPr="003D4E37" w:rsidRDefault="00EE35D0" w:rsidP="00EE35D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p w14:paraId="477B727E" w14:textId="77777777" w:rsidR="00EE35D0" w:rsidRPr="003D4E37" w:rsidRDefault="00EE35D0" w:rsidP="00EE35D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E4AF4" id="_x0000_t202" coordsize="21600,21600" o:spt="202" path="m,l,21600r21600,l21600,xe">
                <v:stroke joinstyle="miter"/>
                <v:path gradientshapeok="t" o:connecttype="rect"/>
              </v:shapetype>
              <v:shape id="Cuadro de texto 217" o:spid="_x0000_s1026" type="#_x0000_t202" style="position:absolute;left:0;text-align:left;margin-left:242.85pt;margin-top:0;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" stroked="f">
                <v:textbox>
                  <w:txbxContent>
                    <w:p w14:paraId="59590757" w14:textId="77777777" w:rsidR="00EE35D0" w:rsidRPr="003D4E37" w:rsidRDefault="00EE35D0" w:rsidP="00EE35D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p w14:paraId="477B727E" w14:textId="77777777" w:rsidR="00EE35D0" w:rsidRPr="003D4E37" w:rsidRDefault="00EE35D0" w:rsidP="00EE35D0">
                      <w:pPr>
                        <w:jc w:val="right"/>
                      </w:pPr>
                    </w:p>
                  </w:txbxContent>
                </v:textbox>
                <w10:wrap type="square"/>
              </v:shape>
            </w:pict>
          </mc:Fallback>
        </mc:AlternateContent>
      </w:r>
      <w:bookmarkStart w:id="1" w:name="_Hlk61875621"/>
    </w:p>
    <w:p w14:paraId="3BEE5EC7" w14:textId="77777777" w:rsidR="00EE35D0" w:rsidRDefault="00EE35D0" w:rsidP="00EE35D0">
      <w:pPr>
        <w:pStyle w:val="Ttulo"/>
        <w:widowControl w:val="0"/>
        <w:rPr>
          <w:rFonts w:cs="Arial"/>
          <w:caps/>
          <w:snapToGrid w:val="0"/>
          <w:spacing w:val="20"/>
          <w:sz w:val="28"/>
          <w:lang w:val="es-MX"/>
        </w:rPr>
      </w:pPr>
    </w:p>
    <w:p w14:paraId="42B6C5D8" w14:textId="09A4EFB5" w:rsidR="00EE35D0" w:rsidRPr="00B517AB" w:rsidRDefault="00EE35D0" w:rsidP="00EE35D0">
      <w:pPr>
        <w:pStyle w:val="Default"/>
        <w:tabs>
          <w:tab w:val="left" w:pos="2410"/>
          <w:tab w:val="left" w:pos="3402"/>
          <w:tab w:val="left" w:pos="3686"/>
        </w:tabs>
        <w:spacing w:before="240"/>
        <w:jc w:val="center"/>
        <w:rPr>
          <w:rFonts w:eastAsia="Times New Roman"/>
          <w:b/>
          <w:bCs/>
          <w:lang w:val="es-ES_tradnl"/>
        </w:rPr>
      </w:pPr>
      <w:bookmarkStart w:id="2" w:name="_GoBack"/>
      <w:bookmarkEnd w:id="2"/>
      <w:r w:rsidRPr="00B517AB">
        <w:rPr>
          <w:rFonts w:eastAsia="Times New Roman"/>
          <w:b/>
          <w:bCs/>
          <w:lang w:val="es-ES_tradnl"/>
        </w:rPr>
        <w:t>INDICADORES TRIMESTRALES DE LA ACTIVIDAD TURÍSTICA</w:t>
      </w:r>
      <w:r w:rsidRPr="00B517AB">
        <w:rPr>
          <w:b/>
          <w:color w:val="auto"/>
          <w:vertAlign w:val="superscript"/>
        </w:rPr>
        <w:footnoteReference w:id="1"/>
      </w:r>
      <w:r w:rsidRPr="00B517AB">
        <w:rPr>
          <w:rFonts w:eastAsia="Times New Roman"/>
          <w:b/>
          <w:bCs/>
          <w:lang w:val="es-ES_tradnl"/>
        </w:rPr>
        <w:t xml:space="preserve"> </w:t>
      </w:r>
    </w:p>
    <w:p w14:paraId="78D0C93B" w14:textId="77777777" w:rsidR="00EE35D0" w:rsidRPr="00B517AB" w:rsidRDefault="00EE35D0" w:rsidP="00EE35D0">
      <w:pPr>
        <w:pStyle w:val="Default"/>
        <w:tabs>
          <w:tab w:val="left" w:pos="2410"/>
          <w:tab w:val="left" w:pos="3402"/>
          <w:tab w:val="left" w:pos="3686"/>
        </w:tabs>
        <w:jc w:val="center"/>
        <w:rPr>
          <w:rFonts w:eastAsia="Times New Roman"/>
          <w:b/>
          <w:bCs/>
          <w:lang w:val="es-ES_tradnl"/>
        </w:rPr>
      </w:pPr>
      <w:r w:rsidRPr="00B517AB">
        <w:rPr>
          <w:rFonts w:eastAsia="Times New Roman"/>
          <w:b/>
          <w:bCs/>
          <w:lang w:val="es-ES_tradnl"/>
        </w:rPr>
        <w:t>SEGUNDO TRIMESTRE DE 2022</w:t>
      </w:r>
    </w:p>
    <w:p w14:paraId="7CC4CD7F" w14:textId="77777777" w:rsidR="00EE35D0" w:rsidRPr="00B517AB" w:rsidRDefault="00EE35D0" w:rsidP="00EE35D0">
      <w:pPr>
        <w:pStyle w:val="bullet"/>
        <w:widowControl/>
        <w:numPr>
          <w:ilvl w:val="0"/>
          <w:numId w:val="0"/>
        </w:numPr>
        <w:tabs>
          <w:tab w:val="left" w:pos="8364"/>
        </w:tabs>
        <w:ind w:right="49"/>
        <w:rPr>
          <w:b w:val="0"/>
          <w:snapToGrid/>
          <w:color w:val="auto"/>
          <w:sz w:val="24"/>
          <w:szCs w:val="24"/>
        </w:rPr>
      </w:pPr>
      <w:r w:rsidRPr="00B517AB">
        <w:rPr>
          <w:b w:val="0"/>
          <w:snapToGrid/>
          <w:color w:val="auto"/>
          <w:sz w:val="24"/>
          <w:szCs w:val="24"/>
        </w:rPr>
        <w:t>En el segundo trimestre de 2022 y con cifras desestacionalizadas,</w:t>
      </w:r>
      <w:r w:rsidRPr="00B517AB">
        <w:rPr>
          <w:b w:val="0"/>
          <w:color w:val="auto"/>
          <w:sz w:val="24"/>
          <w:szCs w:val="24"/>
          <w:vertAlign w:val="superscript"/>
        </w:rPr>
        <w:footnoteReference w:id="2"/>
      </w:r>
      <w:r w:rsidRPr="00B517AB">
        <w:rPr>
          <w:b w:val="0"/>
          <w:snapToGrid/>
          <w:color w:val="auto"/>
          <w:sz w:val="24"/>
          <w:szCs w:val="24"/>
        </w:rPr>
        <w:t xml:space="preserve"> el Indicador Trimestral del Producto Interno Bruto Turístico</w:t>
      </w:r>
      <w:r w:rsidRPr="00B517AB">
        <w:rPr>
          <w:b w:val="0"/>
          <w:color w:val="auto"/>
          <w:sz w:val="24"/>
          <w:szCs w:val="24"/>
        </w:rPr>
        <w:t xml:space="preserve"> </w:t>
      </w:r>
      <w:r w:rsidRPr="00B517AB">
        <w:rPr>
          <w:b w:val="0"/>
          <w:snapToGrid/>
          <w:color w:val="auto"/>
          <w:sz w:val="24"/>
          <w:szCs w:val="24"/>
        </w:rPr>
        <w:t>aumentó 5 % en términos reales con respecto al trimestre previo y el del Consumo Turístico Interior creció 5.2 por ciento.</w:t>
      </w:r>
    </w:p>
    <w:p w14:paraId="250C8516" w14:textId="77777777" w:rsidR="00EE35D0" w:rsidRDefault="00EE35D0" w:rsidP="00EE35D0">
      <w:pPr>
        <w:pStyle w:val="Default"/>
        <w:ind w:right="49"/>
        <w:jc w:val="center"/>
        <w:rPr>
          <w:b/>
          <w:smallCaps/>
          <w:snapToGrid w:val="0"/>
          <w:color w:val="auto"/>
          <w:sz w:val="22"/>
          <w:szCs w:val="22"/>
          <w:lang w:val="es-ES_tradnl"/>
        </w:rPr>
      </w:pPr>
    </w:p>
    <w:p w14:paraId="6C5A71E2" w14:textId="77777777" w:rsidR="00EE35D0" w:rsidRDefault="00EE35D0" w:rsidP="00EE35D0">
      <w:pPr>
        <w:pStyle w:val="Default"/>
        <w:ind w:right="49"/>
        <w:jc w:val="center"/>
        <w:rPr>
          <w:b/>
          <w:smallCaps/>
          <w:snapToGrid w:val="0"/>
          <w:color w:val="auto"/>
          <w:sz w:val="22"/>
          <w:szCs w:val="22"/>
          <w:lang w:val="es-ES_tradnl"/>
        </w:rPr>
      </w:pPr>
    </w:p>
    <w:p w14:paraId="64CFE396" w14:textId="77777777" w:rsidR="00EE35D0" w:rsidRDefault="00EE35D0" w:rsidP="00EE35D0">
      <w:pPr>
        <w:pStyle w:val="Default"/>
        <w:jc w:val="center"/>
        <w:rPr>
          <w:rFonts w:eastAsia="Times New Roman"/>
          <w:b/>
          <w:smallCaps/>
          <w:snapToGrid w:val="0"/>
          <w:color w:val="auto"/>
          <w:sz w:val="22"/>
          <w:szCs w:val="22"/>
          <w:lang w:val="es-ES_tradnl"/>
        </w:rPr>
      </w:pPr>
      <w:r w:rsidRPr="003F5A16">
        <w:rPr>
          <w:rFonts w:eastAsia="Times New Roman"/>
          <w:b/>
          <w:smallCaps/>
          <w:snapToGrid w:val="0"/>
          <w:color w:val="auto"/>
          <w:sz w:val="22"/>
          <w:szCs w:val="22"/>
          <w:lang w:val="es-ES_tradnl"/>
        </w:rPr>
        <w:t xml:space="preserve">Indicador trimestral del </w:t>
      </w:r>
      <w:r>
        <w:rPr>
          <w:rFonts w:eastAsia="Times New Roman"/>
          <w:b/>
          <w:smallCaps/>
          <w:snapToGrid w:val="0"/>
          <w:color w:val="auto"/>
          <w:sz w:val="22"/>
          <w:szCs w:val="22"/>
          <w:lang w:val="es-ES_tradnl"/>
        </w:rPr>
        <w:t>producto interno bruto turístico</w:t>
      </w:r>
    </w:p>
    <w:p w14:paraId="165ACE55" w14:textId="77777777" w:rsidR="00EE35D0" w:rsidRDefault="00EE35D0" w:rsidP="00EE35D0">
      <w:pPr>
        <w:pStyle w:val="Default"/>
        <w:jc w:val="center"/>
        <w:rPr>
          <w:b/>
          <w:smallCaps/>
          <w:color w:val="auto"/>
          <w:sz w:val="22"/>
          <w:szCs w:val="22"/>
        </w:rPr>
      </w:pPr>
      <w:r w:rsidRPr="003F5A16">
        <w:rPr>
          <w:b/>
          <w:smallCaps/>
          <w:color w:val="auto"/>
          <w:sz w:val="22"/>
          <w:szCs w:val="22"/>
        </w:rPr>
        <w:t>y del consumo turístico</w:t>
      </w:r>
      <w:r w:rsidRPr="002D5B11">
        <w:rPr>
          <w:b/>
          <w:smallCaps/>
          <w:color w:val="auto"/>
          <w:sz w:val="22"/>
          <w:szCs w:val="22"/>
        </w:rPr>
        <w:t xml:space="preserve"> </w:t>
      </w:r>
      <w:r>
        <w:rPr>
          <w:b/>
          <w:smallCaps/>
          <w:color w:val="auto"/>
          <w:sz w:val="22"/>
          <w:szCs w:val="22"/>
        </w:rPr>
        <w:t>i</w:t>
      </w:r>
      <w:r w:rsidRPr="002D5B11">
        <w:rPr>
          <w:b/>
          <w:smallCaps/>
          <w:color w:val="auto"/>
          <w:sz w:val="22"/>
          <w:szCs w:val="22"/>
        </w:rPr>
        <w:t xml:space="preserve">nterior </w:t>
      </w:r>
    </w:p>
    <w:p w14:paraId="34AA4861" w14:textId="77777777" w:rsidR="00EE35D0" w:rsidRPr="00D41962" w:rsidRDefault="00EE35D0" w:rsidP="00EE35D0">
      <w:pPr>
        <w:pStyle w:val="Default"/>
        <w:jc w:val="center"/>
        <w:rPr>
          <w:b/>
          <w:iCs/>
          <w:smallCaps/>
          <w:color w:val="auto"/>
          <w:sz w:val="22"/>
          <w:szCs w:val="22"/>
          <w:lang w:val="es-MX" w:eastAsia="es-MX"/>
        </w:rPr>
      </w:pPr>
      <w:r>
        <w:rPr>
          <w:b/>
          <w:smallCaps/>
          <w:color w:val="auto"/>
          <w:sz w:val="22"/>
          <w:szCs w:val="22"/>
        </w:rPr>
        <w:t>segundo</w:t>
      </w:r>
      <w:r w:rsidRPr="002D5B11">
        <w:rPr>
          <w:b/>
          <w:smallCaps/>
          <w:color w:val="auto"/>
          <w:sz w:val="22"/>
          <w:szCs w:val="22"/>
        </w:rPr>
        <w:t xml:space="preserve"> trimestre de 20</w:t>
      </w:r>
      <w:r>
        <w:rPr>
          <w:b/>
          <w:smallCaps/>
          <w:color w:val="auto"/>
          <w:sz w:val="22"/>
          <w:szCs w:val="22"/>
        </w:rPr>
        <w:t>22</w:t>
      </w:r>
      <w:r>
        <w:rPr>
          <w:b/>
          <w:iCs/>
          <w:smallCaps/>
          <w:sz w:val="22"/>
          <w:szCs w:val="22"/>
          <w:lang w:val="es-MX" w:eastAsia="es-MX"/>
        </w:rPr>
        <w:t xml:space="preserve"> </w:t>
      </w:r>
    </w:p>
    <w:p w14:paraId="03A77F3E" w14:textId="77777777" w:rsidR="00EE35D0" w:rsidRDefault="00EE35D0" w:rsidP="00EE35D0">
      <w:pPr>
        <w:pStyle w:val="p0"/>
        <w:keepLines w:val="0"/>
        <w:spacing w:before="0"/>
        <w:jc w:val="center"/>
        <w:rPr>
          <w:rFonts w:cs="Arial"/>
          <w:b/>
          <w:smallCaps/>
          <w:color w:val="auto"/>
          <w:sz w:val="22"/>
          <w:szCs w:val="22"/>
        </w:rPr>
      </w:pPr>
      <w:r>
        <w:rPr>
          <w:rFonts w:cs="Arial"/>
          <w:b/>
          <w:smallCaps/>
          <w:color w:val="auto"/>
          <w:sz w:val="22"/>
          <w:szCs w:val="22"/>
        </w:rPr>
        <w:t xml:space="preserve">cifras desestacionalizadas </w:t>
      </w:r>
    </w:p>
    <w:tbl>
      <w:tblPr>
        <w:tblW w:w="0" w:type="auto"/>
        <w:jc w:val="center"/>
        <w:tblLayout w:type="fixed"/>
        <w:tblCellMar>
          <w:left w:w="107" w:type="dxa"/>
          <w:right w:w="107" w:type="dxa"/>
        </w:tblCellMar>
        <w:tblLook w:val="04A0" w:firstRow="1" w:lastRow="0" w:firstColumn="1" w:lastColumn="0" w:noHBand="0" w:noVBand="1"/>
      </w:tblPr>
      <w:tblGrid>
        <w:gridCol w:w="3104"/>
        <w:gridCol w:w="1559"/>
        <w:gridCol w:w="1701"/>
      </w:tblGrid>
      <w:tr w:rsidR="00EE35D0" w14:paraId="557D12F4" w14:textId="77777777" w:rsidTr="00A14D0C">
        <w:trPr>
          <w:cantSplit/>
          <w:trHeight w:val="340"/>
          <w:jc w:val="center"/>
        </w:trPr>
        <w:tc>
          <w:tcPr>
            <w:tcW w:w="3104"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4BC9245F" w14:textId="77777777" w:rsidR="00EE35D0" w:rsidRDefault="00EE35D0" w:rsidP="00A14D0C">
            <w:pPr>
              <w:pStyle w:val="p0"/>
              <w:keepLines w:val="0"/>
              <w:tabs>
                <w:tab w:val="left" w:pos="546"/>
              </w:tabs>
              <w:spacing w:before="120" w:after="120"/>
              <w:ind w:right="284"/>
              <w:jc w:val="center"/>
              <w:rPr>
                <w:rFonts w:cs="Arial"/>
                <w:color w:val="auto"/>
                <w:sz w:val="18"/>
                <w:lang w:val="es-ES"/>
              </w:rPr>
            </w:pPr>
            <w:r>
              <w:rPr>
                <w:rFonts w:cs="Arial"/>
                <w:color w:val="auto"/>
                <w:sz w:val="18"/>
                <w:lang w:val="es-ES"/>
              </w:rPr>
              <w:t>Concepto</w:t>
            </w:r>
          </w:p>
        </w:tc>
        <w:tc>
          <w:tcPr>
            <w:tcW w:w="3260"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hideMark/>
          </w:tcPr>
          <w:p w14:paraId="7E8528D9" w14:textId="77777777" w:rsidR="00EE35D0" w:rsidRDefault="00EE35D0" w:rsidP="00A14D0C">
            <w:pPr>
              <w:pStyle w:val="p0"/>
              <w:keepNext/>
              <w:spacing w:before="0"/>
              <w:jc w:val="center"/>
              <w:rPr>
                <w:rFonts w:cs="Arial"/>
                <w:color w:val="auto"/>
                <w:sz w:val="18"/>
                <w:lang w:val="es-ES"/>
              </w:rPr>
            </w:pPr>
            <w:r>
              <w:rPr>
                <w:rFonts w:cs="Arial"/>
                <w:color w:val="auto"/>
                <w:sz w:val="18"/>
                <w:lang w:val="es-ES"/>
              </w:rPr>
              <w:t>Variación porcentual respecto:</w:t>
            </w:r>
          </w:p>
        </w:tc>
      </w:tr>
      <w:tr w:rsidR="00EE35D0" w14:paraId="4B85A89A" w14:textId="77777777" w:rsidTr="00A14D0C">
        <w:trPr>
          <w:cantSplit/>
          <w:trHeight w:val="510"/>
          <w:jc w:val="center"/>
        </w:trPr>
        <w:tc>
          <w:tcPr>
            <w:tcW w:w="3104" w:type="dxa"/>
            <w:vMerge/>
            <w:tcBorders>
              <w:left w:val="double" w:sz="4" w:space="0" w:color="auto"/>
              <w:bottom w:val="single" w:sz="4" w:space="0" w:color="auto"/>
              <w:right w:val="single" w:sz="4" w:space="0" w:color="auto"/>
            </w:tcBorders>
            <w:shd w:val="clear" w:color="auto" w:fill="C2D69B" w:themeFill="accent3" w:themeFillTint="99"/>
            <w:vAlign w:val="center"/>
          </w:tcPr>
          <w:p w14:paraId="3A4CF9E0" w14:textId="77777777" w:rsidR="00EE35D0" w:rsidRDefault="00EE35D0" w:rsidP="00A14D0C">
            <w:pPr>
              <w:pStyle w:val="p0"/>
              <w:keepLines w:val="0"/>
              <w:tabs>
                <w:tab w:val="left" w:pos="546"/>
              </w:tabs>
              <w:spacing w:before="120" w:after="120"/>
              <w:ind w:right="284"/>
              <w:jc w:val="center"/>
              <w:rPr>
                <w:rFonts w:cs="Arial"/>
                <w:color w:val="auto"/>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61ADB0B" w14:textId="77777777" w:rsidR="00EE35D0" w:rsidRDefault="00EE35D0" w:rsidP="00A14D0C">
            <w:pPr>
              <w:pStyle w:val="p0"/>
              <w:keepNext/>
              <w:spacing w:before="0"/>
              <w:jc w:val="center"/>
              <w:rPr>
                <w:rFonts w:cs="Arial"/>
                <w:color w:val="auto"/>
                <w:sz w:val="18"/>
                <w:lang w:val="es-ES"/>
              </w:rPr>
            </w:pPr>
            <w:r>
              <w:rPr>
                <w:rFonts w:cs="Arial"/>
                <w:color w:val="auto"/>
                <w:sz w:val="18"/>
                <w:lang w:val="es-ES"/>
              </w:rPr>
              <w:t>Al trimestre previo</w:t>
            </w:r>
          </w:p>
        </w:tc>
        <w:tc>
          <w:tcPr>
            <w:tcW w:w="1701" w:type="dxa"/>
            <w:tcBorders>
              <w:top w:val="single" w:sz="4" w:space="0" w:color="auto"/>
              <w:left w:val="single" w:sz="4" w:space="0" w:color="auto"/>
              <w:bottom w:val="single" w:sz="4" w:space="0" w:color="auto"/>
              <w:right w:val="double" w:sz="4" w:space="0" w:color="auto"/>
            </w:tcBorders>
            <w:shd w:val="clear" w:color="auto" w:fill="C2D69B" w:themeFill="accent3" w:themeFillTint="99"/>
            <w:vAlign w:val="center"/>
          </w:tcPr>
          <w:p w14:paraId="3F521893" w14:textId="77777777" w:rsidR="00EE35D0" w:rsidRDefault="00EE35D0" w:rsidP="00A14D0C">
            <w:pPr>
              <w:pStyle w:val="p0"/>
              <w:keepNext/>
              <w:spacing w:before="0"/>
              <w:jc w:val="center"/>
              <w:rPr>
                <w:rFonts w:cs="Arial"/>
                <w:color w:val="auto"/>
                <w:sz w:val="18"/>
                <w:lang w:val="es-ES"/>
              </w:rPr>
            </w:pPr>
            <w:r>
              <w:rPr>
                <w:rFonts w:cs="Arial"/>
                <w:color w:val="auto"/>
                <w:sz w:val="18"/>
                <w:lang w:val="es-ES"/>
              </w:rPr>
              <w:t>Al mismo trimestre de 2021</w:t>
            </w:r>
          </w:p>
        </w:tc>
      </w:tr>
      <w:tr w:rsidR="00EE35D0" w14:paraId="6E9AD2F5" w14:textId="77777777" w:rsidTr="00A14D0C">
        <w:trPr>
          <w:cantSplit/>
          <w:trHeight w:val="283"/>
          <w:jc w:val="center"/>
        </w:trPr>
        <w:tc>
          <w:tcPr>
            <w:tcW w:w="3104" w:type="dxa"/>
            <w:tcBorders>
              <w:top w:val="single" w:sz="4" w:space="0" w:color="auto"/>
              <w:left w:val="double" w:sz="4" w:space="0" w:color="auto"/>
              <w:bottom w:val="nil"/>
              <w:right w:val="single" w:sz="4" w:space="0" w:color="auto"/>
            </w:tcBorders>
            <w:vAlign w:val="center"/>
            <w:hideMark/>
          </w:tcPr>
          <w:p w14:paraId="61A1F6AF" w14:textId="77777777" w:rsidR="00EE35D0" w:rsidRPr="002F10D1" w:rsidRDefault="00EE35D0" w:rsidP="00A14D0C">
            <w:pPr>
              <w:pStyle w:val="p0"/>
              <w:keepLines w:val="0"/>
              <w:spacing w:before="0"/>
              <w:jc w:val="left"/>
              <w:rPr>
                <w:rFonts w:cs="Arial"/>
                <w:b/>
                <w:color w:val="auto"/>
                <w:sz w:val="18"/>
                <w:lang w:val="es-ES"/>
              </w:rPr>
            </w:pPr>
            <w:r>
              <w:rPr>
                <w:rFonts w:cs="Arial"/>
                <w:sz w:val="18"/>
              </w:rPr>
              <w:br w:type="page"/>
            </w:r>
            <w:r w:rsidRPr="002F10D1">
              <w:rPr>
                <w:rFonts w:cs="Arial"/>
                <w:b/>
                <w:color w:val="auto"/>
                <w:sz w:val="18"/>
                <w:lang w:val="es-ES"/>
              </w:rPr>
              <w:t xml:space="preserve">PIB </w:t>
            </w:r>
            <w:r>
              <w:rPr>
                <w:rFonts w:cs="Arial"/>
                <w:b/>
                <w:color w:val="auto"/>
                <w:sz w:val="18"/>
                <w:lang w:val="es-ES"/>
              </w:rPr>
              <w:t>t</w:t>
            </w:r>
            <w:r w:rsidRPr="002F10D1">
              <w:rPr>
                <w:rFonts w:cs="Arial"/>
                <w:b/>
                <w:color w:val="auto"/>
                <w:sz w:val="18"/>
                <w:lang w:val="es-ES"/>
              </w:rPr>
              <w:t>urístico</w:t>
            </w:r>
          </w:p>
        </w:tc>
        <w:tc>
          <w:tcPr>
            <w:tcW w:w="1559" w:type="dxa"/>
            <w:tcBorders>
              <w:top w:val="single" w:sz="4" w:space="0" w:color="auto"/>
              <w:left w:val="single" w:sz="4" w:space="0" w:color="auto"/>
              <w:bottom w:val="nil"/>
              <w:right w:val="single" w:sz="4" w:space="0" w:color="auto"/>
            </w:tcBorders>
            <w:vAlign w:val="center"/>
          </w:tcPr>
          <w:p w14:paraId="1D817024" w14:textId="77777777" w:rsidR="00EE35D0" w:rsidRPr="00495F1D" w:rsidRDefault="00EE35D0" w:rsidP="00A14D0C">
            <w:pPr>
              <w:tabs>
                <w:tab w:val="decimal" w:pos="662"/>
              </w:tabs>
              <w:rPr>
                <w:rFonts w:cs="Arial"/>
                <w:b/>
                <w:sz w:val="18"/>
                <w:lang w:val="es-ES" w:eastAsia="en-US"/>
              </w:rPr>
            </w:pPr>
            <w:r>
              <w:rPr>
                <w:rFonts w:cs="Arial"/>
                <w:b/>
                <w:sz w:val="18"/>
                <w:lang w:val="es-ES" w:eastAsia="en-US"/>
              </w:rPr>
              <w:t>5.0</w:t>
            </w:r>
          </w:p>
        </w:tc>
        <w:tc>
          <w:tcPr>
            <w:tcW w:w="1701" w:type="dxa"/>
            <w:tcBorders>
              <w:top w:val="single" w:sz="4" w:space="0" w:color="auto"/>
              <w:left w:val="single" w:sz="4" w:space="0" w:color="auto"/>
              <w:bottom w:val="nil"/>
              <w:right w:val="double" w:sz="4" w:space="0" w:color="auto"/>
            </w:tcBorders>
            <w:vAlign w:val="center"/>
          </w:tcPr>
          <w:p w14:paraId="09B7E362" w14:textId="77777777" w:rsidR="00EE35D0" w:rsidRPr="00495F1D" w:rsidRDefault="00EE35D0" w:rsidP="00A14D0C">
            <w:pPr>
              <w:tabs>
                <w:tab w:val="decimal" w:pos="662"/>
              </w:tabs>
              <w:rPr>
                <w:rFonts w:cs="Arial"/>
                <w:b/>
                <w:sz w:val="18"/>
                <w:lang w:val="es-ES" w:eastAsia="en-US"/>
              </w:rPr>
            </w:pPr>
            <w:r>
              <w:rPr>
                <w:rFonts w:cs="Arial"/>
                <w:b/>
                <w:sz w:val="18"/>
                <w:lang w:val="es-ES" w:eastAsia="en-US"/>
              </w:rPr>
              <w:t>19.3</w:t>
            </w:r>
          </w:p>
        </w:tc>
      </w:tr>
      <w:tr w:rsidR="00EE35D0" w14:paraId="5F94E2DC" w14:textId="77777777" w:rsidTr="00A14D0C">
        <w:trPr>
          <w:cantSplit/>
          <w:trHeight w:val="283"/>
          <w:jc w:val="center"/>
        </w:trPr>
        <w:tc>
          <w:tcPr>
            <w:tcW w:w="3104" w:type="dxa"/>
            <w:tcBorders>
              <w:top w:val="nil"/>
              <w:left w:val="double" w:sz="4" w:space="0" w:color="auto"/>
              <w:bottom w:val="nil"/>
              <w:right w:val="single" w:sz="4" w:space="0" w:color="auto"/>
            </w:tcBorders>
            <w:vAlign w:val="center"/>
            <w:hideMark/>
          </w:tcPr>
          <w:p w14:paraId="449BEF39" w14:textId="77777777" w:rsidR="00EE35D0" w:rsidRDefault="00EE35D0" w:rsidP="00A14D0C">
            <w:pPr>
              <w:pStyle w:val="p0"/>
              <w:keepLines w:val="0"/>
              <w:spacing w:before="0"/>
              <w:ind w:firstLine="215"/>
              <w:jc w:val="left"/>
              <w:rPr>
                <w:rFonts w:cs="Arial"/>
                <w:color w:val="auto"/>
                <w:sz w:val="18"/>
                <w:lang w:val="es-ES"/>
              </w:rPr>
            </w:pPr>
            <w:r>
              <w:rPr>
                <w:rFonts w:cs="Arial"/>
                <w:color w:val="auto"/>
                <w:sz w:val="18"/>
                <w:lang w:val="es-ES"/>
              </w:rPr>
              <w:t>Bienes</w:t>
            </w:r>
          </w:p>
        </w:tc>
        <w:tc>
          <w:tcPr>
            <w:tcW w:w="1559" w:type="dxa"/>
            <w:tcBorders>
              <w:top w:val="nil"/>
              <w:left w:val="single" w:sz="4" w:space="0" w:color="auto"/>
              <w:bottom w:val="nil"/>
              <w:right w:val="single" w:sz="4" w:space="0" w:color="auto"/>
            </w:tcBorders>
            <w:vAlign w:val="center"/>
            <w:hideMark/>
          </w:tcPr>
          <w:p w14:paraId="2D353F0A" w14:textId="77777777" w:rsidR="00EE35D0" w:rsidRPr="00495F1D" w:rsidRDefault="00EE35D0" w:rsidP="00A14D0C">
            <w:pPr>
              <w:tabs>
                <w:tab w:val="decimal" w:pos="662"/>
              </w:tabs>
              <w:rPr>
                <w:rFonts w:cs="Arial"/>
                <w:sz w:val="18"/>
                <w:lang w:val="es-ES" w:eastAsia="en-US"/>
              </w:rPr>
            </w:pPr>
            <w:r>
              <w:rPr>
                <w:rFonts w:cs="Arial"/>
                <w:sz w:val="18"/>
                <w:lang w:val="es-ES" w:eastAsia="en-US"/>
              </w:rPr>
              <w:t>0.7</w:t>
            </w:r>
          </w:p>
        </w:tc>
        <w:tc>
          <w:tcPr>
            <w:tcW w:w="1701" w:type="dxa"/>
            <w:tcBorders>
              <w:top w:val="nil"/>
              <w:left w:val="single" w:sz="4" w:space="0" w:color="auto"/>
              <w:bottom w:val="nil"/>
              <w:right w:val="double" w:sz="4" w:space="0" w:color="auto"/>
            </w:tcBorders>
            <w:vAlign w:val="center"/>
            <w:hideMark/>
          </w:tcPr>
          <w:p w14:paraId="6EC03A99" w14:textId="77777777" w:rsidR="00EE35D0" w:rsidRPr="00495F1D" w:rsidRDefault="00EE35D0" w:rsidP="00A14D0C">
            <w:pPr>
              <w:tabs>
                <w:tab w:val="decimal" w:pos="662"/>
              </w:tabs>
              <w:rPr>
                <w:rFonts w:cs="Arial"/>
                <w:sz w:val="18"/>
                <w:lang w:val="es-ES" w:eastAsia="en-US"/>
              </w:rPr>
            </w:pPr>
            <w:r>
              <w:rPr>
                <w:rFonts w:cs="Arial"/>
                <w:sz w:val="18"/>
                <w:lang w:val="es-ES" w:eastAsia="en-US"/>
              </w:rPr>
              <w:t>11.6</w:t>
            </w:r>
          </w:p>
        </w:tc>
      </w:tr>
      <w:tr w:rsidR="00EE35D0" w14:paraId="564A9491" w14:textId="77777777" w:rsidTr="00A14D0C">
        <w:trPr>
          <w:cantSplit/>
          <w:trHeight w:val="283"/>
          <w:jc w:val="center"/>
        </w:trPr>
        <w:tc>
          <w:tcPr>
            <w:tcW w:w="3104" w:type="dxa"/>
            <w:tcBorders>
              <w:top w:val="nil"/>
              <w:left w:val="double" w:sz="4" w:space="0" w:color="auto"/>
              <w:bottom w:val="nil"/>
              <w:right w:val="single" w:sz="4" w:space="0" w:color="auto"/>
            </w:tcBorders>
            <w:vAlign w:val="center"/>
            <w:hideMark/>
          </w:tcPr>
          <w:p w14:paraId="6DD005AF" w14:textId="77777777" w:rsidR="00EE35D0" w:rsidRDefault="00EE35D0" w:rsidP="00A14D0C">
            <w:pPr>
              <w:pStyle w:val="p0"/>
              <w:keepLines w:val="0"/>
              <w:spacing w:before="0"/>
              <w:ind w:firstLine="215"/>
              <w:jc w:val="left"/>
              <w:rPr>
                <w:rFonts w:cs="Arial"/>
                <w:color w:val="auto"/>
                <w:sz w:val="18"/>
                <w:lang w:val="es-ES"/>
              </w:rPr>
            </w:pPr>
            <w:r>
              <w:rPr>
                <w:rFonts w:cs="Arial"/>
                <w:color w:val="auto"/>
                <w:sz w:val="18"/>
                <w:lang w:val="es-ES"/>
              </w:rPr>
              <w:t>Servicios</w:t>
            </w:r>
          </w:p>
        </w:tc>
        <w:tc>
          <w:tcPr>
            <w:tcW w:w="1559" w:type="dxa"/>
            <w:tcBorders>
              <w:top w:val="nil"/>
              <w:left w:val="single" w:sz="4" w:space="0" w:color="auto"/>
              <w:bottom w:val="nil"/>
              <w:right w:val="single" w:sz="4" w:space="0" w:color="auto"/>
            </w:tcBorders>
            <w:vAlign w:val="center"/>
            <w:hideMark/>
          </w:tcPr>
          <w:p w14:paraId="6076FCC3" w14:textId="77777777" w:rsidR="00EE35D0" w:rsidRPr="00495F1D" w:rsidRDefault="00EE35D0" w:rsidP="00A14D0C">
            <w:pPr>
              <w:tabs>
                <w:tab w:val="decimal" w:pos="662"/>
              </w:tabs>
              <w:rPr>
                <w:rFonts w:cs="Arial"/>
                <w:sz w:val="18"/>
                <w:lang w:val="es-ES" w:eastAsia="en-US"/>
              </w:rPr>
            </w:pPr>
            <w:r>
              <w:rPr>
                <w:rFonts w:cs="Arial"/>
                <w:sz w:val="18"/>
                <w:lang w:val="es-ES" w:eastAsia="en-US"/>
              </w:rPr>
              <w:t>5.6</w:t>
            </w:r>
          </w:p>
        </w:tc>
        <w:tc>
          <w:tcPr>
            <w:tcW w:w="1701" w:type="dxa"/>
            <w:tcBorders>
              <w:top w:val="nil"/>
              <w:left w:val="single" w:sz="4" w:space="0" w:color="auto"/>
              <w:bottom w:val="nil"/>
              <w:right w:val="double" w:sz="4" w:space="0" w:color="auto"/>
            </w:tcBorders>
            <w:vAlign w:val="center"/>
            <w:hideMark/>
          </w:tcPr>
          <w:p w14:paraId="4FCBBE26" w14:textId="77777777" w:rsidR="00EE35D0" w:rsidRPr="00495F1D" w:rsidRDefault="00EE35D0" w:rsidP="00A14D0C">
            <w:pPr>
              <w:tabs>
                <w:tab w:val="decimal" w:pos="662"/>
              </w:tabs>
              <w:rPr>
                <w:rFonts w:cs="Arial"/>
                <w:sz w:val="18"/>
                <w:lang w:val="es-ES" w:eastAsia="en-US"/>
              </w:rPr>
            </w:pPr>
            <w:r>
              <w:rPr>
                <w:rFonts w:cs="Arial"/>
                <w:sz w:val="18"/>
                <w:lang w:val="es-ES" w:eastAsia="en-US"/>
              </w:rPr>
              <w:t>20.6</w:t>
            </w:r>
          </w:p>
        </w:tc>
      </w:tr>
      <w:tr w:rsidR="00EE35D0" w14:paraId="156F68CC" w14:textId="77777777" w:rsidTr="00A14D0C">
        <w:trPr>
          <w:cantSplit/>
          <w:trHeight w:val="283"/>
          <w:jc w:val="center"/>
        </w:trPr>
        <w:tc>
          <w:tcPr>
            <w:tcW w:w="3104" w:type="dxa"/>
            <w:tcBorders>
              <w:top w:val="nil"/>
              <w:left w:val="double" w:sz="4" w:space="0" w:color="auto"/>
              <w:bottom w:val="nil"/>
              <w:right w:val="single" w:sz="4" w:space="0" w:color="auto"/>
            </w:tcBorders>
            <w:vAlign w:val="center"/>
            <w:hideMark/>
          </w:tcPr>
          <w:p w14:paraId="06325393" w14:textId="77777777" w:rsidR="00EE35D0" w:rsidRPr="002F10D1" w:rsidRDefault="00EE35D0" w:rsidP="00A14D0C">
            <w:pPr>
              <w:pStyle w:val="p0"/>
              <w:keepLines w:val="0"/>
              <w:spacing w:before="0"/>
              <w:jc w:val="left"/>
              <w:rPr>
                <w:rFonts w:cs="Arial"/>
                <w:b/>
                <w:color w:val="auto"/>
                <w:sz w:val="18"/>
                <w:lang w:val="es-ES"/>
              </w:rPr>
            </w:pPr>
            <w:r w:rsidRPr="002F10D1">
              <w:rPr>
                <w:rFonts w:cs="Arial"/>
                <w:b/>
                <w:color w:val="auto"/>
                <w:sz w:val="18"/>
                <w:lang w:val="es-ES"/>
              </w:rPr>
              <w:t xml:space="preserve">Consumo </w:t>
            </w:r>
            <w:r>
              <w:rPr>
                <w:rFonts w:cs="Arial"/>
                <w:b/>
                <w:color w:val="auto"/>
                <w:sz w:val="18"/>
                <w:lang w:val="es-ES"/>
              </w:rPr>
              <w:t>t</w:t>
            </w:r>
            <w:r w:rsidRPr="002F10D1">
              <w:rPr>
                <w:rFonts w:cs="Arial"/>
                <w:b/>
                <w:color w:val="auto"/>
                <w:sz w:val="18"/>
                <w:lang w:val="es-ES"/>
              </w:rPr>
              <w:t xml:space="preserve">urístico </w:t>
            </w:r>
            <w:r>
              <w:rPr>
                <w:rFonts w:cs="Arial"/>
                <w:b/>
                <w:color w:val="auto"/>
                <w:sz w:val="18"/>
                <w:lang w:val="es-ES"/>
              </w:rPr>
              <w:t>i</w:t>
            </w:r>
            <w:r w:rsidRPr="002F10D1">
              <w:rPr>
                <w:rFonts w:cs="Arial"/>
                <w:b/>
                <w:color w:val="auto"/>
                <w:sz w:val="18"/>
                <w:lang w:val="es-ES"/>
              </w:rPr>
              <w:t>nterior</w:t>
            </w:r>
          </w:p>
        </w:tc>
        <w:tc>
          <w:tcPr>
            <w:tcW w:w="1559" w:type="dxa"/>
            <w:tcBorders>
              <w:top w:val="nil"/>
              <w:left w:val="single" w:sz="4" w:space="0" w:color="auto"/>
              <w:bottom w:val="nil"/>
              <w:right w:val="single" w:sz="4" w:space="0" w:color="auto"/>
            </w:tcBorders>
            <w:vAlign w:val="center"/>
          </w:tcPr>
          <w:p w14:paraId="53BCDA29" w14:textId="77777777" w:rsidR="00EE35D0" w:rsidRPr="00495F1D" w:rsidRDefault="00EE35D0" w:rsidP="00A14D0C">
            <w:pPr>
              <w:tabs>
                <w:tab w:val="decimal" w:pos="662"/>
              </w:tabs>
              <w:rPr>
                <w:rFonts w:cs="Arial"/>
                <w:b/>
                <w:sz w:val="18"/>
                <w:lang w:val="es-ES" w:eastAsia="en-US"/>
              </w:rPr>
            </w:pPr>
            <w:r>
              <w:rPr>
                <w:rFonts w:cs="Arial"/>
                <w:b/>
                <w:sz w:val="18"/>
                <w:lang w:val="es-ES" w:eastAsia="en-US"/>
              </w:rPr>
              <w:t>5.2</w:t>
            </w:r>
          </w:p>
        </w:tc>
        <w:tc>
          <w:tcPr>
            <w:tcW w:w="1701" w:type="dxa"/>
            <w:tcBorders>
              <w:top w:val="nil"/>
              <w:left w:val="single" w:sz="4" w:space="0" w:color="auto"/>
              <w:bottom w:val="nil"/>
              <w:right w:val="double" w:sz="4" w:space="0" w:color="auto"/>
            </w:tcBorders>
            <w:vAlign w:val="center"/>
          </w:tcPr>
          <w:p w14:paraId="0F0A33BC" w14:textId="77777777" w:rsidR="00EE35D0" w:rsidRPr="00495F1D" w:rsidRDefault="00EE35D0" w:rsidP="00A14D0C">
            <w:pPr>
              <w:tabs>
                <w:tab w:val="decimal" w:pos="662"/>
              </w:tabs>
              <w:rPr>
                <w:rFonts w:cs="Arial"/>
                <w:b/>
                <w:sz w:val="18"/>
                <w:lang w:val="es-ES" w:eastAsia="en-US"/>
              </w:rPr>
            </w:pPr>
            <w:r>
              <w:rPr>
                <w:rFonts w:cs="Arial"/>
                <w:b/>
                <w:sz w:val="18"/>
                <w:lang w:val="es-ES" w:eastAsia="en-US"/>
              </w:rPr>
              <w:t>21.2</w:t>
            </w:r>
          </w:p>
        </w:tc>
      </w:tr>
      <w:tr w:rsidR="00EE35D0" w14:paraId="7157974E" w14:textId="77777777" w:rsidTr="00A14D0C">
        <w:trPr>
          <w:cantSplit/>
          <w:trHeight w:val="283"/>
          <w:jc w:val="center"/>
        </w:trPr>
        <w:tc>
          <w:tcPr>
            <w:tcW w:w="3104" w:type="dxa"/>
            <w:tcBorders>
              <w:top w:val="nil"/>
              <w:left w:val="double" w:sz="4" w:space="0" w:color="auto"/>
              <w:right w:val="single" w:sz="4" w:space="0" w:color="auto"/>
            </w:tcBorders>
            <w:vAlign w:val="center"/>
          </w:tcPr>
          <w:p w14:paraId="6E14281B" w14:textId="77777777" w:rsidR="00EE35D0" w:rsidRPr="00053A68" w:rsidRDefault="00EE35D0" w:rsidP="00A14D0C">
            <w:pPr>
              <w:pStyle w:val="p0"/>
              <w:keepLines w:val="0"/>
              <w:spacing w:before="0"/>
              <w:ind w:firstLine="215"/>
              <w:jc w:val="left"/>
              <w:rPr>
                <w:rFonts w:cs="Arial"/>
                <w:color w:val="auto"/>
                <w:sz w:val="18"/>
                <w:lang w:val="es-ES"/>
              </w:rPr>
            </w:pPr>
            <w:r w:rsidRPr="002D5B11">
              <w:rPr>
                <w:rFonts w:cs="Arial"/>
                <w:color w:val="auto"/>
                <w:sz w:val="18"/>
                <w:lang w:val="es-ES"/>
              </w:rPr>
              <w:t>Interno</w:t>
            </w:r>
          </w:p>
        </w:tc>
        <w:tc>
          <w:tcPr>
            <w:tcW w:w="1559" w:type="dxa"/>
            <w:tcBorders>
              <w:top w:val="nil"/>
              <w:left w:val="single" w:sz="4" w:space="0" w:color="auto"/>
              <w:right w:val="single" w:sz="4" w:space="0" w:color="auto"/>
            </w:tcBorders>
            <w:vAlign w:val="center"/>
          </w:tcPr>
          <w:p w14:paraId="16539763" w14:textId="77777777" w:rsidR="00EE35D0" w:rsidRPr="00495F1D" w:rsidRDefault="00EE35D0" w:rsidP="00A14D0C">
            <w:pPr>
              <w:tabs>
                <w:tab w:val="decimal" w:pos="662"/>
              </w:tabs>
              <w:rPr>
                <w:rFonts w:cs="Arial"/>
                <w:sz w:val="18"/>
                <w:lang w:val="es-ES"/>
              </w:rPr>
            </w:pPr>
            <w:r>
              <w:rPr>
                <w:rFonts w:cs="Arial"/>
                <w:sz w:val="18"/>
                <w:lang w:val="es-ES"/>
              </w:rPr>
              <w:t>5.8</w:t>
            </w:r>
          </w:p>
        </w:tc>
        <w:tc>
          <w:tcPr>
            <w:tcW w:w="1701" w:type="dxa"/>
            <w:tcBorders>
              <w:top w:val="nil"/>
              <w:left w:val="single" w:sz="4" w:space="0" w:color="auto"/>
              <w:right w:val="double" w:sz="4" w:space="0" w:color="auto"/>
            </w:tcBorders>
            <w:vAlign w:val="center"/>
          </w:tcPr>
          <w:p w14:paraId="1FE362F2" w14:textId="77777777" w:rsidR="00EE35D0" w:rsidRPr="00495F1D" w:rsidRDefault="00EE35D0" w:rsidP="00A14D0C">
            <w:pPr>
              <w:tabs>
                <w:tab w:val="decimal" w:pos="662"/>
              </w:tabs>
              <w:rPr>
                <w:rFonts w:cs="Arial"/>
                <w:sz w:val="18"/>
                <w:lang w:val="es-ES"/>
              </w:rPr>
            </w:pPr>
            <w:r>
              <w:rPr>
                <w:rFonts w:cs="Arial"/>
                <w:sz w:val="18"/>
                <w:lang w:val="es-ES"/>
              </w:rPr>
              <w:t>18.2</w:t>
            </w:r>
          </w:p>
        </w:tc>
      </w:tr>
      <w:tr w:rsidR="00EE35D0" w14:paraId="1CBA1D62" w14:textId="77777777" w:rsidTr="00A14D0C">
        <w:trPr>
          <w:cantSplit/>
          <w:trHeight w:val="283"/>
          <w:jc w:val="center"/>
        </w:trPr>
        <w:tc>
          <w:tcPr>
            <w:tcW w:w="3104" w:type="dxa"/>
            <w:tcBorders>
              <w:top w:val="nil"/>
              <w:left w:val="double" w:sz="4" w:space="0" w:color="auto"/>
              <w:bottom w:val="double" w:sz="4" w:space="0" w:color="auto"/>
              <w:right w:val="single" w:sz="4" w:space="0" w:color="auto"/>
            </w:tcBorders>
            <w:vAlign w:val="center"/>
          </w:tcPr>
          <w:p w14:paraId="485490C8" w14:textId="77777777" w:rsidR="00EE35D0" w:rsidRDefault="00EE35D0" w:rsidP="00A14D0C">
            <w:pPr>
              <w:pStyle w:val="p0"/>
              <w:keepLines w:val="0"/>
              <w:spacing w:before="0"/>
              <w:ind w:firstLine="215"/>
              <w:jc w:val="left"/>
              <w:rPr>
                <w:rFonts w:cs="Arial"/>
                <w:color w:val="auto"/>
                <w:sz w:val="18"/>
                <w:lang w:val="es-ES"/>
              </w:rPr>
            </w:pPr>
            <w:r>
              <w:rPr>
                <w:rFonts w:cs="Arial"/>
                <w:color w:val="auto"/>
                <w:sz w:val="18"/>
                <w:lang w:val="es-ES"/>
              </w:rPr>
              <w:t>Receptivo</w:t>
            </w:r>
          </w:p>
        </w:tc>
        <w:tc>
          <w:tcPr>
            <w:tcW w:w="1559" w:type="dxa"/>
            <w:tcBorders>
              <w:top w:val="nil"/>
              <w:left w:val="single" w:sz="4" w:space="0" w:color="auto"/>
              <w:bottom w:val="double" w:sz="4" w:space="0" w:color="auto"/>
              <w:right w:val="single" w:sz="4" w:space="0" w:color="auto"/>
            </w:tcBorders>
            <w:vAlign w:val="center"/>
          </w:tcPr>
          <w:p w14:paraId="6F4335D3" w14:textId="77777777" w:rsidR="00EE35D0" w:rsidRPr="00495F1D" w:rsidRDefault="00EE35D0" w:rsidP="00A14D0C">
            <w:pPr>
              <w:tabs>
                <w:tab w:val="decimal" w:pos="662"/>
              </w:tabs>
              <w:rPr>
                <w:rFonts w:cs="Arial"/>
                <w:sz w:val="18"/>
                <w:lang w:val="es-ES"/>
              </w:rPr>
            </w:pPr>
            <w:r>
              <w:rPr>
                <w:rFonts w:cs="Arial"/>
                <w:sz w:val="18"/>
                <w:lang w:val="es-ES"/>
              </w:rPr>
              <w:t>1.0</w:t>
            </w:r>
          </w:p>
        </w:tc>
        <w:tc>
          <w:tcPr>
            <w:tcW w:w="1701" w:type="dxa"/>
            <w:tcBorders>
              <w:top w:val="nil"/>
              <w:left w:val="single" w:sz="4" w:space="0" w:color="auto"/>
              <w:bottom w:val="double" w:sz="4" w:space="0" w:color="auto"/>
              <w:right w:val="double" w:sz="4" w:space="0" w:color="auto"/>
            </w:tcBorders>
            <w:vAlign w:val="center"/>
          </w:tcPr>
          <w:p w14:paraId="0074D272" w14:textId="77777777" w:rsidR="00EE35D0" w:rsidRPr="00495F1D" w:rsidRDefault="00EE35D0" w:rsidP="00A14D0C">
            <w:pPr>
              <w:tabs>
                <w:tab w:val="decimal" w:pos="662"/>
              </w:tabs>
              <w:rPr>
                <w:rFonts w:cs="Arial"/>
                <w:sz w:val="18"/>
                <w:lang w:val="es-ES"/>
              </w:rPr>
            </w:pPr>
            <w:r>
              <w:rPr>
                <w:rFonts w:cs="Arial"/>
                <w:sz w:val="18"/>
                <w:lang w:val="es-ES"/>
              </w:rPr>
              <w:t>32.9</w:t>
            </w:r>
          </w:p>
        </w:tc>
      </w:tr>
    </w:tbl>
    <w:p w14:paraId="2B05F466" w14:textId="77777777" w:rsidR="00EE35D0" w:rsidRDefault="00EE35D0" w:rsidP="00B91B48">
      <w:pPr>
        <w:pStyle w:val="Textoindependiente"/>
        <w:ind w:left="2410" w:right="1892" w:hanging="588"/>
        <w:contextualSpacing/>
        <w:jc w:val="both"/>
        <w:rPr>
          <w:sz w:val="16"/>
          <w:szCs w:val="16"/>
        </w:rPr>
      </w:pPr>
      <w:r>
        <w:rPr>
          <w:sz w:val="16"/>
          <w:szCs w:val="16"/>
        </w:rPr>
        <w:t>Nota:</w:t>
      </w:r>
      <w:r>
        <w:rPr>
          <w:sz w:val="16"/>
          <w:szCs w:val="16"/>
        </w:rPr>
        <w:tab/>
        <w:t>L</w:t>
      </w:r>
      <w:r w:rsidRPr="00CD2934">
        <w:rPr>
          <w:color w:val="auto"/>
          <w:sz w:val="16"/>
        </w:rPr>
        <w:t>a</w:t>
      </w:r>
      <w:r>
        <w:rPr>
          <w:color w:val="auto"/>
          <w:sz w:val="16"/>
        </w:rPr>
        <w:t>s</w:t>
      </w:r>
      <w:r w:rsidRPr="00CD2934">
        <w:rPr>
          <w:color w:val="auto"/>
          <w:sz w:val="16"/>
        </w:rPr>
        <w:t xml:space="preserve"> serie</w:t>
      </w:r>
      <w:r>
        <w:rPr>
          <w:color w:val="auto"/>
          <w:sz w:val="16"/>
        </w:rPr>
        <w:t>s</w:t>
      </w:r>
      <w:r w:rsidRPr="00CD2934">
        <w:rPr>
          <w:color w:val="auto"/>
          <w:sz w:val="16"/>
        </w:rPr>
        <w:t xml:space="preserve"> desestacionalizada</w:t>
      </w:r>
      <w:r>
        <w:rPr>
          <w:color w:val="auto"/>
          <w:sz w:val="16"/>
        </w:rPr>
        <w:t>s</w:t>
      </w:r>
      <w:r w:rsidRPr="00CD2934">
        <w:rPr>
          <w:color w:val="auto"/>
          <w:sz w:val="16"/>
        </w:rPr>
        <w:t xml:space="preserve"> del </w:t>
      </w:r>
      <w:r w:rsidRPr="00CD2934">
        <w:rPr>
          <w:snapToGrid/>
          <w:color w:val="auto"/>
          <w:sz w:val="16"/>
          <w:szCs w:val="22"/>
        </w:rPr>
        <w:t>Indicador Trimestral del P</w:t>
      </w:r>
      <w:r>
        <w:rPr>
          <w:snapToGrid/>
          <w:color w:val="auto"/>
          <w:sz w:val="16"/>
          <w:szCs w:val="22"/>
        </w:rPr>
        <w:t xml:space="preserve">roducto </w:t>
      </w:r>
      <w:r w:rsidRPr="00CD2934">
        <w:rPr>
          <w:snapToGrid/>
          <w:color w:val="auto"/>
          <w:sz w:val="16"/>
          <w:szCs w:val="22"/>
        </w:rPr>
        <w:t>I</w:t>
      </w:r>
      <w:r>
        <w:rPr>
          <w:snapToGrid/>
          <w:color w:val="auto"/>
          <w:sz w:val="16"/>
          <w:szCs w:val="22"/>
        </w:rPr>
        <w:t xml:space="preserve">nterno </w:t>
      </w:r>
      <w:r w:rsidRPr="00CD2934">
        <w:rPr>
          <w:snapToGrid/>
          <w:color w:val="auto"/>
          <w:sz w:val="16"/>
          <w:szCs w:val="22"/>
        </w:rPr>
        <w:t>B</w:t>
      </w:r>
      <w:r>
        <w:rPr>
          <w:snapToGrid/>
          <w:color w:val="auto"/>
          <w:sz w:val="16"/>
          <w:szCs w:val="22"/>
        </w:rPr>
        <w:t xml:space="preserve">ruto </w:t>
      </w:r>
      <w:r w:rsidRPr="00CD2934">
        <w:rPr>
          <w:snapToGrid/>
          <w:color w:val="auto"/>
          <w:sz w:val="16"/>
          <w:szCs w:val="22"/>
        </w:rPr>
        <w:t>Turístico</w:t>
      </w:r>
      <w:r w:rsidRPr="00E81E9F">
        <w:rPr>
          <w:color w:val="auto"/>
          <w:sz w:val="16"/>
        </w:rPr>
        <w:t xml:space="preserve"> </w:t>
      </w:r>
      <w:r>
        <w:rPr>
          <w:color w:val="auto"/>
          <w:sz w:val="16"/>
        </w:rPr>
        <w:t xml:space="preserve">y del Consumo Turístico Interior </w:t>
      </w:r>
      <w:r w:rsidRPr="00CD2934">
        <w:rPr>
          <w:color w:val="auto"/>
          <w:sz w:val="16"/>
        </w:rPr>
        <w:t>se calcula</w:t>
      </w:r>
      <w:r>
        <w:rPr>
          <w:color w:val="auto"/>
          <w:sz w:val="16"/>
        </w:rPr>
        <w:t xml:space="preserve">n </w:t>
      </w:r>
      <w:r w:rsidRPr="00CD2934">
        <w:rPr>
          <w:color w:val="auto"/>
          <w:sz w:val="16"/>
        </w:rPr>
        <w:t>de manera</w:t>
      </w:r>
      <w:r>
        <w:rPr>
          <w:color w:val="auto"/>
          <w:sz w:val="16"/>
        </w:rPr>
        <w:t xml:space="preserve"> </w:t>
      </w:r>
      <w:r w:rsidRPr="00CD2934">
        <w:rPr>
          <w:color w:val="auto"/>
          <w:sz w:val="16"/>
        </w:rPr>
        <w:t>independiente a la</w:t>
      </w:r>
      <w:r>
        <w:rPr>
          <w:color w:val="auto"/>
          <w:sz w:val="16"/>
        </w:rPr>
        <w:t>s</w:t>
      </w:r>
      <w:r w:rsidRPr="00CD2934">
        <w:rPr>
          <w:color w:val="auto"/>
          <w:sz w:val="16"/>
        </w:rPr>
        <w:t xml:space="preserve"> de sus</w:t>
      </w:r>
      <w:r>
        <w:rPr>
          <w:color w:val="auto"/>
          <w:sz w:val="16"/>
        </w:rPr>
        <w:t xml:space="preserve"> componentes.</w:t>
      </w:r>
    </w:p>
    <w:p w14:paraId="1E7DAA16" w14:textId="77777777" w:rsidR="00EE35D0" w:rsidRDefault="00EE35D0" w:rsidP="00B91B48">
      <w:pPr>
        <w:pStyle w:val="Textoindependiente"/>
        <w:ind w:left="2410" w:right="1892" w:hanging="588"/>
        <w:contextualSpacing/>
        <w:jc w:val="both"/>
        <w:rPr>
          <w:sz w:val="16"/>
          <w:szCs w:val="16"/>
        </w:rPr>
      </w:pPr>
      <w:r>
        <w:rPr>
          <w:sz w:val="16"/>
          <w:szCs w:val="16"/>
        </w:rPr>
        <w:t>Fuente:</w:t>
      </w:r>
      <w:r>
        <w:rPr>
          <w:sz w:val="16"/>
          <w:szCs w:val="16"/>
        </w:rPr>
        <w:tab/>
        <w:t>INEGI</w:t>
      </w:r>
    </w:p>
    <w:bookmarkEnd w:id="1"/>
    <w:p w14:paraId="55F2D297" w14:textId="77777777" w:rsidR="00EE35D0" w:rsidRPr="00B517AB" w:rsidRDefault="00EE35D0" w:rsidP="00EE35D0">
      <w:pPr>
        <w:pStyle w:val="bullet"/>
        <w:widowControl/>
        <w:numPr>
          <w:ilvl w:val="0"/>
          <w:numId w:val="0"/>
        </w:numPr>
        <w:tabs>
          <w:tab w:val="left" w:pos="8364"/>
        </w:tabs>
        <w:spacing w:before="600"/>
        <w:ind w:right="49"/>
        <w:rPr>
          <w:b w:val="0"/>
          <w:snapToGrid/>
          <w:color w:val="auto"/>
          <w:sz w:val="24"/>
          <w:szCs w:val="24"/>
        </w:rPr>
      </w:pPr>
      <w:r w:rsidRPr="00B517AB">
        <w:rPr>
          <w:b w:val="0"/>
          <w:snapToGrid/>
          <w:color w:val="auto"/>
          <w:sz w:val="24"/>
          <w:szCs w:val="24"/>
        </w:rPr>
        <w:t>A tasa anual, el Indicador Trimestral del Producto Interno Bruto Turístico creció 19.3 %</w:t>
      </w:r>
      <w:r w:rsidRPr="00B517AB">
        <w:rPr>
          <w:b w:val="0"/>
          <w:snapToGrid/>
          <w:color w:val="FF0000"/>
          <w:sz w:val="24"/>
          <w:szCs w:val="24"/>
        </w:rPr>
        <w:t xml:space="preserve"> </w:t>
      </w:r>
      <w:r w:rsidRPr="00B517AB">
        <w:rPr>
          <w:b w:val="0"/>
          <w:snapToGrid/>
          <w:color w:val="auto"/>
          <w:sz w:val="24"/>
          <w:szCs w:val="24"/>
        </w:rPr>
        <w:t xml:space="preserve">y el del Consumo Turístico Interior, 21.2 por ciento. </w:t>
      </w:r>
    </w:p>
    <w:p w14:paraId="5F85BCB7" w14:textId="77777777" w:rsidR="00EE35D0" w:rsidRDefault="00EE35D0" w:rsidP="00EE35D0">
      <w:pPr>
        <w:pStyle w:val="bulnot"/>
        <w:widowControl w:val="0"/>
        <w:tabs>
          <w:tab w:val="clear" w:pos="851"/>
        </w:tabs>
        <w:spacing w:before="240"/>
        <w:ind w:left="0" w:right="49" w:firstLine="0"/>
        <w:rPr>
          <w:rFonts w:cs="Arial"/>
          <w:b w:val="0"/>
          <w:color w:val="auto"/>
          <w:sz w:val="24"/>
          <w:szCs w:val="24"/>
        </w:rPr>
      </w:pPr>
    </w:p>
    <w:p w14:paraId="28A59026" w14:textId="77777777" w:rsidR="00EE35D0" w:rsidRDefault="00EE35D0" w:rsidP="00EE35D0">
      <w:pPr>
        <w:pStyle w:val="bulnot"/>
        <w:widowControl w:val="0"/>
        <w:tabs>
          <w:tab w:val="clear" w:pos="851"/>
        </w:tabs>
        <w:spacing w:before="240"/>
        <w:ind w:left="0" w:right="49" w:firstLine="0"/>
        <w:rPr>
          <w:rFonts w:cs="Arial"/>
          <w:b w:val="0"/>
          <w:color w:val="auto"/>
          <w:sz w:val="24"/>
          <w:szCs w:val="24"/>
        </w:rPr>
      </w:pPr>
    </w:p>
    <w:p w14:paraId="7297C935" w14:textId="77777777" w:rsidR="00EE35D0" w:rsidRDefault="00EE35D0" w:rsidP="00EE35D0">
      <w:pPr>
        <w:pStyle w:val="bulnot"/>
        <w:widowControl w:val="0"/>
        <w:tabs>
          <w:tab w:val="clear" w:pos="851"/>
        </w:tabs>
        <w:spacing w:before="240"/>
        <w:ind w:left="0" w:right="49" w:firstLine="0"/>
        <w:rPr>
          <w:rFonts w:cs="Arial"/>
          <w:b w:val="0"/>
          <w:color w:val="auto"/>
          <w:sz w:val="24"/>
          <w:szCs w:val="24"/>
        </w:rPr>
      </w:pPr>
    </w:p>
    <w:p w14:paraId="440EFA6D" w14:textId="77777777" w:rsidR="00EE35D0" w:rsidRDefault="00EE35D0" w:rsidP="00EE35D0">
      <w:pPr>
        <w:pStyle w:val="bulnot"/>
        <w:widowControl w:val="0"/>
        <w:tabs>
          <w:tab w:val="clear" w:pos="851"/>
        </w:tabs>
        <w:spacing w:before="240"/>
        <w:ind w:left="0" w:right="49" w:firstLine="0"/>
        <w:rPr>
          <w:rFonts w:cs="Arial"/>
          <w:b w:val="0"/>
          <w:color w:val="auto"/>
          <w:sz w:val="24"/>
          <w:szCs w:val="24"/>
        </w:rPr>
      </w:pPr>
    </w:p>
    <w:p w14:paraId="0DAA1153" w14:textId="77777777" w:rsidR="00EE35D0" w:rsidRPr="007422D5" w:rsidRDefault="00EE35D0" w:rsidP="00EE35D0">
      <w:pPr>
        <w:spacing w:before="100" w:beforeAutospacing="1"/>
        <w:ind w:left="-284" w:right="-547"/>
        <w:jc w:val="center"/>
        <w:rPr>
          <w:sz w:val="2"/>
          <w:szCs w:val="2"/>
        </w:rPr>
      </w:pPr>
    </w:p>
    <w:p w14:paraId="50675BF1" w14:textId="77777777" w:rsidR="00EE35D0" w:rsidRPr="00B517AB" w:rsidRDefault="00EE35D0" w:rsidP="00EE35D0">
      <w:pPr>
        <w:pStyle w:val="p0"/>
        <w:spacing w:before="0"/>
        <w:ind w:right="49"/>
        <w:rPr>
          <w:rFonts w:ascii="Arial Negrita" w:hAnsi="Arial Negrita"/>
          <w:b/>
          <w:i/>
          <w:iCs/>
          <w:smallCaps/>
          <w:color w:val="auto"/>
        </w:rPr>
      </w:pPr>
      <w:r w:rsidRPr="00B517AB">
        <w:rPr>
          <w:rFonts w:ascii="Arial Negrita" w:hAnsi="Arial Negrita"/>
          <w:b/>
          <w:i/>
          <w:iCs/>
          <w:smallCaps/>
          <w:color w:val="auto"/>
        </w:rPr>
        <w:t>Nota al usuario</w:t>
      </w:r>
    </w:p>
    <w:p w14:paraId="283F0EA2" w14:textId="77777777" w:rsidR="00EE35D0" w:rsidRPr="00561F0C" w:rsidRDefault="00EE35D0" w:rsidP="00EE35D0">
      <w:pPr>
        <w:spacing w:before="240"/>
        <w:ind w:right="49"/>
        <w:jc w:val="both"/>
        <w:rPr>
          <w:szCs w:val="18"/>
        </w:rPr>
      </w:pPr>
      <w:r w:rsidRPr="00561F0C">
        <w:rPr>
          <w:szCs w:val="18"/>
        </w:rPr>
        <w:t xml:space="preserve">Este indicador se actualiza una vez que se dispone de la información estadística trimestral del Sistema de Cuentas Nacionales de México (SCNM) y de la Cuenta Satélite del Turismo de México (CSTM) 2020. Como resultado de incorporar dicha información, se identifican diferencias en los niveles de los índices y variaciones que </w:t>
      </w:r>
      <w:r>
        <w:rPr>
          <w:szCs w:val="18"/>
        </w:rPr>
        <w:t>fueron publicados</w:t>
      </w:r>
      <w:r w:rsidRPr="00561F0C">
        <w:rPr>
          <w:szCs w:val="18"/>
        </w:rPr>
        <w:t xml:space="preserve">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16212DC7" w14:textId="77777777" w:rsidR="00EE35D0" w:rsidRPr="0020266D" w:rsidRDefault="00EE35D0" w:rsidP="00EE35D0">
      <w:pPr>
        <w:spacing w:before="240"/>
        <w:ind w:right="49"/>
        <w:jc w:val="both"/>
        <w:rPr>
          <w:rFonts w:eastAsiaTheme="minorEastAsia" w:cs="Arial"/>
          <w:snapToGrid/>
          <w:color w:val="000000"/>
          <w:szCs w:val="24"/>
          <w:lang w:val="es-ES"/>
        </w:rPr>
      </w:pPr>
      <w:r w:rsidRPr="00561F0C">
        <w:rPr>
          <w:szCs w:val="18"/>
        </w:rPr>
        <w:t xml:space="preserve">La tasa de no respuesta en la captación de las encuestas económicas que se consideraron para la integración de los Indicadores Trimestrales de la Actividad Turística (ITAT) en el segundo trimestre de 2022 registró porcentajes apropiados de acuerdo con el diseño estadístico de las muestras. </w:t>
      </w:r>
      <w:r>
        <w:rPr>
          <w:szCs w:val="18"/>
        </w:rPr>
        <w:t>L</w:t>
      </w:r>
      <w:r w:rsidRPr="00561F0C">
        <w:rPr>
          <w:szCs w:val="18"/>
        </w:rPr>
        <w:t>a captación de los registros administrativos y los datos primarios que divulga el Instituto permitió la generación de estadísticas con niveles altos de cobertura y precisión.</w:t>
      </w:r>
    </w:p>
    <w:p w14:paraId="11E5E55E" w14:textId="77777777" w:rsidR="00EE35D0" w:rsidRDefault="00EE35D0" w:rsidP="00EE35D0">
      <w:pPr>
        <w:pStyle w:val="p0"/>
        <w:ind w:right="49"/>
      </w:pPr>
    </w:p>
    <w:p w14:paraId="3B9CF1DC" w14:textId="77777777" w:rsidR="00EE35D0" w:rsidRDefault="00EE35D0" w:rsidP="00EE35D0">
      <w:pPr>
        <w:pStyle w:val="p0"/>
      </w:pPr>
    </w:p>
    <w:p w14:paraId="0EF74CEE" w14:textId="77777777" w:rsidR="00EE35D0" w:rsidRDefault="00EE35D0" w:rsidP="00EE35D0">
      <w:pPr>
        <w:pStyle w:val="p0"/>
      </w:pPr>
    </w:p>
    <w:p w14:paraId="404F0F4B" w14:textId="77777777" w:rsidR="00EE35D0" w:rsidRDefault="00EE35D0" w:rsidP="00EE35D0">
      <w:pPr>
        <w:pStyle w:val="p0"/>
      </w:pPr>
    </w:p>
    <w:p w14:paraId="340A7901" w14:textId="77777777" w:rsidR="00EE35D0" w:rsidRDefault="00EE35D0" w:rsidP="00EE35D0">
      <w:pPr>
        <w:pStyle w:val="p0"/>
      </w:pPr>
    </w:p>
    <w:p w14:paraId="10D0DD27" w14:textId="77777777" w:rsidR="00EE35D0" w:rsidRDefault="00EE35D0" w:rsidP="00EE35D0">
      <w:pPr>
        <w:pStyle w:val="p0"/>
      </w:pPr>
    </w:p>
    <w:p w14:paraId="37C0E714" w14:textId="77777777" w:rsidR="00EE35D0" w:rsidRPr="00962CBD" w:rsidRDefault="00EE35D0" w:rsidP="00EE35D0">
      <w:pPr>
        <w:pStyle w:val="p0"/>
      </w:pPr>
    </w:p>
    <w:p w14:paraId="7E6DAFCC" w14:textId="77777777" w:rsidR="00EE35D0" w:rsidRPr="00B517AB" w:rsidRDefault="00EE35D0" w:rsidP="00EE35D0">
      <w:pPr>
        <w:spacing w:before="240"/>
        <w:jc w:val="center"/>
        <w:rPr>
          <w:sz w:val="22"/>
          <w:szCs w:val="22"/>
        </w:rPr>
      </w:pPr>
      <w:r w:rsidRPr="00B517AB">
        <w:rPr>
          <w:sz w:val="22"/>
          <w:szCs w:val="22"/>
        </w:rPr>
        <w:t xml:space="preserve">Para consultas de medios y periodistas, escribir a: </w:t>
      </w:r>
      <w:hyperlink r:id="rId8" w:history="1">
        <w:r w:rsidRPr="00B517AB">
          <w:rPr>
            <w:rStyle w:val="Hipervnculo"/>
            <w:sz w:val="22"/>
            <w:szCs w:val="22"/>
          </w:rPr>
          <w:t>comunicacionsocial@inegi.org.mx</w:t>
        </w:r>
      </w:hyperlink>
    </w:p>
    <w:p w14:paraId="50FE1487" w14:textId="77777777" w:rsidR="00EE35D0" w:rsidRPr="00B517AB" w:rsidRDefault="00EE35D0" w:rsidP="00EE35D0">
      <w:pPr>
        <w:pStyle w:val="NormalWeb"/>
        <w:spacing w:before="0" w:beforeAutospacing="0" w:after="0" w:afterAutospacing="0"/>
        <w:ind w:left="-426" w:right="-518"/>
        <w:contextualSpacing/>
        <w:jc w:val="center"/>
        <w:rPr>
          <w:sz w:val="22"/>
          <w:szCs w:val="22"/>
        </w:rPr>
      </w:pPr>
      <w:r w:rsidRPr="00B517AB">
        <w:rPr>
          <w:sz w:val="22"/>
          <w:szCs w:val="22"/>
        </w:rPr>
        <w:t xml:space="preserve">o llamar al teléfono (55) 52-78-10-00, </w:t>
      </w:r>
      <w:proofErr w:type="spellStart"/>
      <w:r w:rsidRPr="00B517AB">
        <w:rPr>
          <w:sz w:val="22"/>
          <w:szCs w:val="22"/>
        </w:rPr>
        <w:t>exts</w:t>
      </w:r>
      <w:proofErr w:type="spellEnd"/>
      <w:r w:rsidRPr="00B517AB">
        <w:rPr>
          <w:sz w:val="22"/>
          <w:szCs w:val="22"/>
        </w:rPr>
        <w:t>. 1134, 1260 y 1241.</w:t>
      </w:r>
    </w:p>
    <w:p w14:paraId="3E665CC7" w14:textId="77777777" w:rsidR="00EE35D0" w:rsidRPr="00B517AB" w:rsidRDefault="00EE35D0" w:rsidP="00EE35D0">
      <w:pPr>
        <w:pStyle w:val="NormalWeb"/>
        <w:spacing w:before="0" w:beforeAutospacing="0" w:after="0" w:afterAutospacing="0"/>
        <w:ind w:left="-426" w:right="-518"/>
        <w:contextualSpacing/>
        <w:jc w:val="center"/>
        <w:rPr>
          <w:sz w:val="22"/>
          <w:szCs w:val="22"/>
        </w:rPr>
      </w:pPr>
    </w:p>
    <w:p w14:paraId="7802210C" w14:textId="77777777" w:rsidR="00EE35D0" w:rsidRPr="00B517AB" w:rsidRDefault="00EE35D0" w:rsidP="00EE35D0">
      <w:pPr>
        <w:pStyle w:val="NormalWeb"/>
        <w:spacing w:before="720" w:beforeAutospacing="0" w:after="0" w:afterAutospacing="0"/>
        <w:ind w:left="-426" w:right="-518"/>
        <w:contextualSpacing/>
        <w:jc w:val="center"/>
        <w:rPr>
          <w:sz w:val="22"/>
          <w:szCs w:val="22"/>
        </w:rPr>
      </w:pPr>
      <w:r w:rsidRPr="00B517AB">
        <w:rPr>
          <w:sz w:val="22"/>
          <w:szCs w:val="22"/>
        </w:rPr>
        <w:t>Dirección de Atención a Medios / Dirección General Adjunta de Comunicación</w:t>
      </w:r>
    </w:p>
    <w:p w14:paraId="04BAB2A3" w14:textId="77777777" w:rsidR="00EE35D0" w:rsidRPr="009734B4" w:rsidRDefault="00EE35D0" w:rsidP="00EE35D0">
      <w:pPr>
        <w:pStyle w:val="NormalWeb"/>
        <w:spacing w:before="720" w:beforeAutospacing="0" w:after="0" w:afterAutospacing="0"/>
        <w:ind w:left="-426" w:right="-518"/>
        <w:contextualSpacing/>
        <w:jc w:val="center"/>
        <w:rPr>
          <w:sz w:val="22"/>
          <w:szCs w:val="22"/>
        </w:rPr>
      </w:pPr>
    </w:p>
    <w:p w14:paraId="0963D2A3" w14:textId="77777777" w:rsidR="00EE35D0" w:rsidRDefault="00EE35D0" w:rsidP="00EE35D0">
      <w:pPr>
        <w:spacing w:before="120"/>
        <w:ind w:left="-425" w:right="-516"/>
        <w:contextualSpacing/>
        <w:jc w:val="center"/>
        <w:rPr>
          <w:noProof/>
          <w:lang w:eastAsia="es-MX"/>
        </w:rPr>
        <w:sectPr w:rsidR="00EE35D0" w:rsidSect="007D6C17">
          <w:headerReference w:type="default" r:id="rId9"/>
          <w:footerReference w:type="default" r:id="rId10"/>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30AA06C7" wp14:editId="05D2BC77">
            <wp:extent cx="274320" cy="365760"/>
            <wp:effectExtent l="0" t="0" r="0" b="0"/>
            <wp:docPr id="25" name="Imagen 2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94CF3E" wp14:editId="67DF1EDD">
            <wp:extent cx="365760" cy="365760"/>
            <wp:effectExtent l="0" t="0" r="0" b="0"/>
            <wp:docPr id="27" name="Imagen 27"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AFFDF8" wp14:editId="7BAEF7CB">
            <wp:extent cx="365760" cy="365760"/>
            <wp:effectExtent l="0" t="0" r="0" b="0"/>
            <wp:docPr id="28" name="Imagen 28"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2652BBF" wp14:editId="7E4C01BE">
            <wp:extent cx="365760" cy="365760"/>
            <wp:effectExtent l="0" t="0" r="0" b="0"/>
            <wp:docPr id="29" name="Imagen 29"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4EBE18B" wp14:editId="2838644B">
            <wp:extent cx="2286000" cy="274320"/>
            <wp:effectExtent l="0" t="0" r="0" b="0"/>
            <wp:docPr id="30" name="Imagen 3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5946C43" w14:textId="77777777" w:rsidR="00EE35D0" w:rsidRPr="00EE35D0" w:rsidRDefault="00EE35D0" w:rsidP="00EE35D0">
      <w:pPr>
        <w:pStyle w:val="Profesin"/>
        <w:outlineLvl w:val="0"/>
        <w:rPr>
          <w:sz w:val="24"/>
          <w:szCs w:val="24"/>
          <w:lang w:val="es-MX"/>
        </w:rPr>
      </w:pPr>
      <w:r w:rsidRPr="00EE35D0">
        <w:rPr>
          <w:sz w:val="24"/>
          <w:szCs w:val="24"/>
          <w:lang w:val="es-MX"/>
        </w:rPr>
        <w:lastRenderedPageBreak/>
        <w:t>ANEXO</w:t>
      </w:r>
    </w:p>
    <w:p w14:paraId="3A0A3742" w14:textId="77777777" w:rsidR="00EE35D0" w:rsidRPr="00EE35D0" w:rsidRDefault="00EE35D0" w:rsidP="00EE35D0">
      <w:pPr>
        <w:pStyle w:val="Profesin"/>
        <w:spacing w:before="360"/>
        <w:outlineLvl w:val="0"/>
        <w:rPr>
          <w:sz w:val="24"/>
          <w:szCs w:val="24"/>
          <w:lang w:val="es-MX"/>
        </w:rPr>
      </w:pPr>
      <w:r w:rsidRPr="00EE35D0">
        <w:rPr>
          <w:sz w:val="24"/>
          <w:szCs w:val="24"/>
          <w:lang w:val="es-MX"/>
        </w:rPr>
        <w:t>Nota técnica</w:t>
      </w:r>
    </w:p>
    <w:p w14:paraId="34F6AE8D" w14:textId="77777777" w:rsidR="00EE35D0" w:rsidRDefault="00EE35D0" w:rsidP="00EE35D0">
      <w:pPr>
        <w:widowControl/>
        <w:rPr>
          <w:rFonts w:cs="Arial"/>
          <w:b/>
          <w:iCs/>
          <w:smallCaps/>
          <w:snapToGrid/>
          <w:szCs w:val="24"/>
          <w:lang w:val="es-MX" w:eastAsia="es-MX"/>
        </w:rPr>
      </w:pPr>
    </w:p>
    <w:p w14:paraId="76932D50" w14:textId="77777777" w:rsidR="00EE35D0" w:rsidRDefault="00EE35D0" w:rsidP="00EE35D0">
      <w:pPr>
        <w:widowControl/>
        <w:rPr>
          <w:rFonts w:cs="Arial"/>
          <w:b/>
          <w:iCs/>
          <w:smallCaps/>
          <w:snapToGrid/>
          <w:szCs w:val="24"/>
          <w:lang w:val="es-MX" w:eastAsia="es-MX"/>
        </w:rPr>
      </w:pPr>
    </w:p>
    <w:p w14:paraId="130C7A58" w14:textId="29D0C1EE" w:rsidR="00905C6D" w:rsidRPr="00024272" w:rsidRDefault="000B5486" w:rsidP="00894F3D">
      <w:pPr>
        <w:pStyle w:val="Textoindependiente"/>
        <w:tabs>
          <w:tab w:val="center" w:pos="3348"/>
        </w:tabs>
        <w:spacing w:before="300"/>
        <w:rPr>
          <w:rFonts w:cs="Arial"/>
          <w:b/>
          <w:bCs/>
          <w:smallCaps/>
          <w:snapToGrid/>
          <w:color w:val="auto"/>
          <w:szCs w:val="24"/>
          <w:lang w:val="es-MX" w:eastAsia="es-MX"/>
        </w:rPr>
      </w:pPr>
      <w:bookmarkStart w:id="3" w:name="_Hlk117757830"/>
      <w:r w:rsidRPr="00024272">
        <w:rPr>
          <w:rFonts w:cs="Arial"/>
          <w:b/>
          <w:bCs/>
          <w:smallCaps/>
          <w:snapToGrid/>
          <w:color w:val="auto"/>
          <w:szCs w:val="24"/>
          <w:lang w:val="es-MX" w:eastAsia="es-MX"/>
        </w:rPr>
        <w:t>Cifras desestacionalizadas</w:t>
      </w:r>
    </w:p>
    <w:p w14:paraId="41B7A019" w14:textId="65A8E394" w:rsidR="00B25993" w:rsidRPr="00024272" w:rsidRDefault="00BA49C8" w:rsidP="000B5486">
      <w:pPr>
        <w:pStyle w:val="Textoindependiente"/>
        <w:tabs>
          <w:tab w:val="center" w:pos="3348"/>
        </w:tabs>
        <w:spacing w:before="240"/>
        <w:ind w:left="284"/>
        <w:rPr>
          <w:rFonts w:cs="Arial"/>
          <w:b/>
          <w:iCs/>
          <w:snapToGrid/>
          <w:color w:val="auto"/>
          <w:szCs w:val="24"/>
          <w:lang w:val="es-MX" w:eastAsia="es-MX"/>
        </w:rPr>
      </w:pPr>
      <w:r w:rsidRPr="00024272">
        <w:rPr>
          <w:rFonts w:cs="Arial"/>
          <w:b/>
          <w:iCs/>
          <w:snapToGrid/>
          <w:color w:val="auto"/>
          <w:szCs w:val="24"/>
          <w:lang w:val="es-MX" w:eastAsia="es-MX"/>
        </w:rPr>
        <w:t xml:space="preserve">Indicador </w:t>
      </w:r>
      <w:r w:rsidR="000F6F45" w:rsidRPr="00024272">
        <w:rPr>
          <w:rFonts w:cs="Arial"/>
          <w:b/>
          <w:iCs/>
          <w:snapToGrid/>
          <w:color w:val="auto"/>
          <w:szCs w:val="24"/>
          <w:lang w:val="es-MX" w:eastAsia="es-MX"/>
        </w:rPr>
        <w:t xml:space="preserve">Trimestral </w:t>
      </w:r>
      <w:r w:rsidR="000F6F45">
        <w:rPr>
          <w:rFonts w:cs="Arial"/>
          <w:b/>
          <w:iCs/>
          <w:snapToGrid/>
          <w:color w:val="auto"/>
          <w:szCs w:val="24"/>
          <w:lang w:val="es-MX" w:eastAsia="es-MX"/>
        </w:rPr>
        <w:t>d</w:t>
      </w:r>
      <w:r w:rsidR="000F6F45" w:rsidRPr="00024272">
        <w:rPr>
          <w:rFonts w:cs="Arial"/>
          <w:b/>
          <w:iCs/>
          <w:snapToGrid/>
          <w:color w:val="auto"/>
          <w:szCs w:val="24"/>
          <w:lang w:val="es-MX" w:eastAsia="es-MX"/>
        </w:rPr>
        <w:t xml:space="preserve">el Producto Interno Bruto Turístico </w:t>
      </w:r>
      <w:r w:rsidR="00B4687E" w:rsidRPr="00024272">
        <w:rPr>
          <w:rFonts w:cs="Arial"/>
          <w:b/>
          <w:iCs/>
          <w:snapToGrid/>
          <w:color w:val="auto"/>
          <w:szCs w:val="24"/>
          <w:lang w:val="es-MX" w:eastAsia="es-MX"/>
        </w:rPr>
        <w:t>(ITPIBT)</w:t>
      </w:r>
    </w:p>
    <w:p w14:paraId="3C85C702" w14:textId="743095B7" w:rsidR="006F48F0" w:rsidRDefault="001468E4" w:rsidP="00E1763C">
      <w:pPr>
        <w:pStyle w:val="Default"/>
        <w:spacing w:before="240"/>
        <w:jc w:val="both"/>
        <w:rPr>
          <w:color w:val="auto"/>
        </w:rPr>
      </w:pPr>
      <w:r>
        <w:rPr>
          <w:color w:val="auto"/>
        </w:rPr>
        <w:t>E</w:t>
      </w:r>
      <w:r w:rsidRPr="003F5A16">
        <w:rPr>
          <w:color w:val="auto"/>
        </w:rPr>
        <w:t xml:space="preserve">n el </w:t>
      </w:r>
      <w:r w:rsidR="00761826">
        <w:rPr>
          <w:color w:val="auto"/>
        </w:rPr>
        <w:t>segundo</w:t>
      </w:r>
      <w:r w:rsidRPr="003F5A16">
        <w:rPr>
          <w:color w:val="auto"/>
        </w:rPr>
        <w:t xml:space="preserve"> trimestre de 202</w:t>
      </w:r>
      <w:r w:rsidR="003943E8">
        <w:rPr>
          <w:color w:val="auto"/>
        </w:rPr>
        <w:t>2</w:t>
      </w:r>
      <w:r w:rsidRPr="003F5A16">
        <w:rPr>
          <w:color w:val="auto"/>
        </w:rPr>
        <w:t xml:space="preserve"> </w:t>
      </w:r>
      <w:r>
        <w:rPr>
          <w:color w:val="auto"/>
        </w:rPr>
        <w:t>y a tasa trimestral,</w:t>
      </w:r>
      <w:r w:rsidRPr="003F5A16">
        <w:rPr>
          <w:color w:val="auto"/>
        </w:rPr>
        <w:t xml:space="preserve"> </w:t>
      </w:r>
      <w:r>
        <w:rPr>
          <w:color w:val="auto"/>
        </w:rPr>
        <w:t>e</w:t>
      </w:r>
      <w:r w:rsidR="00DC6CFE" w:rsidRPr="003F5A16">
        <w:rPr>
          <w:color w:val="auto"/>
        </w:rPr>
        <w:t>l</w:t>
      </w:r>
      <w:r w:rsidR="00280516" w:rsidRPr="003F5A16">
        <w:rPr>
          <w:color w:val="auto"/>
        </w:rPr>
        <w:t xml:space="preserve"> ITPIBT</w:t>
      </w:r>
      <w:r w:rsidR="00847CE2" w:rsidRPr="003F5A16">
        <w:rPr>
          <w:color w:val="auto"/>
        </w:rPr>
        <w:t xml:space="preserve"> </w:t>
      </w:r>
      <w:r w:rsidR="000F6F45">
        <w:rPr>
          <w:color w:val="auto"/>
        </w:rPr>
        <w:t xml:space="preserve">aumentó 5 % en términos reales. </w:t>
      </w:r>
      <w:r w:rsidR="006F48F0" w:rsidRPr="003F5A16">
        <w:rPr>
          <w:color w:val="auto"/>
          <w:szCs w:val="22"/>
        </w:rPr>
        <w:t>A su interior</w:t>
      </w:r>
      <w:r w:rsidR="002F10D1" w:rsidRPr="003F5A16">
        <w:rPr>
          <w:color w:val="auto"/>
          <w:szCs w:val="22"/>
        </w:rPr>
        <w:t>,</w:t>
      </w:r>
      <w:r w:rsidR="00D7231E">
        <w:rPr>
          <w:color w:val="auto"/>
          <w:szCs w:val="22"/>
        </w:rPr>
        <w:t xml:space="preserve"> el </w:t>
      </w:r>
      <w:r>
        <w:rPr>
          <w:color w:val="auto"/>
          <w:szCs w:val="22"/>
        </w:rPr>
        <w:t xml:space="preserve">PIB turístico </w:t>
      </w:r>
      <w:r w:rsidR="00D7231E">
        <w:rPr>
          <w:color w:val="auto"/>
          <w:szCs w:val="22"/>
        </w:rPr>
        <w:t>de</w:t>
      </w:r>
      <w:r w:rsidR="00F527F2" w:rsidRPr="003F5A16">
        <w:rPr>
          <w:color w:val="auto"/>
          <w:szCs w:val="22"/>
        </w:rPr>
        <w:t xml:space="preserve"> </w:t>
      </w:r>
      <w:r w:rsidR="00130B75">
        <w:rPr>
          <w:color w:val="auto"/>
        </w:rPr>
        <w:t xml:space="preserve">los </w:t>
      </w:r>
      <w:r>
        <w:rPr>
          <w:color w:val="auto"/>
        </w:rPr>
        <w:t>s</w:t>
      </w:r>
      <w:r w:rsidR="00270136" w:rsidRPr="003F5A16">
        <w:rPr>
          <w:color w:val="auto"/>
        </w:rPr>
        <w:t>ervicios</w:t>
      </w:r>
      <w:r w:rsidR="00270136" w:rsidRPr="00130B75">
        <w:rPr>
          <w:color w:val="auto"/>
        </w:rPr>
        <w:t xml:space="preserve"> </w:t>
      </w:r>
      <w:r w:rsidR="00F33388">
        <w:rPr>
          <w:color w:val="auto"/>
        </w:rPr>
        <w:t>a</w:t>
      </w:r>
      <w:r w:rsidR="00130B75">
        <w:rPr>
          <w:color w:val="auto"/>
        </w:rPr>
        <w:t>scendi</w:t>
      </w:r>
      <w:r w:rsidR="00D7231E">
        <w:rPr>
          <w:color w:val="auto"/>
        </w:rPr>
        <w:t>ó</w:t>
      </w:r>
      <w:r w:rsidR="006D7D71" w:rsidRPr="003F5A16">
        <w:rPr>
          <w:color w:val="auto"/>
        </w:rPr>
        <w:t xml:space="preserve"> </w:t>
      </w:r>
      <w:r w:rsidR="00503268">
        <w:rPr>
          <w:color w:val="auto"/>
        </w:rPr>
        <w:t>5</w:t>
      </w:r>
      <w:r w:rsidR="004A51EB">
        <w:rPr>
          <w:color w:val="auto"/>
        </w:rPr>
        <w:t>.6</w:t>
      </w:r>
      <w:r w:rsidR="003943E8">
        <w:rPr>
          <w:color w:val="auto"/>
        </w:rPr>
        <w:t xml:space="preserve"> </w:t>
      </w:r>
      <w:r w:rsidR="006D7D71" w:rsidRPr="003F5A16">
        <w:rPr>
          <w:color w:val="auto"/>
        </w:rPr>
        <w:t>%</w:t>
      </w:r>
      <w:r w:rsidR="00F93AD3">
        <w:rPr>
          <w:color w:val="auto"/>
        </w:rPr>
        <w:t xml:space="preserve"> y</w:t>
      </w:r>
      <w:r w:rsidR="006D7D71">
        <w:rPr>
          <w:color w:val="auto"/>
        </w:rPr>
        <w:t xml:space="preserve"> </w:t>
      </w:r>
      <w:r w:rsidR="00D87EA6" w:rsidRPr="003F5A16">
        <w:rPr>
          <w:color w:val="auto"/>
        </w:rPr>
        <w:t>el</w:t>
      </w:r>
      <w:r w:rsidR="004A5C0E">
        <w:rPr>
          <w:color w:val="auto"/>
        </w:rPr>
        <w:t xml:space="preserve"> de</w:t>
      </w:r>
      <w:r w:rsidR="00D87EA6" w:rsidRPr="003F5A16">
        <w:rPr>
          <w:color w:val="auto"/>
        </w:rPr>
        <w:t xml:space="preserve"> </w:t>
      </w:r>
      <w:r w:rsidR="00130B75" w:rsidRPr="003F5A16">
        <w:rPr>
          <w:color w:val="auto"/>
        </w:rPr>
        <w:t xml:space="preserve">los </w:t>
      </w:r>
      <w:r>
        <w:rPr>
          <w:color w:val="auto"/>
        </w:rPr>
        <w:t>b</w:t>
      </w:r>
      <w:r w:rsidR="00270136" w:rsidRPr="003F5A16">
        <w:rPr>
          <w:color w:val="auto"/>
        </w:rPr>
        <w:t>ie</w:t>
      </w:r>
      <w:r w:rsidR="00270136">
        <w:rPr>
          <w:color w:val="auto"/>
        </w:rPr>
        <w:t>n</w:t>
      </w:r>
      <w:r w:rsidR="00270136" w:rsidRPr="003F5A16">
        <w:rPr>
          <w:color w:val="auto"/>
        </w:rPr>
        <w:t>es</w:t>
      </w:r>
      <w:r w:rsidR="00024272">
        <w:rPr>
          <w:color w:val="auto"/>
        </w:rPr>
        <w:t xml:space="preserve">, </w:t>
      </w:r>
      <w:r w:rsidR="004A51EB">
        <w:rPr>
          <w:color w:val="auto"/>
        </w:rPr>
        <w:t>0</w:t>
      </w:r>
      <w:r w:rsidR="002852B0">
        <w:rPr>
          <w:color w:val="auto"/>
        </w:rPr>
        <w:t>.7</w:t>
      </w:r>
      <w:r w:rsidR="003943E8">
        <w:rPr>
          <w:color w:val="auto"/>
        </w:rPr>
        <w:t xml:space="preserve"> por ciento</w:t>
      </w:r>
      <w:r w:rsidR="006F48F0" w:rsidRPr="003F5A16">
        <w:rPr>
          <w:color w:val="auto"/>
          <w:szCs w:val="22"/>
        </w:rPr>
        <w:t>.</w:t>
      </w:r>
      <w:r w:rsidR="006F48F0" w:rsidRPr="00274992">
        <w:rPr>
          <w:color w:val="auto"/>
          <w:szCs w:val="22"/>
        </w:rPr>
        <w:t xml:space="preserve"> </w:t>
      </w:r>
    </w:p>
    <w:bookmarkEnd w:id="3"/>
    <w:p w14:paraId="2422BD9E" w14:textId="77777777" w:rsidR="00280516" w:rsidRPr="003D2E2E" w:rsidRDefault="00280516" w:rsidP="00AB22B2">
      <w:pPr>
        <w:spacing w:before="480"/>
        <w:contextualSpacing/>
        <w:jc w:val="center"/>
        <w:rPr>
          <w:rFonts w:cs="Arial"/>
          <w:sz w:val="18"/>
          <w:szCs w:val="18"/>
        </w:rPr>
      </w:pPr>
      <w:r w:rsidRPr="00894A51">
        <w:rPr>
          <w:rFonts w:cs="Arial"/>
          <w:sz w:val="20"/>
        </w:rPr>
        <w:t xml:space="preserve">Gráfica </w:t>
      </w:r>
      <w:r w:rsidR="00B4562D" w:rsidRPr="00894A51">
        <w:rPr>
          <w:rFonts w:cs="Arial"/>
          <w:sz w:val="20"/>
        </w:rPr>
        <w:t>1</w:t>
      </w:r>
    </w:p>
    <w:p w14:paraId="63D11E67" w14:textId="5AC33E89" w:rsidR="00280516" w:rsidRPr="005B4B9E" w:rsidRDefault="00BA49C8" w:rsidP="005822F2">
      <w:pPr>
        <w:contextualSpacing/>
        <w:jc w:val="center"/>
        <w:rPr>
          <w:rFonts w:cs="Arial"/>
          <w:b/>
          <w:smallCaps/>
          <w:sz w:val="22"/>
          <w:szCs w:val="22"/>
        </w:rPr>
      </w:pPr>
      <w:r w:rsidRPr="005B4B9E">
        <w:rPr>
          <w:rFonts w:cs="Arial"/>
          <w:b/>
          <w:iCs/>
          <w:smallCaps/>
          <w:snapToGrid/>
          <w:sz w:val="22"/>
          <w:szCs w:val="22"/>
          <w:lang w:val="es-MX" w:eastAsia="es-MX"/>
        </w:rPr>
        <w:t xml:space="preserve">Indicador trimestral del </w:t>
      </w:r>
      <w:r w:rsidR="00AE3BA2">
        <w:rPr>
          <w:rFonts w:cs="Arial"/>
          <w:b/>
          <w:iCs/>
          <w:smallCaps/>
          <w:snapToGrid/>
          <w:sz w:val="22"/>
          <w:szCs w:val="22"/>
          <w:lang w:val="es-MX" w:eastAsia="es-MX"/>
        </w:rPr>
        <w:t>producto interno bruto</w:t>
      </w:r>
      <w:r w:rsidRPr="005B4B9E">
        <w:rPr>
          <w:rFonts w:cs="Arial"/>
          <w:b/>
          <w:iCs/>
          <w:smallCaps/>
          <w:snapToGrid/>
          <w:sz w:val="22"/>
          <w:szCs w:val="22"/>
          <w:lang w:val="es-MX" w:eastAsia="es-MX"/>
        </w:rPr>
        <w:t xml:space="preserve"> turístico</w:t>
      </w:r>
    </w:p>
    <w:p w14:paraId="4EBD03CA" w14:textId="20A5A368" w:rsidR="00280516" w:rsidRPr="003D2E2E" w:rsidRDefault="00280516" w:rsidP="005822F2">
      <w:pPr>
        <w:contextualSpacing/>
        <w:jc w:val="center"/>
        <w:rPr>
          <w:rFonts w:cs="Arial"/>
          <w:sz w:val="18"/>
          <w:szCs w:val="18"/>
        </w:rPr>
      </w:pPr>
      <w:r w:rsidRPr="003D2E2E">
        <w:rPr>
          <w:rFonts w:cs="Arial"/>
          <w:sz w:val="18"/>
          <w:szCs w:val="18"/>
        </w:rPr>
        <w:t xml:space="preserve">(Índice </w:t>
      </w:r>
      <w:r w:rsidR="008F692E">
        <w:rPr>
          <w:rFonts w:cs="Arial"/>
          <w:sz w:val="18"/>
          <w:szCs w:val="18"/>
        </w:rPr>
        <w:t xml:space="preserve">base </w:t>
      </w:r>
      <w:r w:rsidR="00B604CA">
        <w:rPr>
          <w:rFonts w:cs="Arial"/>
          <w:sz w:val="18"/>
          <w:szCs w:val="18"/>
        </w:rPr>
        <w:t>20</w:t>
      </w:r>
      <w:r w:rsidR="002A618E">
        <w:rPr>
          <w:rFonts w:cs="Arial"/>
          <w:sz w:val="18"/>
          <w:szCs w:val="18"/>
        </w:rPr>
        <w:t>13</w:t>
      </w:r>
      <w:r w:rsidRPr="003D2E2E">
        <w:rPr>
          <w:rFonts w:cs="Arial"/>
          <w:sz w:val="18"/>
          <w:szCs w:val="18"/>
        </w:rPr>
        <w:t>=100)</w:t>
      </w:r>
      <w:r w:rsidR="00FF3110" w:rsidRPr="00FF3110">
        <w:rPr>
          <w:noProof/>
          <w:snapToGrid/>
        </w:rPr>
        <w:t xml:space="preserve"> </w:t>
      </w:r>
    </w:p>
    <w:p w14:paraId="44474488" w14:textId="647B14C5" w:rsidR="00BA6B74" w:rsidRPr="00004A7D" w:rsidRDefault="00CF023D" w:rsidP="005822F2">
      <w:pPr>
        <w:contextualSpacing/>
        <w:jc w:val="center"/>
        <w:rPr>
          <w:rFonts w:cs="Arial"/>
          <w:szCs w:val="24"/>
        </w:rPr>
      </w:pPr>
      <w:r>
        <w:rPr>
          <w:noProof/>
          <w:snapToGrid/>
        </w:rPr>
        <w:drawing>
          <wp:inline distT="0" distB="0" distL="0" distR="0" wp14:anchorId="60D8C86B" wp14:editId="1A53D544">
            <wp:extent cx="4320000" cy="2520000"/>
            <wp:effectExtent l="0" t="0" r="23495" b="33020"/>
            <wp:docPr id="1" name="Gráfico 1">
              <a:extLst xmlns:a="http://schemas.openxmlformats.org/drawingml/2006/main">
                <a:ext uri="{FF2B5EF4-FFF2-40B4-BE49-F238E27FC236}">
                  <a16:creationId xmlns:a16="http://schemas.microsoft.com/office/drawing/2014/main" id="{556511DA-379E-DBBC-4F54-F2A526378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1D01AD" w14:textId="5BDF2921" w:rsidR="000E2C66" w:rsidRPr="003D2E2E" w:rsidRDefault="000E2C66" w:rsidP="005822F2">
      <w:pPr>
        <w:pStyle w:val="Textoindependiente"/>
        <w:tabs>
          <w:tab w:val="center" w:pos="3348"/>
        </w:tabs>
        <w:ind w:left="1560"/>
        <w:jc w:val="both"/>
        <w:rPr>
          <w:rFonts w:cs="Arial"/>
          <w:sz w:val="16"/>
          <w:szCs w:val="16"/>
        </w:rPr>
      </w:pPr>
      <w:r w:rsidRPr="003D2E2E">
        <w:rPr>
          <w:rFonts w:cs="Arial"/>
          <w:sz w:val="16"/>
          <w:szCs w:val="16"/>
        </w:rPr>
        <w:t>Fuente: INEGI</w:t>
      </w:r>
    </w:p>
    <w:p w14:paraId="616B6D69" w14:textId="77777777" w:rsidR="00EE35D0" w:rsidRDefault="00EE35D0" w:rsidP="005822F2">
      <w:pPr>
        <w:spacing w:before="240"/>
        <w:jc w:val="center"/>
        <w:rPr>
          <w:rFonts w:cs="Arial"/>
          <w:sz w:val="20"/>
        </w:rPr>
      </w:pPr>
    </w:p>
    <w:p w14:paraId="54E5AFCD" w14:textId="77777777" w:rsidR="00EE35D0" w:rsidRDefault="00EE35D0" w:rsidP="005822F2">
      <w:pPr>
        <w:spacing w:before="240"/>
        <w:jc w:val="center"/>
        <w:rPr>
          <w:rFonts w:cs="Arial"/>
          <w:sz w:val="20"/>
        </w:rPr>
      </w:pPr>
    </w:p>
    <w:p w14:paraId="3E643140" w14:textId="77777777" w:rsidR="00EE35D0" w:rsidRDefault="00EE35D0" w:rsidP="005822F2">
      <w:pPr>
        <w:spacing w:before="240"/>
        <w:jc w:val="center"/>
        <w:rPr>
          <w:rFonts w:cs="Arial"/>
          <w:sz w:val="20"/>
        </w:rPr>
      </w:pPr>
    </w:p>
    <w:p w14:paraId="4A958CDF" w14:textId="77777777" w:rsidR="00EE35D0" w:rsidRDefault="00EE35D0" w:rsidP="005822F2">
      <w:pPr>
        <w:spacing w:before="240"/>
        <w:jc w:val="center"/>
        <w:rPr>
          <w:rFonts w:cs="Arial"/>
          <w:sz w:val="20"/>
        </w:rPr>
      </w:pPr>
    </w:p>
    <w:p w14:paraId="46E08597" w14:textId="77777777" w:rsidR="00EE35D0" w:rsidRDefault="00EE35D0" w:rsidP="005822F2">
      <w:pPr>
        <w:spacing w:before="240"/>
        <w:jc w:val="center"/>
        <w:rPr>
          <w:rFonts w:cs="Arial"/>
          <w:sz w:val="20"/>
        </w:rPr>
      </w:pPr>
    </w:p>
    <w:p w14:paraId="5CA0945B" w14:textId="77777777" w:rsidR="00EE35D0" w:rsidRDefault="00EE35D0" w:rsidP="005822F2">
      <w:pPr>
        <w:spacing w:before="240"/>
        <w:jc w:val="center"/>
        <w:rPr>
          <w:rFonts w:cs="Arial"/>
          <w:sz w:val="20"/>
        </w:rPr>
      </w:pPr>
    </w:p>
    <w:p w14:paraId="162F81FD" w14:textId="77777777" w:rsidR="00EE35D0" w:rsidRDefault="00EE35D0" w:rsidP="005822F2">
      <w:pPr>
        <w:spacing w:before="240"/>
        <w:jc w:val="center"/>
        <w:rPr>
          <w:rFonts w:cs="Arial"/>
          <w:sz w:val="20"/>
        </w:rPr>
      </w:pPr>
    </w:p>
    <w:p w14:paraId="6659C02F" w14:textId="17684519" w:rsidR="00506982" w:rsidRPr="00894A51" w:rsidRDefault="00506982" w:rsidP="005822F2">
      <w:pPr>
        <w:spacing w:before="240"/>
        <w:jc w:val="center"/>
        <w:rPr>
          <w:rFonts w:cs="Arial"/>
          <w:sz w:val="20"/>
        </w:rPr>
      </w:pPr>
      <w:r w:rsidRPr="00894A51">
        <w:rPr>
          <w:rFonts w:cs="Arial"/>
          <w:sz w:val="20"/>
        </w:rPr>
        <w:t xml:space="preserve">Gráfica </w:t>
      </w:r>
      <w:r w:rsidR="00146BEE" w:rsidRPr="00894A51">
        <w:rPr>
          <w:rFonts w:cs="Arial"/>
          <w:sz w:val="20"/>
        </w:rPr>
        <w:t>2</w:t>
      </w:r>
    </w:p>
    <w:p w14:paraId="65A494FA" w14:textId="67F0CD58" w:rsidR="005919C0" w:rsidRPr="005B4B9E" w:rsidRDefault="00B331A9" w:rsidP="005822F2">
      <w:pPr>
        <w:contextualSpacing/>
        <w:jc w:val="center"/>
        <w:rPr>
          <w:rFonts w:cs="Arial"/>
          <w:b/>
          <w:smallCaps/>
          <w:sz w:val="22"/>
          <w:szCs w:val="22"/>
        </w:rPr>
      </w:pPr>
      <w:r w:rsidRPr="005B4B9E">
        <w:rPr>
          <w:rFonts w:cs="Arial"/>
          <w:b/>
          <w:iCs/>
          <w:smallCaps/>
          <w:snapToGrid/>
          <w:sz w:val="22"/>
          <w:szCs w:val="22"/>
          <w:lang w:val="es-MX" w:eastAsia="es-MX"/>
        </w:rPr>
        <w:t xml:space="preserve">Indicador trimestral del </w:t>
      </w:r>
      <w:r>
        <w:rPr>
          <w:rFonts w:cs="Arial"/>
          <w:b/>
          <w:iCs/>
          <w:smallCaps/>
          <w:snapToGrid/>
          <w:sz w:val="22"/>
          <w:szCs w:val="22"/>
          <w:lang w:val="es-MX" w:eastAsia="es-MX"/>
        </w:rPr>
        <w:t>producto interno bruto</w:t>
      </w:r>
      <w:r w:rsidRPr="005B4B9E">
        <w:rPr>
          <w:rFonts w:cs="Arial"/>
          <w:b/>
          <w:iCs/>
          <w:smallCaps/>
          <w:snapToGrid/>
          <w:sz w:val="22"/>
          <w:szCs w:val="22"/>
          <w:lang w:val="es-MX" w:eastAsia="es-MX"/>
        </w:rPr>
        <w:t xml:space="preserve"> turístico</w:t>
      </w:r>
      <w:r>
        <w:rPr>
          <w:rFonts w:cs="Arial"/>
          <w:b/>
          <w:smallCaps/>
          <w:sz w:val="22"/>
          <w:szCs w:val="22"/>
        </w:rPr>
        <w:t xml:space="preserve"> de </w:t>
      </w:r>
      <w:r w:rsidR="00BA49C8">
        <w:rPr>
          <w:rFonts w:cs="Arial"/>
          <w:b/>
          <w:smallCaps/>
          <w:sz w:val="22"/>
          <w:szCs w:val="22"/>
        </w:rPr>
        <w:t>servicios</w:t>
      </w:r>
    </w:p>
    <w:p w14:paraId="1F7144AB" w14:textId="77777777" w:rsidR="00506982" w:rsidRPr="003D2E2E" w:rsidRDefault="00506982" w:rsidP="005822F2">
      <w:pPr>
        <w:contextualSpacing/>
        <w:jc w:val="center"/>
        <w:rPr>
          <w:rFonts w:cs="Arial"/>
          <w:sz w:val="18"/>
          <w:szCs w:val="18"/>
        </w:rPr>
      </w:pPr>
      <w:r w:rsidRPr="003D2E2E">
        <w:rPr>
          <w:rFonts w:cs="Arial"/>
          <w:sz w:val="18"/>
          <w:szCs w:val="18"/>
        </w:rPr>
        <w:t xml:space="preserve">(Índice </w:t>
      </w:r>
      <w:r>
        <w:rPr>
          <w:rFonts w:cs="Arial"/>
          <w:sz w:val="18"/>
          <w:szCs w:val="18"/>
        </w:rPr>
        <w:t>base 2013</w:t>
      </w:r>
      <w:r w:rsidRPr="003D2E2E">
        <w:rPr>
          <w:rFonts w:cs="Arial"/>
          <w:sz w:val="18"/>
          <w:szCs w:val="18"/>
        </w:rPr>
        <w:t>=100)</w:t>
      </w:r>
    </w:p>
    <w:p w14:paraId="5764147C" w14:textId="6BDF8737" w:rsidR="00506982" w:rsidRPr="002959AC" w:rsidRDefault="00CF023D" w:rsidP="005822F2">
      <w:pPr>
        <w:contextualSpacing/>
        <w:jc w:val="center"/>
        <w:rPr>
          <w:rFonts w:cs="Arial"/>
          <w:sz w:val="20"/>
          <w14:shadow w14:blurRad="50800" w14:dist="50800" w14:dir="3600000" w14:sx="0" w14:sy="0" w14:kx="0" w14:ky="0" w14:algn="ctr">
            <w14:srgbClr w14:val="000000">
              <w14:alpha w14:val="56870"/>
            </w14:srgbClr>
          </w14:shadow>
        </w:rPr>
      </w:pPr>
      <w:r>
        <w:rPr>
          <w:noProof/>
          <w:snapToGrid/>
        </w:rPr>
        <w:drawing>
          <wp:inline distT="0" distB="0" distL="0" distR="0" wp14:anchorId="795329DC" wp14:editId="1D293EF6">
            <wp:extent cx="4320000" cy="2520000"/>
            <wp:effectExtent l="0" t="0" r="23495" b="33020"/>
            <wp:docPr id="2" name="Gráfico 2">
              <a:extLst xmlns:a="http://schemas.openxmlformats.org/drawingml/2006/main">
                <a:ext uri="{FF2B5EF4-FFF2-40B4-BE49-F238E27FC236}">
                  <a16:creationId xmlns:a16="http://schemas.microsoft.com/office/drawing/2014/main" id="{691B2923-7697-7486-C2A4-595359FBA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72B403" w14:textId="1B39C86F" w:rsidR="00506982" w:rsidRDefault="00506982" w:rsidP="005822F2">
      <w:pPr>
        <w:pStyle w:val="Textoindependiente"/>
        <w:tabs>
          <w:tab w:val="center" w:pos="3348"/>
        </w:tabs>
        <w:ind w:left="1560"/>
        <w:jc w:val="both"/>
        <w:rPr>
          <w:rFonts w:cs="Arial"/>
          <w:sz w:val="18"/>
          <w:szCs w:val="18"/>
        </w:rPr>
      </w:pPr>
      <w:r w:rsidRPr="003D2E2E">
        <w:rPr>
          <w:rFonts w:cs="Arial"/>
          <w:sz w:val="16"/>
          <w:szCs w:val="16"/>
        </w:rPr>
        <w:t>Fuente: INEGI</w:t>
      </w:r>
    </w:p>
    <w:p w14:paraId="6B1A8E3F" w14:textId="148F77E9" w:rsidR="00146BEE" w:rsidRPr="00894A51" w:rsidRDefault="00146BEE" w:rsidP="005822F2">
      <w:pPr>
        <w:spacing w:before="240"/>
        <w:ind w:hanging="45"/>
        <w:contextualSpacing/>
        <w:jc w:val="center"/>
        <w:rPr>
          <w:rFonts w:cs="Arial"/>
          <w:sz w:val="20"/>
        </w:rPr>
      </w:pPr>
      <w:r w:rsidRPr="00894A51">
        <w:rPr>
          <w:rFonts w:cs="Arial"/>
          <w:sz w:val="20"/>
        </w:rPr>
        <w:t>Gráfica 3</w:t>
      </w:r>
    </w:p>
    <w:p w14:paraId="314A97BD" w14:textId="144E6486" w:rsidR="005919C0" w:rsidRPr="005B4B9E" w:rsidRDefault="00B331A9" w:rsidP="005822F2">
      <w:pPr>
        <w:contextualSpacing/>
        <w:jc w:val="center"/>
        <w:rPr>
          <w:rFonts w:cs="Arial"/>
          <w:b/>
          <w:smallCaps/>
          <w:sz w:val="22"/>
          <w:szCs w:val="22"/>
        </w:rPr>
      </w:pPr>
      <w:r w:rsidRPr="005B4B9E">
        <w:rPr>
          <w:rFonts w:cs="Arial"/>
          <w:b/>
          <w:iCs/>
          <w:smallCaps/>
          <w:snapToGrid/>
          <w:sz w:val="22"/>
          <w:szCs w:val="22"/>
          <w:lang w:val="es-MX" w:eastAsia="es-MX"/>
        </w:rPr>
        <w:t xml:space="preserve">Indicador trimestral del </w:t>
      </w:r>
      <w:r>
        <w:rPr>
          <w:rFonts w:cs="Arial"/>
          <w:b/>
          <w:iCs/>
          <w:smallCaps/>
          <w:snapToGrid/>
          <w:sz w:val="22"/>
          <w:szCs w:val="22"/>
          <w:lang w:val="es-MX" w:eastAsia="es-MX"/>
        </w:rPr>
        <w:t>producto interno bruto</w:t>
      </w:r>
      <w:r w:rsidRPr="005B4B9E">
        <w:rPr>
          <w:rFonts w:cs="Arial"/>
          <w:b/>
          <w:iCs/>
          <w:smallCaps/>
          <w:snapToGrid/>
          <w:sz w:val="22"/>
          <w:szCs w:val="22"/>
          <w:lang w:val="es-MX" w:eastAsia="es-MX"/>
        </w:rPr>
        <w:t xml:space="preserve"> turístico</w:t>
      </w:r>
      <w:r>
        <w:rPr>
          <w:rFonts w:cs="Arial"/>
          <w:b/>
          <w:smallCaps/>
          <w:sz w:val="22"/>
          <w:szCs w:val="22"/>
        </w:rPr>
        <w:t xml:space="preserve"> de </w:t>
      </w:r>
      <w:r w:rsidR="00BA49C8">
        <w:rPr>
          <w:rFonts w:cs="Arial"/>
          <w:b/>
          <w:smallCaps/>
          <w:sz w:val="22"/>
          <w:szCs w:val="22"/>
        </w:rPr>
        <w:t>bienes</w:t>
      </w:r>
    </w:p>
    <w:p w14:paraId="2E50018A" w14:textId="77777777" w:rsidR="00146BEE" w:rsidRDefault="00146BEE" w:rsidP="005822F2">
      <w:pPr>
        <w:spacing w:before="240"/>
        <w:ind w:hanging="45"/>
        <w:contextualSpacing/>
        <w:jc w:val="center"/>
        <w:rPr>
          <w:rFonts w:cs="Arial"/>
          <w:sz w:val="18"/>
          <w:szCs w:val="18"/>
        </w:rPr>
      </w:pPr>
      <w:r w:rsidRPr="003D2E2E">
        <w:rPr>
          <w:rFonts w:cs="Arial"/>
          <w:sz w:val="18"/>
          <w:szCs w:val="18"/>
        </w:rPr>
        <w:t>(Índice</w:t>
      </w:r>
      <w:r>
        <w:rPr>
          <w:rFonts w:cs="Arial"/>
          <w:sz w:val="18"/>
          <w:szCs w:val="18"/>
        </w:rPr>
        <w:t xml:space="preserve"> base 2013</w:t>
      </w:r>
      <w:r w:rsidRPr="003D2E2E">
        <w:rPr>
          <w:rFonts w:cs="Arial"/>
          <w:sz w:val="18"/>
          <w:szCs w:val="18"/>
        </w:rPr>
        <w:t>=100)</w:t>
      </w:r>
    </w:p>
    <w:p w14:paraId="4E57E86B" w14:textId="3E45C77C" w:rsidR="00146BEE" w:rsidRDefault="00CF023D" w:rsidP="005822F2">
      <w:pPr>
        <w:spacing w:before="240"/>
        <w:ind w:hanging="45"/>
        <w:contextualSpacing/>
        <w:jc w:val="center"/>
        <w:rPr>
          <w:rFonts w:cs="Arial"/>
          <w:sz w:val="18"/>
          <w:szCs w:val="18"/>
        </w:rPr>
      </w:pPr>
      <w:r>
        <w:rPr>
          <w:noProof/>
          <w:snapToGrid/>
        </w:rPr>
        <w:drawing>
          <wp:inline distT="0" distB="0" distL="0" distR="0" wp14:anchorId="1602C461" wp14:editId="5261321E">
            <wp:extent cx="4320000" cy="2520000"/>
            <wp:effectExtent l="0" t="0" r="23495" b="33020"/>
            <wp:docPr id="3" name="Gráfico 3">
              <a:extLst xmlns:a="http://schemas.openxmlformats.org/drawingml/2006/main">
                <a:ext uri="{FF2B5EF4-FFF2-40B4-BE49-F238E27FC236}">
                  <a16:creationId xmlns:a16="http://schemas.microsoft.com/office/drawing/2014/main" id="{CCF1EAC9-664B-C170-CE60-E95EBA1D0A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3102F3F" w14:textId="12CB14F5" w:rsidR="00146BEE" w:rsidRDefault="00146BEE" w:rsidP="005822F2">
      <w:pPr>
        <w:pStyle w:val="Textoindependiente"/>
        <w:tabs>
          <w:tab w:val="center" w:pos="3348"/>
        </w:tabs>
        <w:ind w:left="1560"/>
        <w:jc w:val="both"/>
        <w:rPr>
          <w:snapToGrid/>
          <w:color w:val="auto"/>
          <w:szCs w:val="22"/>
        </w:rPr>
      </w:pPr>
      <w:r w:rsidRPr="003D2E2E">
        <w:rPr>
          <w:rFonts w:cs="Arial"/>
          <w:sz w:val="16"/>
          <w:szCs w:val="16"/>
        </w:rPr>
        <w:t>Fuente: INEGI</w:t>
      </w:r>
    </w:p>
    <w:p w14:paraId="5771CC77" w14:textId="316509C6" w:rsidR="001D0F96" w:rsidRPr="003F5A16" w:rsidRDefault="00EA2E82" w:rsidP="001D0F96">
      <w:pPr>
        <w:pStyle w:val="Textoindependiente"/>
        <w:tabs>
          <w:tab w:val="center" w:pos="3348"/>
        </w:tabs>
        <w:spacing w:before="480"/>
        <w:jc w:val="both"/>
        <w:rPr>
          <w:snapToGrid/>
          <w:color w:val="auto"/>
          <w:szCs w:val="22"/>
        </w:rPr>
      </w:pPr>
      <w:r>
        <w:rPr>
          <w:snapToGrid/>
          <w:color w:val="auto"/>
          <w:szCs w:val="22"/>
        </w:rPr>
        <w:t>A tasa</w:t>
      </w:r>
      <w:r w:rsidR="001D0F96" w:rsidRPr="003F5A16">
        <w:rPr>
          <w:snapToGrid/>
          <w:color w:val="auto"/>
          <w:szCs w:val="22"/>
        </w:rPr>
        <w:t xml:space="preserve"> anual</w:t>
      </w:r>
      <w:r w:rsidRPr="00EA2E82">
        <w:rPr>
          <w:snapToGrid/>
          <w:color w:val="auto"/>
          <w:szCs w:val="22"/>
        </w:rPr>
        <w:t xml:space="preserve"> </w:t>
      </w:r>
      <w:r>
        <w:rPr>
          <w:snapToGrid/>
          <w:color w:val="auto"/>
          <w:szCs w:val="22"/>
        </w:rPr>
        <w:t xml:space="preserve">y </w:t>
      </w:r>
      <w:r w:rsidRPr="003F5A16">
        <w:rPr>
          <w:snapToGrid/>
          <w:color w:val="auto"/>
          <w:szCs w:val="22"/>
        </w:rPr>
        <w:t>con cifras desestacionalizadas</w:t>
      </w:r>
      <w:r w:rsidR="001D0F96" w:rsidRPr="003F5A16">
        <w:rPr>
          <w:snapToGrid/>
          <w:color w:val="auto"/>
          <w:szCs w:val="22"/>
        </w:rPr>
        <w:t xml:space="preserve">, el </w:t>
      </w:r>
      <w:r w:rsidR="00B301A1" w:rsidRPr="003F5A16">
        <w:rPr>
          <w:snapToGrid/>
          <w:color w:val="auto"/>
          <w:szCs w:val="22"/>
        </w:rPr>
        <w:t>ITPIBT</w:t>
      </w:r>
      <w:r w:rsidR="001D0F96" w:rsidRPr="003F5A16">
        <w:rPr>
          <w:snapToGrid/>
          <w:color w:val="auto"/>
          <w:szCs w:val="22"/>
        </w:rPr>
        <w:t xml:space="preserve"> </w:t>
      </w:r>
      <w:r w:rsidR="005919C0">
        <w:rPr>
          <w:snapToGrid/>
          <w:color w:val="auto"/>
          <w:szCs w:val="22"/>
        </w:rPr>
        <w:t>aument</w:t>
      </w:r>
      <w:r w:rsidR="0044791B" w:rsidRPr="003F5A16">
        <w:rPr>
          <w:snapToGrid/>
          <w:color w:val="auto"/>
          <w:szCs w:val="22"/>
        </w:rPr>
        <w:t>ó</w:t>
      </w:r>
      <w:r w:rsidR="00B301A1" w:rsidRPr="003F5A16">
        <w:rPr>
          <w:snapToGrid/>
          <w:color w:val="auto"/>
          <w:szCs w:val="22"/>
        </w:rPr>
        <w:t xml:space="preserve"> </w:t>
      </w:r>
      <w:r w:rsidR="004A51EB">
        <w:rPr>
          <w:snapToGrid/>
          <w:color w:val="auto"/>
          <w:szCs w:val="22"/>
        </w:rPr>
        <w:t>19.3</w:t>
      </w:r>
      <w:r w:rsidR="004E73A8">
        <w:rPr>
          <w:snapToGrid/>
          <w:color w:val="auto"/>
          <w:szCs w:val="22"/>
        </w:rPr>
        <w:t xml:space="preserve"> </w:t>
      </w:r>
      <w:r w:rsidR="00B301A1" w:rsidRPr="003F5A16">
        <w:rPr>
          <w:snapToGrid/>
          <w:color w:val="auto"/>
          <w:szCs w:val="22"/>
        </w:rPr>
        <w:t xml:space="preserve">% en términos reales en el trimestre </w:t>
      </w:r>
      <w:r w:rsidR="00761826">
        <w:rPr>
          <w:snapToGrid/>
          <w:color w:val="auto"/>
          <w:szCs w:val="22"/>
        </w:rPr>
        <w:t>abril-junio</w:t>
      </w:r>
      <w:r w:rsidR="00B301A1" w:rsidRPr="003F5A16">
        <w:rPr>
          <w:snapToGrid/>
          <w:color w:val="auto"/>
          <w:szCs w:val="22"/>
        </w:rPr>
        <w:t xml:space="preserve"> de 20</w:t>
      </w:r>
      <w:r w:rsidR="0044791B" w:rsidRPr="003F5A16">
        <w:rPr>
          <w:snapToGrid/>
          <w:color w:val="auto"/>
          <w:szCs w:val="22"/>
        </w:rPr>
        <w:t>2</w:t>
      </w:r>
      <w:r w:rsidR="004E73A8">
        <w:rPr>
          <w:snapToGrid/>
          <w:color w:val="auto"/>
          <w:szCs w:val="22"/>
        </w:rPr>
        <w:t>2</w:t>
      </w:r>
      <w:r w:rsidR="00B301A1" w:rsidRPr="003F5A16">
        <w:rPr>
          <w:snapToGrid/>
          <w:color w:val="auto"/>
          <w:szCs w:val="22"/>
        </w:rPr>
        <w:t>. P</w:t>
      </w:r>
      <w:r w:rsidR="002637EF" w:rsidRPr="003F5A16">
        <w:rPr>
          <w:snapToGrid/>
          <w:color w:val="auto"/>
          <w:szCs w:val="22"/>
        </w:rPr>
        <w:t>or componente</w:t>
      </w:r>
      <w:r w:rsidR="006D7CE5" w:rsidRPr="003F5A16">
        <w:rPr>
          <w:snapToGrid/>
          <w:color w:val="auto"/>
          <w:szCs w:val="22"/>
        </w:rPr>
        <w:t>,</w:t>
      </w:r>
      <w:r w:rsidR="002637EF" w:rsidRPr="003F5A16">
        <w:rPr>
          <w:snapToGrid/>
          <w:color w:val="auto"/>
          <w:szCs w:val="22"/>
        </w:rPr>
        <w:t xml:space="preserve"> </w:t>
      </w:r>
      <w:r w:rsidR="00AA6AEF" w:rsidRPr="003F5A16">
        <w:rPr>
          <w:snapToGrid/>
          <w:color w:val="auto"/>
          <w:szCs w:val="22"/>
        </w:rPr>
        <w:t xml:space="preserve">el de los </w:t>
      </w:r>
      <w:r w:rsidR="00B331A9">
        <w:rPr>
          <w:snapToGrid/>
          <w:color w:val="auto"/>
          <w:szCs w:val="22"/>
        </w:rPr>
        <w:t>s</w:t>
      </w:r>
      <w:r w:rsidR="00AA6AEF" w:rsidRPr="003F5A16">
        <w:rPr>
          <w:snapToGrid/>
          <w:color w:val="auto"/>
          <w:szCs w:val="22"/>
        </w:rPr>
        <w:t xml:space="preserve">ervicios </w:t>
      </w:r>
      <w:r w:rsidR="00B331A9">
        <w:rPr>
          <w:snapToGrid/>
          <w:color w:val="auto"/>
          <w:szCs w:val="22"/>
        </w:rPr>
        <w:t>incrementó</w:t>
      </w:r>
      <w:r w:rsidR="00AA6AEF">
        <w:rPr>
          <w:snapToGrid/>
          <w:color w:val="auto"/>
          <w:szCs w:val="22"/>
        </w:rPr>
        <w:t xml:space="preserve"> </w:t>
      </w:r>
      <w:r w:rsidR="00D20801">
        <w:rPr>
          <w:snapToGrid/>
          <w:color w:val="auto"/>
          <w:szCs w:val="22"/>
        </w:rPr>
        <w:t>2</w:t>
      </w:r>
      <w:r w:rsidR="004A51EB">
        <w:rPr>
          <w:snapToGrid/>
          <w:color w:val="auto"/>
          <w:szCs w:val="22"/>
        </w:rPr>
        <w:t>0.6</w:t>
      </w:r>
      <w:r w:rsidR="004E73A8">
        <w:rPr>
          <w:snapToGrid/>
          <w:color w:val="auto"/>
          <w:szCs w:val="22"/>
        </w:rPr>
        <w:t xml:space="preserve"> </w:t>
      </w:r>
      <w:r w:rsidR="00AA6AEF">
        <w:rPr>
          <w:snapToGrid/>
          <w:color w:val="auto"/>
          <w:szCs w:val="22"/>
        </w:rPr>
        <w:t xml:space="preserve">% y </w:t>
      </w:r>
      <w:r w:rsidR="00994340" w:rsidRPr="003F5A16">
        <w:rPr>
          <w:snapToGrid/>
          <w:color w:val="auto"/>
          <w:szCs w:val="22"/>
        </w:rPr>
        <w:t xml:space="preserve">el de </w:t>
      </w:r>
      <w:r w:rsidR="00130B75" w:rsidRPr="003F5A16">
        <w:rPr>
          <w:snapToGrid/>
          <w:color w:val="auto"/>
          <w:szCs w:val="22"/>
        </w:rPr>
        <w:t xml:space="preserve">los </w:t>
      </w:r>
      <w:r w:rsidR="00B331A9">
        <w:rPr>
          <w:snapToGrid/>
          <w:color w:val="auto"/>
          <w:szCs w:val="22"/>
        </w:rPr>
        <w:t>b</w:t>
      </w:r>
      <w:r w:rsidR="00130B75" w:rsidRPr="003F5A16">
        <w:rPr>
          <w:snapToGrid/>
          <w:color w:val="auto"/>
          <w:szCs w:val="22"/>
        </w:rPr>
        <w:t>ienes</w:t>
      </w:r>
      <w:r w:rsidR="00024272">
        <w:rPr>
          <w:snapToGrid/>
          <w:color w:val="auto"/>
          <w:szCs w:val="22"/>
        </w:rPr>
        <w:t>,</w:t>
      </w:r>
      <w:r w:rsidR="00130B75">
        <w:rPr>
          <w:snapToGrid/>
          <w:color w:val="auto"/>
          <w:szCs w:val="22"/>
        </w:rPr>
        <w:t xml:space="preserve"> </w:t>
      </w:r>
      <w:r w:rsidR="00D20801">
        <w:rPr>
          <w:snapToGrid/>
          <w:color w:val="auto"/>
          <w:szCs w:val="22"/>
        </w:rPr>
        <w:t>11.6</w:t>
      </w:r>
      <w:r w:rsidR="004E73A8">
        <w:rPr>
          <w:snapToGrid/>
          <w:color w:val="auto"/>
          <w:szCs w:val="22"/>
        </w:rPr>
        <w:t xml:space="preserve"> por ciento</w:t>
      </w:r>
      <w:r w:rsidR="00B301A1" w:rsidRPr="003F5A16">
        <w:rPr>
          <w:snapToGrid/>
          <w:color w:val="auto"/>
          <w:szCs w:val="22"/>
        </w:rPr>
        <w:t>.</w:t>
      </w:r>
      <w:r w:rsidR="001D0F96" w:rsidRPr="003F5A16">
        <w:rPr>
          <w:snapToGrid/>
          <w:color w:val="auto"/>
          <w:szCs w:val="22"/>
        </w:rPr>
        <w:t xml:space="preserve"> </w:t>
      </w:r>
    </w:p>
    <w:p w14:paraId="43BDC513" w14:textId="379A7956" w:rsidR="002C1ADA" w:rsidRPr="00024272" w:rsidRDefault="00BA49C8" w:rsidP="00457004">
      <w:pPr>
        <w:pStyle w:val="Textoindependiente"/>
        <w:tabs>
          <w:tab w:val="center" w:pos="3348"/>
        </w:tabs>
        <w:spacing w:before="480"/>
        <w:ind w:firstLine="284"/>
        <w:rPr>
          <w:rFonts w:cs="Arial"/>
          <w:b/>
          <w:szCs w:val="24"/>
        </w:rPr>
      </w:pPr>
      <w:r w:rsidRPr="00024272">
        <w:rPr>
          <w:rFonts w:cs="Arial"/>
          <w:b/>
          <w:szCs w:val="24"/>
        </w:rPr>
        <w:lastRenderedPageBreak/>
        <w:t xml:space="preserve">Indicador trimestral del consumo turístico interior </w:t>
      </w:r>
      <w:r w:rsidR="00B4687E" w:rsidRPr="00024272">
        <w:rPr>
          <w:rFonts w:cs="Arial"/>
          <w:b/>
          <w:szCs w:val="24"/>
        </w:rPr>
        <w:t>(ITCTI)</w:t>
      </w:r>
    </w:p>
    <w:p w14:paraId="623E4D8E" w14:textId="2DBBE0E9" w:rsidR="004E0EE9" w:rsidRDefault="00CB239A" w:rsidP="00E1763C">
      <w:pPr>
        <w:pStyle w:val="Textoindependiente"/>
        <w:tabs>
          <w:tab w:val="center" w:pos="3348"/>
        </w:tabs>
        <w:spacing w:before="240"/>
        <w:jc w:val="both"/>
        <w:rPr>
          <w:rFonts w:cs="Arial"/>
          <w:b/>
          <w:smallCaps/>
          <w:szCs w:val="24"/>
        </w:rPr>
      </w:pPr>
      <w:r>
        <w:rPr>
          <w:snapToGrid/>
          <w:color w:val="auto"/>
          <w:szCs w:val="22"/>
        </w:rPr>
        <w:t>E</w:t>
      </w:r>
      <w:r w:rsidRPr="003F5A16">
        <w:rPr>
          <w:snapToGrid/>
          <w:color w:val="auto"/>
          <w:szCs w:val="22"/>
        </w:rPr>
        <w:t xml:space="preserve">n el </w:t>
      </w:r>
      <w:r w:rsidR="00761826">
        <w:rPr>
          <w:snapToGrid/>
          <w:color w:val="auto"/>
          <w:szCs w:val="22"/>
        </w:rPr>
        <w:t>segundo</w:t>
      </w:r>
      <w:r>
        <w:rPr>
          <w:snapToGrid/>
          <w:color w:val="auto"/>
          <w:szCs w:val="22"/>
        </w:rPr>
        <w:t xml:space="preserve"> </w:t>
      </w:r>
      <w:r w:rsidRPr="003F5A16">
        <w:rPr>
          <w:snapToGrid/>
          <w:color w:val="auto"/>
          <w:szCs w:val="22"/>
        </w:rPr>
        <w:t>trimestre de</w:t>
      </w:r>
      <w:r>
        <w:rPr>
          <w:snapToGrid/>
          <w:color w:val="auto"/>
          <w:szCs w:val="22"/>
        </w:rPr>
        <w:t xml:space="preserve"> 202</w:t>
      </w:r>
      <w:r w:rsidR="004E73A8">
        <w:rPr>
          <w:snapToGrid/>
          <w:color w:val="auto"/>
          <w:szCs w:val="22"/>
        </w:rPr>
        <w:t>2</w:t>
      </w:r>
      <w:r>
        <w:rPr>
          <w:snapToGrid/>
          <w:color w:val="auto"/>
          <w:szCs w:val="22"/>
        </w:rPr>
        <w:t xml:space="preserve"> y con datos ajustados por estacionalidad, e</w:t>
      </w:r>
      <w:r w:rsidR="00DD139F" w:rsidRPr="003F5A16">
        <w:rPr>
          <w:snapToGrid/>
          <w:color w:val="auto"/>
          <w:szCs w:val="22"/>
        </w:rPr>
        <w:t xml:space="preserve">l </w:t>
      </w:r>
      <w:r w:rsidR="00BE227A">
        <w:rPr>
          <w:snapToGrid/>
          <w:color w:val="auto"/>
          <w:szCs w:val="22"/>
        </w:rPr>
        <w:t>ITCTI</w:t>
      </w:r>
      <w:r w:rsidR="00DD139F" w:rsidRPr="003F5A16">
        <w:rPr>
          <w:snapToGrid/>
          <w:color w:val="auto"/>
          <w:szCs w:val="22"/>
        </w:rPr>
        <w:t xml:space="preserve"> </w:t>
      </w:r>
      <w:r w:rsidR="00160FB0">
        <w:rPr>
          <w:snapToGrid/>
          <w:color w:val="auto"/>
          <w:szCs w:val="22"/>
        </w:rPr>
        <w:t>a</w:t>
      </w:r>
      <w:r w:rsidR="00B147E0">
        <w:rPr>
          <w:snapToGrid/>
          <w:color w:val="auto"/>
          <w:szCs w:val="22"/>
        </w:rPr>
        <w:t>scendió</w:t>
      </w:r>
      <w:r w:rsidR="009921BB" w:rsidRPr="003F5A16">
        <w:rPr>
          <w:snapToGrid/>
          <w:color w:val="auto"/>
          <w:szCs w:val="22"/>
        </w:rPr>
        <w:t xml:space="preserve"> </w:t>
      </w:r>
      <w:r w:rsidR="004A51EB">
        <w:rPr>
          <w:snapToGrid/>
          <w:color w:val="auto"/>
          <w:szCs w:val="22"/>
        </w:rPr>
        <w:t>5.2</w:t>
      </w:r>
      <w:r w:rsidR="004E73A8">
        <w:rPr>
          <w:snapToGrid/>
          <w:color w:val="auto"/>
          <w:szCs w:val="22"/>
        </w:rPr>
        <w:t xml:space="preserve"> </w:t>
      </w:r>
      <w:r w:rsidR="00EC052B" w:rsidRPr="003F5A16">
        <w:rPr>
          <w:snapToGrid/>
          <w:color w:val="auto"/>
          <w:szCs w:val="22"/>
        </w:rPr>
        <w:t>%</w:t>
      </w:r>
      <w:r w:rsidR="002A618E" w:rsidRPr="003F5A16">
        <w:rPr>
          <w:snapToGrid/>
          <w:color w:val="auto"/>
          <w:szCs w:val="22"/>
        </w:rPr>
        <w:t xml:space="preserve"> </w:t>
      </w:r>
      <w:r w:rsidR="00BE227A">
        <w:rPr>
          <w:snapToGrid/>
          <w:color w:val="auto"/>
          <w:szCs w:val="22"/>
        </w:rPr>
        <w:t xml:space="preserve">con </w:t>
      </w:r>
      <w:r w:rsidR="00E81E9F" w:rsidRPr="003F5A16">
        <w:rPr>
          <w:snapToGrid/>
          <w:color w:val="auto"/>
          <w:szCs w:val="22"/>
        </w:rPr>
        <w:t xml:space="preserve">respecto al trimestre </w:t>
      </w:r>
      <w:r w:rsidR="00F65E92" w:rsidRPr="003F5A16">
        <w:rPr>
          <w:snapToGrid/>
          <w:color w:val="auto"/>
          <w:szCs w:val="22"/>
        </w:rPr>
        <w:t>inmediato anterior</w:t>
      </w:r>
      <w:r w:rsidR="00DD139F" w:rsidRPr="003F5A16">
        <w:rPr>
          <w:snapToGrid/>
          <w:color w:val="auto"/>
          <w:szCs w:val="22"/>
        </w:rPr>
        <w:t xml:space="preserve">. </w:t>
      </w:r>
      <w:r w:rsidR="007449C3" w:rsidRPr="003F5A16">
        <w:rPr>
          <w:snapToGrid/>
          <w:color w:val="auto"/>
          <w:szCs w:val="22"/>
        </w:rPr>
        <w:t>De manera desagregada</w:t>
      </w:r>
      <w:r w:rsidR="008B5024" w:rsidRPr="003F5A16">
        <w:rPr>
          <w:snapToGrid/>
          <w:color w:val="auto"/>
          <w:szCs w:val="22"/>
        </w:rPr>
        <w:t xml:space="preserve">, </w:t>
      </w:r>
      <w:r w:rsidR="006A4B36" w:rsidRPr="003F5A16">
        <w:rPr>
          <w:snapToGrid/>
          <w:color w:val="auto"/>
          <w:szCs w:val="22"/>
        </w:rPr>
        <w:t xml:space="preserve">el </w:t>
      </w:r>
      <w:r w:rsidRPr="00CB239A">
        <w:rPr>
          <w:rFonts w:cs="Arial"/>
          <w:bCs/>
          <w:smallCaps/>
          <w:szCs w:val="24"/>
        </w:rPr>
        <w:t>ITCT</w:t>
      </w:r>
      <w:r>
        <w:rPr>
          <w:rFonts w:cs="Arial"/>
          <w:bCs/>
          <w:smallCaps/>
          <w:szCs w:val="24"/>
        </w:rPr>
        <w:t>I</w:t>
      </w:r>
      <w:r>
        <w:rPr>
          <w:rFonts w:cs="Arial"/>
          <w:b/>
          <w:smallCaps/>
          <w:szCs w:val="24"/>
        </w:rPr>
        <w:t xml:space="preserve"> </w:t>
      </w:r>
      <w:r w:rsidR="004A51EB">
        <w:rPr>
          <w:snapToGrid/>
          <w:color w:val="auto"/>
          <w:szCs w:val="22"/>
        </w:rPr>
        <w:t>i</w:t>
      </w:r>
      <w:r w:rsidR="004A51EB" w:rsidRPr="003F5A16">
        <w:rPr>
          <w:snapToGrid/>
          <w:color w:val="auto"/>
          <w:szCs w:val="22"/>
        </w:rPr>
        <w:t>nterno</w:t>
      </w:r>
      <w:r w:rsidR="004A51EB">
        <w:rPr>
          <w:snapToGrid/>
          <w:color w:val="auto"/>
          <w:szCs w:val="22"/>
        </w:rPr>
        <w:t xml:space="preserve"> </w:t>
      </w:r>
      <w:r w:rsidR="00160FB0">
        <w:rPr>
          <w:snapToGrid/>
          <w:color w:val="auto"/>
          <w:szCs w:val="22"/>
        </w:rPr>
        <w:t>creció</w:t>
      </w:r>
      <w:r w:rsidR="006A4B36" w:rsidRPr="003F5A16">
        <w:rPr>
          <w:snapToGrid/>
          <w:color w:val="auto"/>
          <w:szCs w:val="22"/>
        </w:rPr>
        <w:t xml:space="preserve"> </w:t>
      </w:r>
      <w:r w:rsidR="004A51EB">
        <w:rPr>
          <w:snapToGrid/>
          <w:color w:val="auto"/>
          <w:szCs w:val="22"/>
        </w:rPr>
        <w:t xml:space="preserve">5.8 </w:t>
      </w:r>
      <w:r w:rsidR="006A4B36" w:rsidRPr="003F5A16">
        <w:rPr>
          <w:snapToGrid/>
          <w:color w:val="auto"/>
          <w:szCs w:val="22"/>
        </w:rPr>
        <w:t>%</w:t>
      </w:r>
      <w:r w:rsidR="00A907A6">
        <w:rPr>
          <w:snapToGrid/>
          <w:color w:val="auto"/>
          <w:szCs w:val="22"/>
        </w:rPr>
        <w:t xml:space="preserve"> y </w:t>
      </w:r>
      <w:r w:rsidR="000F6F45">
        <w:rPr>
          <w:snapToGrid/>
          <w:color w:val="auto"/>
          <w:szCs w:val="22"/>
        </w:rPr>
        <w:t xml:space="preserve">1 % </w:t>
      </w:r>
      <w:r w:rsidR="008B5024" w:rsidRPr="003F5A16">
        <w:rPr>
          <w:snapToGrid/>
          <w:color w:val="auto"/>
          <w:szCs w:val="22"/>
        </w:rPr>
        <w:t xml:space="preserve">el </w:t>
      </w:r>
      <w:r w:rsidR="004A51EB">
        <w:rPr>
          <w:snapToGrid/>
          <w:color w:val="auto"/>
          <w:szCs w:val="22"/>
        </w:rPr>
        <w:t>r</w:t>
      </w:r>
      <w:r w:rsidR="004A51EB" w:rsidRPr="003F5A16">
        <w:rPr>
          <w:snapToGrid/>
          <w:color w:val="auto"/>
          <w:szCs w:val="22"/>
        </w:rPr>
        <w:t>eceptivo</w:t>
      </w:r>
      <w:r w:rsidR="000F6F45">
        <w:rPr>
          <w:snapToGrid/>
          <w:color w:val="auto"/>
          <w:szCs w:val="22"/>
        </w:rPr>
        <w:t>.</w:t>
      </w:r>
    </w:p>
    <w:p w14:paraId="7A70753D" w14:textId="77777777" w:rsidR="002A2498" w:rsidRDefault="002A2498" w:rsidP="002A2498">
      <w:pPr>
        <w:widowControl/>
        <w:rPr>
          <w:sz w:val="20"/>
        </w:rPr>
      </w:pPr>
    </w:p>
    <w:p w14:paraId="6D794427" w14:textId="36E4968D" w:rsidR="000D65E2" w:rsidRPr="00894A51" w:rsidRDefault="000D65E2" w:rsidP="002A2498">
      <w:pPr>
        <w:widowControl/>
        <w:jc w:val="center"/>
        <w:rPr>
          <w:sz w:val="20"/>
        </w:rPr>
      </w:pPr>
      <w:r w:rsidRPr="00894A51">
        <w:rPr>
          <w:sz w:val="20"/>
        </w:rPr>
        <w:t xml:space="preserve">Gráfica </w:t>
      </w:r>
      <w:r w:rsidR="009910DB" w:rsidRPr="00894A51">
        <w:rPr>
          <w:sz w:val="20"/>
        </w:rPr>
        <w:t>4</w:t>
      </w:r>
    </w:p>
    <w:p w14:paraId="603870A5" w14:textId="0D564317" w:rsidR="000D65E2" w:rsidRPr="005B4B9E" w:rsidRDefault="00BA49C8" w:rsidP="005822F2">
      <w:pPr>
        <w:contextualSpacing/>
        <w:jc w:val="center"/>
        <w:rPr>
          <w:rFonts w:cs="Arial"/>
          <w:b/>
          <w:smallCaps/>
          <w:sz w:val="22"/>
          <w:szCs w:val="22"/>
        </w:rPr>
      </w:pPr>
      <w:r w:rsidRPr="005B4B9E">
        <w:rPr>
          <w:rFonts w:cs="Arial"/>
          <w:b/>
          <w:smallCaps/>
          <w:sz w:val="22"/>
          <w:szCs w:val="22"/>
        </w:rPr>
        <w:t>Indicador trimestral del consumo turístico interior</w:t>
      </w:r>
      <w:r w:rsidRPr="005B4B9E" w:rsidDel="00CC2A9A">
        <w:rPr>
          <w:rFonts w:cs="Arial"/>
          <w:b/>
          <w:smallCaps/>
          <w:sz w:val="22"/>
          <w:szCs w:val="22"/>
        </w:rPr>
        <w:t xml:space="preserve"> </w:t>
      </w:r>
    </w:p>
    <w:p w14:paraId="55FBBACA" w14:textId="77777777" w:rsidR="000D65E2" w:rsidRPr="000A5EC0" w:rsidRDefault="000D65E2" w:rsidP="005822F2">
      <w:pPr>
        <w:contextualSpacing/>
        <w:jc w:val="center"/>
        <w:rPr>
          <w:rFonts w:cs="Arial"/>
          <w:b/>
          <w:smallCaps/>
          <w:sz w:val="18"/>
          <w:szCs w:val="18"/>
        </w:rPr>
      </w:pPr>
      <w:r w:rsidRPr="000A5EC0">
        <w:rPr>
          <w:rFonts w:cs="Arial"/>
          <w:sz w:val="18"/>
          <w:szCs w:val="18"/>
        </w:rPr>
        <w:t xml:space="preserve">(Índice </w:t>
      </w:r>
      <w:r w:rsidR="008F692E">
        <w:rPr>
          <w:rFonts w:cs="Arial"/>
          <w:sz w:val="18"/>
          <w:szCs w:val="18"/>
        </w:rPr>
        <w:t xml:space="preserve">base </w:t>
      </w:r>
      <w:r w:rsidR="00B604CA">
        <w:rPr>
          <w:rFonts w:cs="Arial"/>
          <w:sz w:val="18"/>
          <w:szCs w:val="18"/>
        </w:rPr>
        <w:t>20</w:t>
      </w:r>
      <w:r w:rsidR="00FC221A">
        <w:rPr>
          <w:rFonts w:cs="Arial"/>
          <w:sz w:val="18"/>
          <w:szCs w:val="18"/>
        </w:rPr>
        <w:t>13</w:t>
      </w:r>
      <w:r w:rsidRPr="000A5EC0">
        <w:rPr>
          <w:rFonts w:cs="Arial"/>
          <w:sz w:val="18"/>
          <w:szCs w:val="18"/>
        </w:rPr>
        <w:t>=100)</w:t>
      </w:r>
    </w:p>
    <w:p w14:paraId="3539B053" w14:textId="5A259709" w:rsidR="000D65E2" w:rsidRDefault="00CF023D" w:rsidP="005822F2">
      <w:pPr>
        <w:tabs>
          <w:tab w:val="left" w:pos="6145"/>
        </w:tabs>
        <w:jc w:val="center"/>
      </w:pPr>
      <w:r>
        <w:rPr>
          <w:noProof/>
          <w:snapToGrid/>
        </w:rPr>
        <w:drawing>
          <wp:inline distT="0" distB="0" distL="0" distR="0" wp14:anchorId="6F2020C3" wp14:editId="413384AB">
            <wp:extent cx="4320000" cy="2520000"/>
            <wp:effectExtent l="0" t="0" r="23495" b="33020"/>
            <wp:docPr id="10" name="Gráfico 10">
              <a:extLst xmlns:a="http://schemas.openxmlformats.org/drawingml/2006/main">
                <a:ext uri="{FF2B5EF4-FFF2-40B4-BE49-F238E27FC236}">
                  <a16:creationId xmlns:a16="http://schemas.microsoft.com/office/drawing/2014/main" id="{36DD7100-D2AA-9B73-6E0C-A52414DBE7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2E2AEF" w14:textId="13EFAB30" w:rsidR="00E06933" w:rsidRPr="003D2E2E" w:rsidRDefault="00E06933" w:rsidP="005822F2">
      <w:pPr>
        <w:pStyle w:val="Textoindependiente"/>
        <w:tabs>
          <w:tab w:val="center" w:pos="3348"/>
        </w:tabs>
        <w:ind w:left="1560"/>
        <w:jc w:val="both"/>
        <w:rPr>
          <w:rFonts w:cs="Arial"/>
          <w:sz w:val="16"/>
          <w:szCs w:val="16"/>
        </w:rPr>
      </w:pPr>
      <w:r w:rsidRPr="003D2E2E">
        <w:rPr>
          <w:rFonts w:cs="Arial"/>
          <w:sz w:val="16"/>
          <w:szCs w:val="16"/>
        </w:rPr>
        <w:t>Fuente: INEGI</w:t>
      </w:r>
    </w:p>
    <w:p w14:paraId="09297749" w14:textId="77777777" w:rsidR="005A4D85" w:rsidRPr="00894A51" w:rsidRDefault="005A4D85" w:rsidP="005822F2">
      <w:pPr>
        <w:pStyle w:val="Default"/>
        <w:spacing w:before="360"/>
        <w:jc w:val="center"/>
        <w:rPr>
          <w:sz w:val="20"/>
          <w:szCs w:val="20"/>
        </w:rPr>
      </w:pPr>
      <w:r w:rsidRPr="00894A51">
        <w:rPr>
          <w:sz w:val="20"/>
          <w:szCs w:val="20"/>
        </w:rPr>
        <w:t>Gráfica 5</w:t>
      </w:r>
    </w:p>
    <w:p w14:paraId="6A7F6C04" w14:textId="77777777" w:rsidR="004A51EB" w:rsidRPr="005B4B9E" w:rsidRDefault="004A51EB" w:rsidP="004A51EB">
      <w:pPr>
        <w:contextualSpacing/>
        <w:jc w:val="center"/>
        <w:rPr>
          <w:rFonts w:cs="Arial"/>
          <w:b/>
          <w:smallCaps/>
          <w:sz w:val="22"/>
          <w:szCs w:val="22"/>
        </w:rPr>
      </w:pPr>
      <w:r w:rsidRPr="005B4B9E">
        <w:rPr>
          <w:rFonts w:cs="Arial"/>
          <w:b/>
          <w:smallCaps/>
          <w:sz w:val="22"/>
          <w:szCs w:val="22"/>
        </w:rPr>
        <w:t>Indicador trimestral del consumo turístico interior</w:t>
      </w:r>
      <w:r w:rsidRPr="005B4B9E" w:rsidDel="00CC2A9A">
        <w:rPr>
          <w:rFonts w:cs="Arial"/>
          <w:b/>
          <w:smallCaps/>
          <w:sz w:val="22"/>
          <w:szCs w:val="22"/>
        </w:rPr>
        <w:t xml:space="preserve"> </w:t>
      </w:r>
      <w:r>
        <w:rPr>
          <w:rFonts w:cs="Arial"/>
          <w:b/>
          <w:smallCaps/>
          <w:sz w:val="22"/>
          <w:szCs w:val="22"/>
        </w:rPr>
        <w:t>interno</w:t>
      </w:r>
      <w:r w:rsidRPr="005B4B9E">
        <w:rPr>
          <w:rFonts w:cs="Arial"/>
          <w:b/>
          <w:smallCaps/>
          <w:sz w:val="22"/>
          <w:szCs w:val="22"/>
        </w:rPr>
        <w:t xml:space="preserve"> </w:t>
      </w:r>
    </w:p>
    <w:p w14:paraId="602CEE3A" w14:textId="77777777" w:rsidR="005A4D85" w:rsidRPr="000A5EC0" w:rsidRDefault="005A4D85" w:rsidP="005822F2">
      <w:pPr>
        <w:contextualSpacing/>
        <w:jc w:val="center"/>
        <w:rPr>
          <w:rFonts w:cs="Arial"/>
          <w:b/>
          <w:smallCaps/>
          <w:sz w:val="18"/>
          <w:szCs w:val="18"/>
        </w:rPr>
      </w:pPr>
      <w:r w:rsidRPr="000A5EC0">
        <w:rPr>
          <w:rFonts w:cs="Arial"/>
          <w:sz w:val="18"/>
          <w:szCs w:val="18"/>
        </w:rPr>
        <w:t xml:space="preserve">(Índice </w:t>
      </w:r>
      <w:r>
        <w:rPr>
          <w:rFonts w:cs="Arial"/>
          <w:sz w:val="18"/>
          <w:szCs w:val="18"/>
        </w:rPr>
        <w:t>base 2013</w:t>
      </w:r>
      <w:r w:rsidRPr="000A5EC0">
        <w:rPr>
          <w:rFonts w:cs="Arial"/>
          <w:sz w:val="18"/>
          <w:szCs w:val="18"/>
        </w:rPr>
        <w:t>=100)</w:t>
      </w:r>
    </w:p>
    <w:p w14:paraId="36BC2207" w14:textId="45050226" w:rsidR="005A4D85" w:rsidRDefault="00CF023D" w:rsidP="005822F2">
      <w:pPr>
        <w:tabs>
          <w:tab w:val="left" w:pos="6145"/>
        </w:tabs>
        <w:jc w:val="center"/>
        <w:rPr>
          <w:sz w:val="16"/>
          <w:szCs w:val="16"/>
        </w:rPr>
      </w:pPr>
      <w:r>
        <w:rPr>
          <w:noProof/>
          <w:snapToGrid/>
        </w:rPr>
        <w:drawing>
          <wp:inline distT="0" distB="0" distL="0" distR="0" wp14:anchorId="6C303382" wp14:editId="657DF73A">
            <wp:extent cx="4320000" cy="2520000"/>
            <wp:effectExtent l="0" t="0" r="23495" b="33020"/>
            <wp:docPr id="12" name="Gráfico 12">
              <a:extLst xmlns:a="http://schemas.openxmlformats.org/drawingml/2006/main">
                <a:ext uri="{FF2B5EF4-FFF2-40B4-BE49-F238E27FC236}">
                  <a16:creationId xmlns:a16="http://schemas.microsoft.com/office/drawing/2014/main" id="{EC5A160B-53A6-0ECA-8201-676C77B711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A724327" w14:textId="6C86FC0B" w:rsidR="005A4D85" w:rsidRDefault="005A4D85" w:rsidP="005822F2">
      <w:pPr>
        <w:pStyle w:val="Textoindependiente"/>
        <w:tabs>
          <w:tab w:val="center" w:pos="3348"/>
        </w:tabs>
        <w:ind w:left="1560"/>
        <w:jc w:val="both"/>
        <w:rPr>
          <w:sz w:val="18"/>
          <w:szCs w:val="18"/>
        </w:rPr>
      </w:pPr>
      <w:r w:rsidRPr="005822F2">
        <w:rPr>
          <w:rFonts w:cs="Arial"/>
          <w:sz w:val="16"/>
          <w:szCs w:val="16"/>
        </w:rPr>
        <w:t>Fuente</w:t>
      </w:r>
      <w:r w:rsidRPr="003D2E2E">
        <w:rPr>
          <w:sz w:val="16"/>
          <w:szCs w:val="16"/>
        </w:rPr>
        <w:t>: INEGI</w:t>
      </w:r>
    </w:p>
    <w:p w14:paraId="3C871C7D" w14:textId="77777777" w:rsidR="005A4D85" w:rsidRDefault="005A4D85" w:rsidP="005822F2">
      <w:pPr>
        <w:widowControl/>
        <w:rPr>
          <w:sz w:val="18"/>
          <w:szCs w:val="18"/>
        </w:rPr>
      </w:pPr>
      <w:r>
        <w:rPr>
          <w:sz w:val="18"/>
          <w:szCs w:val="18"/>
        </w:rPr>
        <w:br w:type="page"/>
      </w:r>
    </w:p>
    <w:p w14:paraId="4F82A504" w14:textId="77777777" w:rsidR="00593BE6" w:rsidRPr="003D2E2E" w:rsidRDefault="00593BE6" w:rsidP="005822F2">
      <w:pPr>
        <w:pStyle w:val="Default"/>
        <w:spacing w:before="360"/>
        <w:jc w:val="center"/>
        <w:rPr>
          <w:sz w:val="18"/>
          <w:szCs w:val="18"/>
        </w:rPr>
      </w:pPr>
      <w:r>
        <w:rPr>
          <w:sz w:val="18"/>
          <w:szCs w:val="18"/>
        </w:rPr>
        <w:lastRenderedPageBreak/>
        <w:t xml:space="preserve">Gráfica </w:t>
      </w:r>
      <w:r w:rsidR="005A4D85">
        <w:rPr>
          <w:sz w:val="18"/>
          <w:szCs w:val="18"/>
        </w:rPr>
        <w:t>6</w:t>
      </w:r>
    </w:p>
    <w:p w14:paraId="37FEE66E" w14:textId="77777777" w:rsidR="004A51EB" w:rsidRPr="005B4B9E" w:rsidRDefault="004A51EB" w:rsidP="004A51EB">
      <w:pPr>
        <w:contextualSpacing/>
        <w:jc w:val="center"/>
        <w:rPr>
          <w:rFonts w:cs="Arial"/>
          <w:b/>
          <w:smallCaps/>
          <w:sz w:val="22"/>
          <w:szCs w:val="22"/>
        </w:rPr>
      </w:pPr>
      <w:r w:rsidRPr="005B4B9E">
        <w:rPr>
          <w:rFonts w:cs="Arial"/>
          <w:b/>
          <w:smallCaps/>
          <w:sz w:val="22"/>
          <w:szCs w:val="22"/>
        </w:rPr>
        <w:t>Indicador trimestral del consumo turístico interior</w:t>
      </w:r>
      <w:r>
        <w:rPr>
          <w:rFonts w:cs="Arial"/>
          <w:b/>
          <w:smallCaps/>
          <w:sz w:val="22"/>
          <w:szCs w:val="22"/>
        </w:rPr>
        <w:t xml:space="preserve"> receptivo</w:t>
      </w:r>
      <w:r w:rsidRPr="005B4B9E" w:rsidDel="00CC2A9A">
        <w:rPr>
          <w:rFonts w:cs="Arial"/>
          <w:b/>
          <w:smallCaps/>
          <w:sz w:val="22"/>
          <w:szCs w:val="22"/>
        </w:rPr>
        <w:t xml:space="preserve"> </w:t>
      </w:r>
    </w:p>
    <w:p w14:paraId="3A34B788" w14:textId="77777777" w:rsidR="00013DDD" w:rsidRPr="000A5EC0" w:rsidRDefault="00013DDD" w:rsidP="005822F2">
      <w:pPr>
        <w:contextualSpacing/>
        <w:jc w:val="center"/>
        <w:rPr>
          <w:rFonts w:cs="Arial"/>
          <w:b/>
          <w:smallCaps/>
          <w:sz w:val="18"/>
          <w:szCs w:val="18"/>
        </w:rPr>
      </w:pPr>
      <w:r w:rsidRPr="000A5EC0">
        <w:rPr>
          <w:rFonts w:cs="Arial"/>
          <w:sz w:val="18"/>
          <w:szCs w:val="18"/>
        </w:rPr>
        <w:t xml:space="preserve">(Índice </w:t>
      </w:r>
      <w:r>
        <w:rPr>
          <w:rFonts w:cs="Arial"/>
          <w:sz w:val="18"/>
          <w:szCs w:val="18"/>
        </w:rPr>
        <w:t>base 2013</w:t>
      </w:r>
      <w:r w:rsidRPr="000A5EC0">
        <w:rPr>
          <w:rFonts w:cs="Arial"/>
          <w:sz w:val="18"/>
          <w:szCs w:val="18"/>
        </w:rPr>
        <w:t>=100)</w:t>
      </w:r>
    </w:p>
    <w:p w14:paraId="1371B1C1" w14:textId="729861F9" w:rsidR="00013DDD" w:rsidRDefault="00CF023D" w:rsidP="005822F2">
      <w:pPr>
        <w:tabs>
          <w:tab w:val="left" w:pos="6145"/>
        </w:tabs>
        <w:jc w:val="center"/>
      </w:pPr>
      <w:r>
        <w:rPr>
          <w:noProof/>
          <w:snapToGrid/>
        </w:rPr>
        <w:drawing>
          <wp:inline distT="0" distB="0" distL="0" distR="0" wp14:anchorId="5AF393F4" wp14:editId="0C34AEC0">
            <wp:extent cx="4320000" cy="2520000"/>
            <wp:effectExtent l="0" t="0" r="23495" b="13970"/>
            <wp:docPr id="13" name="Gráfico 13">
              <a:extLst xmlns:a="http://schemas.openxmlformats.org/drawingml/2006/main">
                <a:ext uri="{FF2B5EF4-FFF2-40B4-BE49-F238E27FC236}">
                  <a16:creationId xmlns:a16="http://schemas.microsoft.com/office/drawing/2014/main" id="{ADA5B680-4766-4308-339C-E068BD284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BCE852" w14:textId="11802743" w:rsidR="00593BE6" w:rsidRDefault="00013DDD" w:rsidP="005822F2">
      <w:pPr>
        <w:pStyle w:val="Textoindependiente"/>
        <w:tabs>
          <w:tab w:val="center" w:pos="3348"/>
        </w:tabs>
        <w:ind w:left="1560"/>
        <w:jc w:val="both"/>
        <w:rPr>
          <w:sz w:val="18"/>
          <w:szCs w:val="18"/>
        </w:rPr>
      </w:pPr>
      <w:r w:rsidRPr="003D2E2E">
        <w:rPr>
          <w:sz w:val="16"/>
          <w:szCs w:val="16"/>
        </w:rPr>
        <w:t xml:space="preserve">Fuente: </w:t>
      </w:r>
      <w:r w:rsidRPr="005822F2">
        <w:rPr>
          <w:rFonts w:cs="Arial"/>
          <w:sz w:val="16"/>
          <w:szCs w:val="16"/>
        </w:rPr>
        <w:t>INEGI</w:t>
      </w:r>
    </w:p>
    <w:p w14:paraId="022AF6FF" w14:textId="12BCE79F" w:rsidR="00A74306" w:rsidRDefault="00A852EC" w:rsidP="005822F2">
      <w:pPr>
        <w:pStyle w:val="n01"/>
        <w:keepLines w:val="0"/>
        <w:widowControl w:val="0"/>
        <w:ind w:left="0" w:firstLine="0"/>
        <w:outlineLvl w:val="0"/>
        <w:rPr>
          <w:rFonts w:ascii="Arial" w:hAnsi="Arial" w:cs="Arial"/>
          <w:color w:val="auto"/>
          <w:szCs w:val="22"/>
        </w:rPr>
      </w:pPr>
      <w:r w:rsidRPr="00894A51">
        <w:rPr>
          <w:rFonts w:ascii="Arial" w:hAnsi="Arial" w:cs="Arial"/>
          <w:color w:val="auto"/>
        </w:rPr>
        <w:t>En su comparación a</w:t>
      </w:r>
      <w:r w:rsidR="00526FDF" w:rsidRPr="00894A51">
        <w:rPr>
          <w:rFonts w:ascii="Arial" w:hAnsi="Arial" w:cs="Arial"/>
          <w:color w:val="auto"/>
        </w:rPr>
        <w:t>nual</w:t>
      </w:r>
      <w:r w:rsidRPr="00894A51">
        <w:rPr>
          <w:rFonts w:ascii="Arial" w:hAnsi="Arial" w:cs="Arial"/>
          <w:color w:val="auto"/>
        </w:rPr>
        <w:t xml:space="preserve"> </w:t>
      </w:r>
      <w:r w:rsidR="00DD4A68" w:rsidRPr="00894A51">
        <w:rPr>
          <w:rFonts w:ascii="Arial" w:hAnsi="Arial" w:cs="Arial"/>
          <w:color w:val="auto"/>
        </w:rPr>
        <w:t xml:space="preserve">y </w:t>
      </w:r>
      <w:r w:rsidRPr="00894A51">
        <w:rPr>
          <w:rFonts w:ascii="Arial" w:hAnsi="Arial" w:cs="Arial"/>
          <w:color w:val="auto"/>
        </w:rPr>
        <w:t>con datos</w:t>
      </w:r>
      <w:r w:rsidR="00DD139F" w:rsidRPr="00894A51">
        <w:rPr>
          <w:rFonts w:ascii="Arial" w:hAnsi="Arial" w:cs="Arial"/>
          <w:color w:val="auto"/>
        </w:rPr>
        <w:t xml:space="preserve"> desestacionalizados, e</w:t>
      </w:r>
      <w:r w:rsidR="00DD139F" w:rsidRPr="00894A51">
        <w:rPr>
          <w:rFonts w:ascii="Arial" w:hAnsi="Arial" w:cs="Arial"/>
          <w:color w:val="auto"/>
          <w:szCs w:val="22"/>
        </w:rPr>
        <w:t xml:space="preserve">l ITCTI </w:t>
      </w:r>
      <w:r w:rsidR="00FD67F1">
        <w:rPr>
          <w:rFonts w:ascii="Arial" w:hAnsi="Arial" w:cs="Arial"/>
          <w:color w:val="auto"/>
          <w:szCs w:val="22"/>
        </w:rPr>
        <w:t>aumentó</w:t>
      </w:r>
      <w:r w:rsidR="00AD7608" w:rsidRPr="00894A51">
        <w:rPr>
          <w:rFonts w:ascii="Arial" w:hAnsi="Arial" w:cs="Arial"/>
          <w:color w:val="auto"/>
          <w:szCs w:val="22"/>
        </w:rPr>
        <w:t xml:space="preserve"> </w:t>
      </w:r>
      <w:r w:rsidR="00925A47">
        <w:rPr>
          <w:rFonts w:ascii="Arial" w:hAnsi="Arial" w:cs="Arial"/>
          <w:color w:val="auto"/>
          <w:szCs w:val="22"/>
        </w:rPr>
        <w:t>2</w:t>
      </w:r>
      <w:r w:rsidR="00505E5E">
        <w:rPr>
          <w:rFonts w:ascii="Arial" w:hAnsi="Arial" w:cs="Arial"/>
          <w:color w:val="auto"/>
          <w:szCs w:val="22"/>
        </w:rPr>
        <w:t>1.2</w:t>
      </w:r>
      <w:r w:rsidR="004E73A8">
        <w:rPr>
          <w:rFonts w:ascii="Arial" w:hAnsi="Arial" w:cs="Arial"/>
          <w:color w:val="auto"/>
          <w:szCs w:val="22"/>
        </w:rPr>
        <w:t xml:space="preserve"> </w:t>
      </w:r>
      <w:r w:rsidR="00AD7608" w:rsidRPr="00894A51">
        <w:rPr>
          <w:rFonts w:ascii="Arial" w:hAnsi="Arial" w:cs="Arial"/>
          <w:color w:val="auto"/>
          <w:szCs w:val="22"/>
        </w:rPr>
        <w:t>%</w:t>
      </w:r>
      <w:r w:rsidR="00AC3637" w:rsidRPr="00894A51">
        <w:rPr>
          <w:rFonts w:ascii="Arial" w:hAnsi="Arial" w:cs="Arial"/>
          <w:color w:val="auto"/>
          <w:szCs w:val="22"/>
        </w:rPr>
        <w:t xml:space="preserve"> d</w:t>
      </w:r>
      <w:r w:rsidR="00573E5B" w:rsidRPr="00894A51">
        <w:rPr>
          <w:rFonts w:ascii="Arial" w:hAnsi="Arial" w:cs="Arial"/>
          <w:color w:val="auto"/>
          <w:szCs w:val="22"/>
        </w:rPr>
        <w:t xml:space="preserve">urante el trimestre </w:t>
      </w:r>
      <w:r w:rsidR="00761826">
        <w:rPr>
          <w:rFonts w:ascii="Arial" w:hAnsi="Arial" w:cs="Arial"/>
          <w:color w:val="auto"/>
          <w:szCs w:val="22"/>
        </w:rPr>
        <w:t>abril-junio</w:t>
      </w:r>
      <w:r w:rsidR="00573E5B" w:rsidRPr="00894A51">
        <w:rPr>
          <w:rFonts w:ascii="Arial" w:hAnsi="Arial" w:cs="Arial"/>
          <w:color w:val="auto"/>
          <w:szCs w:val="22"/>
        </w:rPr>
        <w:t xml:space="preserve"> de 20</w:t>
      </w:r>
      <w:r w:rsidR="00AD7608" w:rsidRPr="00894A51">
        <w:rPr>
          <w:rFonts w:ascii="Arial" w:hAnsi="Arial" w:cs="Arial"/>
          <w:color w:val="auto"/>
          <w:szCs w:val="22"/>
        </w:rPr>
        <w:t>2</w:t>
      </w:r>
      <w:r w:rsidR="004E73A8">
        <w:rPr>
          <w:rFonts w:ascii="Arial" w:hAnsi="Arial" w:cs="Arial"/>
          <w:color w:val="auto"/>
          <w:szCs w:val="22"/>
        </w:rPr>
        <w:t>2</w:t>
      </w:r>
      <w:r w:rsidR="008B5024" w:rsidRPr="00894A51">
        <w:rPr>
          <w:rFonts w:ascii="Arial" w:hAnsi="Arial" w:cs="Arial"/>
          <w:color w:val="auto"/>
          <w:szCs w:val="22"/>
        </w:rPr>
        <w:t xml:space="preserve">. Por componente, </w:t>
      </w:r>
      <w:r w:rsidR="006B675B" w:rsidRPr="00894A51">
        <w:rPr>
          <w:rFonts w:ascii="Arial" w:hAnsi="Arial" w:cs="Arial"/>
          <w:color w:val="auto"/>
          <w:szCs w:val="22"/>
        </w:rPr>
        <w:t xml:space="preserve">el </w:t>
      </w:r>
      <w:r w:rsidR="00FD67F1">
        <w:rPr>
          <w:rFonts w:ascii="Arial" w:hAnsi="Arial" w:cs="Arial"/>
          <w:color w:val="auto"/>
          <w:szCs w:val="22"/>
        </w:rPr>
        <w:t>r</w:t>
      </w:r>
      <w:r w:rsidR="00AD7608" w:rsidRPr="00894A51">
        <w:rPr>
          <w:rFonts w:ascii="Arial" w:hAnsi="Arial" w:cs="Arial"/>
          <w:color w:val="auto"/>
          <w:szCs w:val="22"/>
        </w:rPr>
        <w:t xml:space="preserve">eceptivo </w:t>
      </w:r>
      <w:r w:rsidR="00FD67F1">
        <w:rPr>
          <w:rFonts w:ascii="Arial" w:hAnsi="Arial" w:cs="Arial"/>
          <w:color w:val="auto"/>
          <w:szCs w:val="22"/>
        </w:rPr>
        <w:t>creció</w:t>
      </w:r>
      <w:r w:rsidR="00AD7608" w:rsidRPr="00894A51">
        <w:rPr>
          <w:rFonts w:ascii="Arial" w:hAnsi="Arial" w:cs="Arial"/>
          <w:color w:val="auto"/>
          <w:szCs w:val="22"/>
        </w:rPr>
        <w:t xml:space="preserve"> </w:t>
      </w:r>
      <w:r w:rsidR="00505E5E">
        <w:rPr>
          <w:rFonts w:ascii="Arial" w:hAnsi="Arial" w:cs="Arial"/>
          <w:color w:val="auto"/>
          <w:szCs w:val="22"/>
        </w:rPr>
        <w:t>32.9</w:t>
      </w:r>
      <w:r w:rsidR="004E73A8">
        <w:rPr>
          <w:rFonts w:ascii="Arial" w:hAnsi="Arial" w:cs="Arial"/>
          <w:color w:val="auto"/>
          <w:szCs w:val="22"/>
        </w:rPr>
        <w:t xml:space="preserve"> </w:t>
      </w:r>
      <w:r w:rsidR="006351A1" w:rsidRPr="00894A51">
        <w:rPr>
          <w:rFonts w:ascii="Arial" w:hAnsi="Arial" w:cs="Arial"/>
          <w:color w:val="auto"/>
          <w:szCs w:val="22"/>
        </w:rPr>
        <w:t>%</w:t>
      </w:r>
      <w:r w:rsidR="00AD7608" w:rsidRPr="00894A51">
        <w:rPr>
          <w:rFonts w:ascii="Arial" w:hAnsi="Arial" w:cs="Arial"/>
          <w:color w:val="auto"/>
          <w:szCs w:val="22"/>
        </w:rPr>
        <w:t xml:space="preserve"> y</w:t>
      </w:r>
      <w:r w:rsidR="000D7CA3" w:rsidRPr="00894A51">
        <w:rPr>
          <w:rFonts w:ascii="Arial" w:hAnsi="Arial" w:cs="Arial"/>
          <w:color w:val="auto"/>
          <w:szCs w:val="22"/>
        </w:rPr>
        <w:t xml:space="preserve"> </w:t>
      </w:r>
      <w:r w:rsidR="00F73E2B" w:rsidRPr="00894A51">
        <w:rPr>
          <w:rFonts w:ascii="Arial" w:hAnsi="Arial" w:cs="Arial"/>
          <w:color w:val="auto"/>
          <w:szCs w:val="22"/>
        </w:rPr>
        <w:t>el</w:t>
      </w:r>
      <w:r w:rsidR="006B675B" w:rsidRPr="00894A51">
        <w:rPr>
          <w:rFonts w:ascii="Arial" w:hAnsi="Arial" w:cs="Arial"/>
          <w:color w:val="auto"/>
          <w:szCs w:val="22"/>
        </w:rPr>
        <w:t xml:space="preserve"> </w:t>
      </w:r>
      <w:r w:rsidR="00FD67F1">
        <w:rPr>
          <w:rFonts w:ascii="Arial" w:hAnsi="Arial" w:cs="Arial"/>
          <w:color w:val="auto"/>
          <w:szCs w:val="22"/>
        </w:rPr>
        <w:t>i</w:t>
      </w:r>
      <w:r w:rsidR="00AD7608" w:rsidRPr="00894A51">
        <w:rPr>
          <w:rFonts w:ascii="Arial" w:hAnsi="Arial" w:cs="Arial"/>
          <w:color w:val="auto"/>
          <w:szCs w:val="22"/>
        </w:rPr>
        <w:t>nterno</w:t>
      </w:r>
      <w:r w:rsidR="000F6F45">
        <w:rPr>
          <w:rFonts w:ascii="Arial" w:hAnsi="Arial" w:cs="Arial"/>
          <w:color w:val="auto"/>
          <w:szCs w:val="22"/>
        </w:rPr>
        <w:t>,</w:t>
      </w:r>
      <w:r w:rsidR="00AD7608" w:rsidRPr="00894A51">
        <w:rPr>
          <w:rFonts w:ascii="Arial" w:hAnsi="Arial" w:cs="Arial"/>
          <w:color w:val="auto"/>
          <w:szCs w:val="22"/>
        </w:rPr>
        <w:t xml:space="preserve"> </w:t>
      </w:r>
      <w:r w:rsidR="00505E5E">
        <w:rPr>
          <w:rFonts w:ascii="Arial" w:hAnsi="Arial" w:cs="Arial"/>
          <w:color w:val="auto"/>
          <w:szCs w:val="22"/>
        </w:rPr>
        <w:t>18.2</w:t>
      </w:r>
      <w:r w:rsidR="004E73A8">
        <w:rPr>
          <w:rFonts w:ascii="Arial" w:hAnsi="Arial" w:cs="Arial"/>
          <w:color w:val="auto"/>
          <w:szCs w:val="22"/>
        </w:rPr>
        <w:t xml:space="preserve"> por ciento</w:t>
      </w:r>
      <w:r w:rsidR="00DD139F" w:rsidRPr="00894A51">
        <w:rPr>
          <w:rFonts w:ascii="Arial" w:hAnsi="Arial" w:cs="Arial"/>
          <w:color w:val="auto"/>
          <w:szCs w:val="22"/>
        </w:rPr>
        <w:t>.</w:t>
      </w:r>
    </w:p>
    <w:p w14:paraId="7FE1DB00" w14:textId="77777777" w:rsidR="00445596" w:rsidRPr="00B9598B" w:rsidRDefault="00445596" w:rsidP="00FD67F1">
      <w:pPr>
        <w:pStyle w:val="n01"/>
        <w:keepLines w:val="0"/>
        <w:widowControl w:val="0"/>
        <w:spacing w:before="480"/>
        <w:ind w:left="0" w:firstLine="0"/>
        <w:outlineLvl w:val="0"/>
        <w:rPr>
          <w:rFonts w:ascii="Arial" w:hAnsi="Arial" w:cs="Arial"/>
          <w:b/>
          <w:smallCaps/>
          <w:color w:val="auto"/>
          <w:szCs w:val="24"/>
          <w:lang w:val="es-MX"/>
        </w:rPr>
      </w:pPr>
      <w:r w:rsidRPr="00B9598B">
        <w:rPr>
          <w:rFonts w:ascii="Arial" w:hAnsi="Arial" w:cs="Arial"/>
          <w:b/>
          <w:smallCaps/>
          <w:color w:val="auto"/>
          <w:szCs w:val="24"/>
          <w:lang w:val="es-MX"/>
        </w:rPr>
        <w:t>Cifras originales</w:t>
      </w:r>
    </w:p>
    <w:p w14:paraId="06F8A65F" w14:textId="5533203A" w:rsidR="00905C6D" w:rsidRDefault="00905C6D" w:rsidP="006C7576">
      <w:pPr>
        <w:pStyle w:val="Default"/>
        <w:spacing w:before="240"/>
        <w:jc w:val="center"/>
        <w:rPr>
          <w:rFonts w:eastAsia="Times New Roman"/>
          <w:b/>
          <w:smallCaps/>
          <w:snapToGrid w:val="0"/>
          <w:color w:val="auto"/>
          <w:sz w:val="22"/>
          <w:szCs w:val="22"/>
          <w:lang w:val="es-ES_tradnl"/>
        </w:rPr>
      </w:pPr>
      <w:r w:rsidRPr="00905C6D">
        <w:rPr>
          <w:rFonts w:eastAsia="Times New Roman"/>
          <w:bCs/>
          <w:snapToGrid w:val="0"/>
          <w:color w:val="auto"/>
          <w:sz w:val="20"/>
          <w:szCs w:val="20"/>
          <w:lang w:val="es-ES_tradnl"/>
        </w:rPr>
        <w:t xml:space="preserve">Cuadro </w:t>
      </w:r>
      <w:r w:rsidR="006735D7">
        <w:rPr>
          <w:rFonts w:eastAsia="Times New Roman"/>
          <w:bCs/>
          <w:snapToGrid w:val="0"/>
          <w:color w:val="auto"/>
          <w:sz w:val="20"/>
          <w:szCs w:val="20"/>
          <w:lang w:val="es-ES_tradnl"/>
        </w:rPr>
        <w:t>2</w:t>
      </w:r>
    </w:p>
    <w:p w14:paraId="169B8B16" w14:textId="09859E8A" w:rsidR="00F04141" w:rsidRPr="002D5B11" w:rsidRDefault="00BA49C8" w:rsidP="005822F2">
      <w:pPr>
        <w:pStyle w:val="Default"/>
        <w:jc w:val="center"/>
        <w:rPr>
          <w:rFonts w:eastAsia="Times New Roman"/>
          <w:b/>
          <w:smallCaps/>
          <w:snapToGrid w:val="0"/>
          <w:color w:val="auto"/>
          <w:sz w:val="22"/>
          <w:szCs w:val="22"/>
          <w:lang w:val="es-ES_tradnl"/>
        </w:rPr>
      </w:pPr>
      <w:r w:rsidRPr="002D5B11">
        <w:rPr>
          <w:rFonts w:eastAsia="Times New Roman"/>
          <w:b/>
          <w:smallCaps/>
          <w:snapToGrid w:val="0"/>
          <w:color w:val="auto"/>
          <w:sz w:val="22"/>
          <w:szCs w:val="22"/>
          <w:lang w:val="es-ES_tradnl"/>
        </w:rPr>
        <w:t xml:space="preserve">Indicador trimestral del </w:t>
      </w:r>
      <w:r w:rsidR="006F2A6A">
        <w:rPr>
          <w:rFonts w:eastAsia="Times New Roman"/>
          <w:b/>
          <w:smallCaps/>
          <w:snapToGrid w:val="0"/>
          <w:color w:val="auto"/>
          <w:sz w:val="22"/>
          <w:szCs w:val="22"/>
          <w:lang w:val="es-ES_tradnl"/>
        </w:rPr>
        <w:t>producto interno bruto turístico</w:t>
      </w:r>
    </w:p>
    <w:p w14:paraId="683376AC" w14:textId="62B2BC0F" w:rsidR="00BE0544" w:rsidRDefault="004E65C6" w:rsidP="005822F2">
      <w:pPr>
        <w:pStyle w:val="p0"/>
        <w:keepLines w:val="0"/>
        <w:spacing w:before="0"/>
        <w:jc w:val="center"/>
        <w:rPr>
          <w:rFonts w:cs="Arial"/>
          <w:b/>
          <w:smallCaps/>
          <w:color w:val="auto"/>
          <w:sz w:val="22"/>
          <w:szCs w:val="22"/>
        </w:rPr>
      </w:pPr>
      <w:r>
        <w:rPr>
          <w:b/>
          <w:smallCaps/>
          <w:snapToGrid/>
          <w:color w:val="auto"/>
          <w:sz w:val="22"/>
          <w:szCs w:val="22"/>
        </w:rPr>
        <w:t>y</w:t>
      </w:r>
      <w:r w:rsidR="00BA49C8" w:rsidRPr="002D5B11">
        <w:rPr>
          <w:b/>
          <w:smallCaps/>
          <w:snapToGrid/>
          <w:color w:val="auto"/>
          <w:sz w:val="22"/>
          <w:szCs w:val="22"/>
        </w:rPr>
        <w:t xml:space="preserve"> </w:t>
      </w:r>
      <w:r w:rsidR="00BA49C8">
        <w:rPr>
          <w:b/>
          <w:smallCaps/>
          <w:snapToGrid/>
          <w:color w:val="auto"/>
          <w:sz w:val="22"/>
          <w:szCs w:val="22"/>
        </w:rPr>
        <w:t xml:space="preserve">del </w:t>
      </w:r>
      <w:r w:rsidR="00BA49C8" w:rsidRPr="002D5B11">
        <w:rPr>
          <w:b/>
          <w:smallCaps/>
          <w:snapToGrid/>
          <w:color w:val="auto"/>
          <w:sz w:val="22"/>
          <w:szCs w:val="22"/>
        </w:rPr>
        <w:t xml:space="preserve">consumo turístico interior </w:t>
      </w:r>
    </w:p>
    <w:p w14:paraId="118E6C77" w14:textId="14DEE1F7" w:rsidR="00B4338D" w:rsidRPr="00951650" w:rsidRDefault="00B4338D" w:rsidP="005822F2">
      <w:pPr>
        <w:pStyle w:val="p0"/>
        <w:keepLines w:val="0"/>
        <w:spacing w:before="0"/>
        <w:jc w:val="center"/>
        <w:rPr>
          <w:rFonts w:cs="Arial"/>
          <w:snapToGrid/>
          <w:color w:val="auto"/>
          <w:sz w:val="18"/>
          <w:szCs w:val="18"/>
        </w:rPr>
      </w:pPr>
      <w:r w:rsidRPr="00951650">
        <w:rPr>
          <w:rFonts w:cs="Arial"/>
          <w:snapToGrid/>
          <w:color w:val="auto"/>
          <w:sz w:val="18"/>
          <w:szCs w:val="18"/>
        </w:rPr>
        <w:t xml:space="preserve">(Variación porcentual </w:t>
      </w:r>
      <w:r w:rsidR="006735D7">
        <w:rPr>
          <w:rFonts w:cs="Arial"/>
          <w:snapToGrid/>
          <w:color w:val="auto"/>
          <w:sz w:val="18"/>
          <w:szCs w:val="18"/>
        </w:rPr>
        <w:t>anual</w:t>
      </w:r>
      <w:r w:rsidRPr="00951650">
        <w:rPr>
          <w:rFonts w:cs="Arial"/>
          <w:snapToGrid/>
          <w:color w:val="auto"/>
          <w:sz w:val="18"/>
          <w:szCs w:val="18"/>
        </w:rPr>
        <w:t xml:space="preserve">) </w:t>
      </w:r>
    </w:p>
    <w:tbl>
      <w:tblPr>
        <w:tblW w:w="0" w:type="auto"/>
        <w:jc w:val="center"/>
        <w:tblLayout w:type="fixed"/>
        <w:tblCellMar>
          <w:left w:w="107" w:type="dxa"/>
          <w:right w:w="107" w:type="dxa"/>
        </w:tblCellMar>
        <w:tblLook w:val="04A0" w:firstRow="1" w:lastRow="0" w:firstColumn="1" w:lastColumn="0" w:noHBand="0" w:noVBand="1"/>
      </w:tblPr>
      <w:tblGrid>
        <w:gridCol w:w="3671"/>
        <w:gridCol w:w="1559"/>
      </w:tblGrid>
      <w:tr w:rsidR="00E43EEF" w14:paraId="29ECFBD5" w14:textId="77777777" w:rsidTr="003E5022">
        <w:trPr>
          <w:cantSplit/>
          <w:trHeight w:val="21"/>
          <w:jc w:val="center"/>
        </w:trPr>
        <w:tc>
          <w:tcPr>
            <w:tcW w:w="3671" w:type="dxa"/>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1FE3DEDC" w14:textId="77777777" w:rsidR="00E43EEF" w:rsidRDefault="00E43EEF" w:rsidP="005822F2">
            <w:pPr>
              <w:pStyle w:val="p0"/>
              <w:keepLines w:val="0"/>
              <w:spacing w:before="60" w:after="60"/>
              <w:jc w:val="center"/>
              <w:rPr>
                <w:rFonts w:cs="Arial"/>
                <w:color w:val="auto"/>
                <w:sz w:val="18"/>
                <w:lang w:val="es-ES"/>
              </w:rPr>
            </w:pPr>
            <w:r>
              <w:rPr>
                <w:rFonts w:cs="Arial"/>
                <w:color w:val="auto"/>
                <w:sz w:val="18"/>
                <w:lang w:val="es-ES"/>
              </w:rPr>
              <w:t>Concepto</w:t>
            </w:r>
          </w:p>
        </w:tc>
        <w:tc>
          <w:tcPr>
            <w:tcW w:w="1559" w:type="dxa"/>
            <w:tcBorders>
              <w:top w:val="double" w:sz="4" w:space="0" w:color="auto"/>
              <w:left w:val="single" w:sz="4" w:space="0" w:color="auto"/>
              <w:bottom w:val="single" w:sz="4" w:space="0" w:color="auto"/>
              <w:right w:val="double" w:sz="4" w:space="0" w:color="auto"/>
            </w:tcBorders>
            <w:shd w:val="clear" w:color="auto" w:fill="C2D69B" w:themeFill="accent3" w:themeFillTint="99"/>
            <w:hideMark/>
          </w:tcPr>
          <w:p w14:paraId="03E9584C" w14:textId="61BD6716" w:rsidR="00E43EEF" w:rsidRDefault="00761826" w:rsidP="005822F2">
            <w:pPr>
              <w:pStyle w:val="p0"/>
              <w:keepLines w:val="0"/>
              <w:spacing w:before="60" w:after="60"/>
              <w:jc w:val="center"/>
              <w:rPr>
                <w:rFonts w:cs="Arial"/>
                <w:color w:val="auto"/>
                <w:sz w:val="18"/>
                <w:lang w:val="es-ES"/>
              </w:rPr>
            </w:pPr>
            <w:r>
              <w:rPr>
                <w:rFonts w:cs="Arial"/>
                <w:color w:val="auto"/>
                <w:sz w:val="18"/>
                <w:lang w:val="es-ES"/>
              </w:rPr>
              <w:t>2</w:t>
            </w:r>
            <w:r>
              <w:rPr>
                <w:rFonts w:cs="Arial"/>
                <w:color w:val="auto"/>
                <w:sz w:val="18"/>
                <w:vertAlign w:val="superscript"/>
                <w:lang w:val="es-ES"/>
              </w:rPr>
              <w:t>do</w:t>
            </w:r>
            <w:r w:rsidR="00E43EEF">
              <w:rPr>
                <w:rFonts w:cs="Arial"/>
                <w:color w:val="auto"/>
                <w:sz w:val="18"/>
                <w:lang w:val="es-ES"/>
              </w:rPr>
              <w:t xml:space="preserve"> </w:t>
            </w:r>
            <w:r w:rsidR="00BE227A">
              <w:rPr>
                <w:rFonts w:cs="Arial"/>
                <w:color w:val="auto"/>
                <w:sz w:val="18"/>
                <w:lang w:val="es-ES"/>
              </w:rPr>
              <w:t>t</w:t>
            </w:r>
            <w:r w:rsidR="00E43EEF">
              <w:rPr>
                <w:rFonts w:cs="Arial"/>
                <w:color w:val="auto"/>
                <w:sz w:val="18"/>
                <w:lang w:val="es-ES"/>
              </w:rPr>
              <w:t>rimestre</w:t>
            </w:r>
            <w:r w:rsidR="000F656B">
              <w:rPr>
                <w:rFonts w:cs="Arial"/>
                <w:color w:val="auto"/>
                <w:sz w:val="18"/>
                <w:lang w:val="es-ES"/>
              </w:rPr>
              <w:t xml:space="preserve"> </w:t>
            </w:r>
            <w:r w:rsidR="006735D7" w:rsidRPr="0077014C">
              <w:rPr>
                <w:rFonts w:cs="Arial"/>
                <w:color w:val="auto"/>
                <w:sz w:val="18"/>
                <w:lang w:val="es-ES"/>
              </w:rPr>
              <w:t>de</w:t>
            </w:r>
            <w:r w:rsidR="006735D7" w:rsidRPr="006735D7">
              <w:rPr>
                <w:rFonts w:cs="Arial"/>
                <w:color w:val="auto"/>
                <w:sz w:val="18"/>
                <w:lang w:val="es-ES"/>
              </w:rPr>
              <w:t xml:space="preserve"> 202</w:t>
            </w:r>
            <w:r w:rsidR="005946E9">
              <w:rPr>
                <w:rFonts w:cs="Arial"/>
                <w:color w:val="auto"/>
                <w:sz w:val="18"/>
                <w:lang w:val="es-ES"/>
              </w:rPr>
              <w:t>2</w:t>
            </w:r>
            <w:r w:rsidR="000F656B" w:rsidRPr="006428A4">
              <w:rPr>
                <w:rFonts w:cs="Arial"/>
                <w:color w:val="auto"/>
                <w:sz w:val="18"/>
                <w:vertAlign w:val="superscript"/>
                <w:lang w:val="es-ES"/>
              </w:rPr>
              <w:t>p/</w:t>
            </w:r>
          </w:p>
        </w:tc>
      </w:tr>
      <w:tr w:rsidR="00E43EEF" w14:paraId="031D32EC" w14:textId="77777777" w:rsidTr="007D6172">
        <w:trPr>
          <w:cantSplit/>
          <w:trHeight w:val="283"/>
          <w:jc w:val="center"/>
        </w:trPr>
        <w:tc>
          <w:tcPr>
            <w:tcW w:w="3671" w:type="dxa"/>
            <w:tcBorders>
              <w:top w:val="single" w:sz="4" w:space="0" w:color="auto"/>
              <w:left w:val="double" w:sz="4" w:space="0" w:color="auto"/>
              <w:bottom w:val="nil"/>
              <w:right w:val="single" w:sz="4" w:space="0" w:color="auto"/>
            </w:tcBorders>
            <w:vAlign w:val="center"/>
            <w:hideMark/>
          </w:tcPr>
          <w:p w14:paraId="0385D1E8" w14:textId="62DA2DB0" w:rsidR="00E43EEF" w:rsidRPr="006F48F0" w:rsidRDefault="00E43EEF" w:rsidP="005822F2">
            <w:pPr>
              <w:pStyle w:val="p0"/>
              <w:keepLines w:val="0"/>
              <w:spacing w:before="0"/>
              <w:jc w:val="left"/>
              <w:rPr>
                <w:rFonts w:cs="Arial"/>
                <w:b/>
                <w:color w:val="auto"/>
                <w:sz w:val="18"/>
                <w:lang w:val="es-ES"/>
              </w:rPr>
            </w:pPr>
            <w:r w:rsidRPr="006F48F0">
              <w:rPr>
                <w:rFonts w:cs="Arial"/>
                <w:b/>
                <w:color w:val="auto"/>
                <w:sz w:val="18"/>
                <w:lang w:val="es-ES"/>
              </w:rPr>
              <w:t xml:space="preserve">PIB </w:t>
            </w:r>
            <w:r w:rsidR="00166294">
              <w:rPr>
                <w:rFonts w:cs="Arial"/>
                <w:b/>
                <w:color w:val="auto"/>
                <w:sz w:val="18"/>
                <w:lang w:val="es-ES"/>
              </w:rPr>
              <w:t>t</w:t>
            </w:r>
            <w:r w:rsidRPr="006F48F0">
              <w:rPr>
                <w:rFonts w:cs="Arial"/>
                <w:b/>
                <w:color w:val="auto"/>
                <w:sz w:val="18"/>
                <w:lang w:val="es-ES"/>
              </w:rPr>
              <w:t>urístico</w:t>
            </w:r>
          </w:p>
        </w:tc>
        <w:tc>
          <w:tcPr>
            <w:tcW w:w="1559" w:type="dxa"/>
            <w:tcBorders>
              <w:top w:val="single" w:sz="4" w:space="0" w:color="auto"/>
              <w:left w:val="single" w:sz="4" w:space="0" w:color="auto"/>
              <w:bottom w:val="nil"/>
              <w:right w:val="double" w:sz="4" w:space="0" w:color="auto"/>
            </w:tcBorders>
            <w:vAlign w:val="center"/>
          </w:tcPr>
          <w:p w14:paraId="3FD2553F" w14:textId="697A06F7" w:rsidR="00E43EEF" w:rsidRPr="00241B4E" w:rsidRDefault="00761826" w:rsidP="005822F2">
            <w:pPr>
              <w:ind w:right="518"/>
              <w:jc w:val="right"/>
              <w:rPr>
                <w:rFonts w:cs="Arial"/>
                <w:b/>
                <w:sz w:val="18"/>
                <w:lang w:val="es-ES" w:eastAsia="en-US"/>
              </w:rPr>
            </w:pPr>
            <w:r>
              <w:rPr>
                <w:rFonts w:cs="Arial"/>
                <w:b/>
                <w:sz w:val="18"/>
                <w:lang w:val="es-ES" w:eastAsia="en-US"/>
              </w:rPr>
              <w:t>19.8</w:t>
            </w:r>
          </w:p>
        </w:tc>
      </w:tr>
      <w:tr w:rsidR="00E43EEF" w14:paraId="2ED490B4" w14:textId="77777777" w:rsidTr="007D6172">
        <w:trPr>
          <w:cantSplit/>
          <w:trHeight w:val="283"/>
          <w:jc w:val="center"/>
        </w:trPr>
        <w:tc>
          <w:tcPr>
            <w:tcW w:w="3671" w:type="dxa"/>
            <w:tcBorders>
              <w:top w:val="nil"/>
              <w:left w:val="double" w:sz="4" w:space="0" w:color="auto"/>
              <w:bottom w:val="nil"/>
              <w:right w:val="single" w:sz="4" w:space="0" w:color="auto"/>
            </w:tcBorders>
            <w:vAlign w:val="center"/>
            <w:hideMark/>
          </w:tcPr>
          <w:p w14:paraId="123743D4" w14:textId="77777777" w:rsidR="00E43EEF" w:rsidRDefault="00E43EEF" w:rsidP="00B4687E">
            <w:pPr>
              <w:pStyle w:val="p0"/>
              <w:keepLines w:val="0"/>
              <w:spacing w:before="0"/>
              <w:ind w:firstLine="215"/>
              <w:jc w:val="left"/>
              <w:rPr>
                <w:rFonts w:cs="Arial"/>
                <w:color w:val="auto"/>
                <w:sz w:val="18"/>
                <w:lang w:val="es-ES"/>
              </w:rPr>
            </w:pPr>
            <w:r>
              <w:rPr>
                <w:rFonts w:cs="Arial"/>
                <w:color w:val="auto"/>
                <w:sz w:val="18"/>
                <w:lang w:val="es-ES"/>
              </w:rPr>
              <w:t>Bienes</w:t>
            </w:r>
          </w:p>
        </w:tc>
        <w:tc>
          <w:tcPr>
            <w:tcW w:w="1559" w:type="dxa"/>
            <w:tcBorders>
              <w:top w:val="nil"/>
              <w:left w:val="single" w:sz="4" w:space="0" w:color="auto"/>
              <w:bottom w:val="nil"/>
              <w:right w:val="double" w:sz="4" w:space="0" w:color="auto"/>
            </w:tcBorders>
            <w:vAlign w:val="center"/>
            <w:hideMark/>
          </w:tcPr>
          <w:p w14:paraId="6D31E96B" w14:textId="59D6CE69" w:rsidR="00E43EEF" w:rsidRPr="00241B4E" w:rsidRDefault="00227905" w:rsidP="005822F2">
            <w:pPr>
              <w:ind w:right="518"/>
              <w:jc w:val="right"/>
              <w:rPr>
                <w:rFonts w:cs="Arial"/>
                <w:sz w:val="18"/>
                <w:lang w:val="es-ES" w:eastAsia="en-US"/>
              </w:rPr>
            </w:pPr>
            <w:r>
              <w:rPr>
                <w:rFonts w:cs="Arial"/>
                <w:sz w:val="18"/>
                <w:lang w:val="es-ES" w:eastAsia="en-US"/>
              </w:rPr>
              <w:t>1</w:t>
            </w:r>
            <w:r w:rsidR="00761826">
              <w:rPr>
                <w:rFonts w:cs="Arial"/>
                <w:sz w:val="18"/>
                <w:lang w:val="es-ES" w:eastAsia="en-US"/>
              </w:rPr>
              <w:t>1.4</w:t>
            </w:r>
          </w:p>
        </w:tc>
      </w:tr>
      <w:tr w:rsidR="00E43EEF" w14:paraId="27681461" w14:textId="77777777" w:rsidTr="007D6172">
        <w:trPr>
          <w:cantSplit/>
          <w:trHeight w:val="283"/>
          <w:jc w:val="center"/>
        </w:trPr>
        <w:tc>
          <w:tcPr>
            <w:tcW w:w="3671" w:type="dxa"/>
            <w:tcBorders>
              <w:top w:val="nil"/>
              <w:left w:val="double" w:sz="4" w:space="0" w:color="auto"/>
              <w:bottom w:val="nil"/>
              <w:right w:val="single" w:sz="4" w:space="0" w:color="auto"/>
            </w:tcBorders>
            <w:vAlign w:val="center"/>
            <w:hideMark/>
          </w:tcPr>
          <w:p w14:paraId="2BC01359" w14:textId="77777777" w:rsidR="00E43EEF" w:rsidRDefault="00E43EEF" w:rsidP="005822F2">
            <w:pPr>
              <w:pStyle w:val="p0"/>
              <w:keepLines w:val="0"/>
              <w:spacing w:before="0"/>
              <w:ind w:firstLine="214"/>
              <w:jc w:val="left"/>
              <w:rPr>
                <w:rFonts w:cs="Arial"/>
                <w:color w:val="auto"/>
                <w:sz w:val="18"/>
                <w:lang w:val="es-ES"/>
              </w:rPr>
            </w:pPr>
            <w:r>
              <w:rPr>
                <w:rFonts w:cs="Arial"/>
                <w:color w:val="auto"/>
                <w:sz w:val="18"/>
                <w:lang w:val="es-ES"/>
              </w:rPr>
              <w:t>Servicios</w:t>
            </w:r>
          </w:p>
        </w:tc>
        <w:tc>
          <w:tcPr>
            <w:tcW w:w="1559" w:type="dxa"/>
            <w:tcBorders>
              <w:top w:val="nil"/>
              <w:left w:val="single" w:sz="4" w:space="0" w:color="auto"/>
              <w:bottom w:val="nil"/>
              <w:right w:val="double" w:sz="4" w:space="0" w:color="auto"/>
            </w:tcBorders>
            <w:vAlign w:val="center"/>
            <w:hideMark/>
          </w:tcPr>
          <w:p w14:paraId="02B2FB87" w14:textId="3E93A0DA" w:rsidR="00E43EEF" w:rsidRPr="00241B4E" w:rsidRDefault="00241B4E" w:rsidP="005822F2">
            <w:pPr>
              <w:ind w:right="518"/>
              <w:jc w:val="right"/>
              <w:rPr>
                <w:rFonts w:cs="Arial"/>
                <w:sz w:val="18"/>
                <w:lang w:val="es-ES" w:eastAsia="en-US"/>
              </w:rPr>
            </w:pPr>
            <w:r>
              <w:rPr>
                <w:rFonts w:cs="Arial"/>
                <w:sz w:val="18"/>
                <w:lang w:val="es-ES" w:eastAsia="en-US"/>
              </w:rPr>
              <w:t>2</w:t>
            </w:r>
            <w:r w:rsidR="00761826">
              <w:rPr>
                <w:rFonts w:cs="Arial"/>
                <w:sz w:val="18"/>
                <w:lang w:val="es-ES" w:eastAsia="en-US"/>
              </w:rPr>
              <w:t>1.2</w:t>
            </w:r>
          </w:p>
        </w:tc>
      </w:tr>
      <w:tr w:rsidR="00E43EEF" w14:paraId="73F8F6C1" w14:textId="77777777" w:rsidTr="007D6172">
        <w:trPr>
          <w:cantSplit/>
          <w:trHeight w:val="283"/>
          <w:jc w:val="center"/>
        </w:trPr>
        <w:tc>
          <w:tcPr>
            <w:tcW w:w="3671" w:type="dxa"/>
            <w:tcBorders>
              <w:top w:val="nil"/>
              <w:left w:val="double" w:sz="4" w:space="0" w:color="auto"/>
              <w:bottom w:val="nil"/>
              <w:right w:val="single" w:sz="4" w:space="0" w:color="auto"/>
            </w:tcBorders>
            <w:vAlign w:val="center"/>
            <w:hideMark/>
          </w:tcPr>
          <w:p w14:paraId="5EE298C4" w14:textId="70C74D7F" w:rsidR="00E43EEF" w:rsidRPr="006F48F0" w:rsidRDefault="00E43EEF" w:rsidP="005822F2">
            <w:pPr>
              <w:pStyle w:val="p0"/>
              <w:keepLines w:val="0"/>
              <w:spacing w:before="0"/>
              <w:jc w:val="left"/>
              <w:rPr>
                <w:rFonts w:cs="Arial"/>
                <w:b/>
                <w:color w:val="auto"/>
                <w:sz w:val="18"/>
                <w:lang w:val="es-ES"/>
              </w:rPr>
            </w:pPr>
            <w:r w:rsidRPr="006F48F0">
              <w:rPr>
                <w:rFonts w:cs="Arial"/>
                <w:b/>
                <w:color w:val="auto"/>
                <w:sz w:val="18"/>
                <w:lang w:val="es-ES"/>
              </w:rPr>
              <w:t xml:space="preserve">Consumo </w:t>
            </w:r>
            <w:r w:rsidR="00166294">
              <w:rPr>
                <w:rFonts w:cs="Arial"/>
                <w:b/>
                <w:color w:val="auto"/>
                <w:sz w:val="18"/>
                <w:lang w:val="es-ES"/>
              </w:rPr>
              <w:t>t</w:t>
            </w:r>
            <w:r w:rsidRPr="006F48F0">
              <w:rPr>
                <w:rFonts w:cs="Arial"/>
                <w:b/>
                <w:color w:val="auto"/>
                <w:sz w:val="18"/>
                <w:lang w:val="es-ES"/>
              </w:rPr>
              <w:t xml:space="preserve">urístico </w:t>
            </w:r>
            <w:r w:rsidR="00166294">
              <w:rPr>
                <w:rFonts w:cs="Arial"/>
                <w:b/>
                <w:color w:val="auto"/>
                <w:sz w:val="18"/>
                <w:lang w:val="es-ES"/>
              </w:rPr>
              <w:t>i</w:t>
            </w:r>
            <w:r w:rsidRPr="006F48F0">
              <w:rPr>
                <w:rFonts w:cs="Arial"/>
                <w:b/>
                <w:color w:val="auto"/>
                <w:sz w:val="18"/>
                <w:lang w:val="es-ES"/>
              </w:rPr>
              <w:t>nterior</w:t>
            </w:r>
          </w:p>
        </w:tc>
        <w:tc>
          <w:tcPr>
            <w:tcW w:w="1559" w:type="dxa"/>
            <w:tcBorders>
              <w:top w:val="nil"/>
              <w:left w:val="single" w:sz="4" w:space="0" w:color="auto"/>
              <w:bottom w:val="nil"/>
              <w:right w:val="double" w:sz="4" w:space="0" w:color="auto"/>
            </w:tcBorders>
            <w:vAlign w:val="center"/>
          </w:tcPr>
          <w:p w14:paraId="360B8BA5" w14:textId="6511989B" w:rsidR="00E43EEF" w:rsidRPr="00241B4E" w:rsidRDefault="00761826" w:rsidP="005822F2">
            <w:pPr>
              <w:ind w:right="518"/>
              <w:jc w:val="right"/>
              <w:rPr>
                <w:rFonts w:cs="Arial"/>
                <w:b/>
                <w:sz w:val="18"/>
                <w:lang w:val="es-ES" w:eastAsia="en-US"/>
              </w:rPr>
            </w:pPr>
            <w:r>
              <w:rPr>
                <w:rFonts w:cs="Arial"/>
                <w:b/>
                <w:sz w:val="18"/>
                <w:lang w:val="es-ES" w:eastAsia="en-US"/>
              </w:rPr>
              <w:t>21.6</w:t>
            </w:r>
          </w:p>
        </w:tc>
      </w:tr>
      <w:tr w:rsidR="00E43EEF" w14:paraId="3A11ADAC" w14:textId="77777777" w:rsidTr="007D6172">
        <w:trPr>
          <w:cantSplit/>
          <w:trHeight w:val="283"/>
          <w:jc w:val="center"/>
        </w:trPr>
        <w:tc>
          <w:tcPr>
            <w:tcW w:w="3671" w:type="dxa"/>
            <w:tcBorders>
              <w:top w:val="nil"/>
              <w:left w:val="double" w:sz="4" w:space="0" w:color="auto"/>
              <w:right w:val="single" w:sz="4" w:space="0" w:color="auto"/>
            </w:tcBorders>
            <w:vAlign w:val="center"/>
          </w:tcPr>
          <w:p w14:paraId="311F44B2" w14:textId="77777777" w:rsidR="00E43EEF" w:rsidRPr="00053A68" w:rsidRDefault="00E43EEF" w:rsidP="005822F2">
            <w:pPr>
              <w:pStyle w:val="p0"/>
              <w:keepLines w:val="0"/>
              <w:spacing w:before="0"/>
              <w:ind w:firstLine="214"/>
              <w:jc w:val="left"/>
              <w:rPr>
                <w:rFonts w:cs="Arial"/>
                <w:color w:val="auto"/>
                <w:sz w:val="18"/>
                <w:lang w:val="es-ES"/>
              </w:rPr>
            </w:pPr>
            <w:r w:rsidRPr="002D5B11">
              <w:rPr>
                <w:rFonts w:cs="Arial"/>
                <w:color w:val="auto"/>
                <w:sz w:val="18"/>
                <w:lang w:val="es-ES"/>
              </w:rPr>
              <w:t>Interno</w:t>
            </w:r>
          </w:p>
        </w:tc>
        <w:tc>
          <w:tcPr>
            <w:tcW w:w="1559" w:type="dxa"/>
            <w:tcBorders>
              <w:top w:val="nil"/>
              <w:left w:val="single" w:sz="4" w:space="0" w:color="auto"/>
              <w:right w:val="double" w:sz="4" w:space="0" w:color="auto"/>
            </w:tcBorders>
            <w:vAlign w:val="center"/>
          </w:tcPr>
          <w:p w14:paraId="179B40CD" w14:textId="1C8CF003" w:rsidR="00E43EEF" w:rsidRPr="00241B4E" w:rsidRDefault="00227905" w:rsidP="005822F2">
            <w:pPr>
              <w:ind w:right="518"/>
              <w:jc w:val="right"/>
              <w:rPr>
                <w:rFonts w:cs="Arial"/>
                <w:sz w:val="18"/>
                <w:lang w:val="es-ES"/>
              </w:rPr>
            </w:pPr>
            <w:r>
              <w:rPr>
                <w:rFonts w:cs="Arial"/>
                <w:sz w:val="18"/>
                <w:lang w:val="es-ES"/>
              </w:rPr>
              <w:t>1</w:t>
            </w:r>
            <w:r w:rsidR="00761826">
              <w:rPr>
                <w:rFonts w:cs="Arial"/>
                <w:sz w:val="18"/>
                <w:lang w:val="es-ES"/>
              </w:rPr>
              <w:t>8.7</w:t>
            </w:r>
          </w:p>
        </w:tc>
      </w:tr>
      <w:tr w:rsidR="00E43EEF" w14:paraId="2FFFA403" w14:textId="77777777" w:rsidTr="007D6172">
        <w:trPr>
          <w:cantSplit/>
          <w:trHeight w:val="283"/>
          <w:jc w:val="center"/>
        </w:trPr>
        <w:tc>
          <w:tcPr>
            <w:tcW w:w="3671" w:type="dxa"/>
            <w:tcBorders>
              <w:top w:val="nil"/>
              <w:left w:val="double" w:sz="4" w:space="0" w:color="auto"/>
              <w:bottom w:val="double" w:sz="4" w:space="0" w:color="auto"/>
              <w:right w:val="single" w:sz="4" w:space="0" w:color="auto"/>
            </w:tcBorders>
            <w:vAlign w:val="center"/>
          </w:tcPr>
          <w:p w14:paraId="534077F9" w14:textId="77777777" w:rsidR="00E43EEF" w:rsidRDefault="00E43EEF" w:rsidP="005822F2">
            <w:pPr>
              <w:pStyle w:val="p0"/>
              <w:keepLines w:val="0"/>
              <w:spacing w:before="0"/>
              <w:ind w:firstLine="214"/>
              <w:jc w:val="left"/>
              <w:rPr>
                <w:rFonts w:cs="Arial"/>
                <w:color w:val="auto"/>
                <w:sz w:val="18"/>
                <w:lang w:val="es-ES"/>
              </w:rPr>
            </w:pPr>
            <w:r>
              <w:rPr>
                <w:rFonts w:cs="Arial"/>
                <w:color w:val="auto"/>
                <w:sz w:val="18"/>
                <w:lang w:val="es-ES"/>
              </w:rPr>
              <w:t>Receptivo</w:t>
            </w:r>
          </w:p>
        </w:tc>
        <w:tc>
          <w:tcPr>
            <w:tcW w:w="1559" w:type="dxa"/>
            <w:tcBorders>
              <w:top w:val="nil"/>
              <w:left w:val="single" w:sz="4" w:space="0" w:color="auto"/>
              <w:bottom w:val="double" w:sz="4" w:space="0" w:color="auto"/>
              <w:right w:val="double" w:sz="4" w:space="0" w:color="auto"/>
            </w:tcBorders>
            <w:vAlign w:val="center"/>
          </w:tcPr>
          <w:p w14:paraId="6B477926" w14:textId="100106D0" w:rsidR="00E43EEF" w:rsidRPr="00241B4E" w:rsidRDefault="00761826" w:rsidP="005822F2">
            <w:pPr>
              <w:ind w:right="518"/>
              <w:jc w:val="right"/>
              <w:rPr>
                <w:rFonts w:cs="Arial"/>
                <w:sz w:val="18"/>
                <w:lang w:val="es-ES"/>
              </w:rPr>
            </w:pPr>
            <w:r>
              <w:rPr>
                <w:rFonts w:cs="Arial"/>
                <w:sz w:val="18"/>
                <w:lang w:val="es-ES"/>
              </w:rPr>
              <w:t>34.0</w:t>
            </w:r>
          </w:p>
        </w:tc>
      </w:tr>
    </w:tbl>
    <w:p w14:paraId="1ED2B237" w14:textId="477319C0" w:rsidR="00894A51" w:rsidRDefault="00EA02E6" w:rsidP="005822F2">
      <w:pPr>
        <w:pStyle w:val="n01"/>
        <w:keepLines w:val="0"/>
        <w:widowControl w:val="0"/>
        <w:spacing w:before="0"/>
        <w:ind w:left="2212" w:firstLine="0"/>
        <w:contextualSpacing/>
        <w:outlineLvl w:val="0"/>
        <w:rPr>
          <w:rFonts w:ascii="Arial" w:hAnsi="Arial" w:cs="Arial"/>
          <w:color w:val="auto"/>
          <w:sz w:val="16"/>
          <w:szCs w:val="16"/>
        </w:rPr>
      </w:pPr>
      <w:r w:rsidRPr="007D6172">
        <w:rPr>
          <w:rFonts w:ascii="Arial" w:hAnsi="Arial" w:cs="Arial"/>
          <w:color w:val="auto"/>
          <w:sz w:val="18"/>
          <w:szCs w:val="18"/>
          <w:vertAlign w:val="superscript"/>
        </w:rPr>
        <w:t>p/</w:t>
      </w:r>
      <w:r>
        <w:rPr>
          <w:rFonts w:ascii="Arial" w:hAnsi="Arial" w:cs="Arial"/>
          <w:color w:val="auto"/>
          <w:sz w:val="16"/>
          <w:szCs w:val="16"/>
        </w:rPr>
        <w:t xml:space="preserve"> Cifras preliminar</w:t>
      </w:r>
      <w:r w:rsidR="00BE1879">
        <w:rPr>
          <w:rFonts w:ascii="Arial" w:hAnsi="Arial" w:cs="Arial"/>
          <w:color w:val="auto"/>
          <w:sz w:val="16"/>
          <w:szCs w:val="16"/>
        </w:rPr>
        <w:t>es</w:t>
      </w:r>
    </w:p>
    <w:p w14:paraId="2D5B7BB1" w14:textId="7C6EF327" w:rsidR="00445596" w:rsidRPr="00894A51" w:rsidRDefault="00F04141" w:rsidP="005822F2">
      <w:pPr>
        <w:pStyle w:val="n01"/>
        <w:keepLines w:val="0"/>
        <w:widowControl w:val="0"/>
        <w:spacing w:before="0"/>
        <w:ind w:left="2212" w:firstLine="0"/>
        <w:contextualSpacing/>
        <w:outlineLvl w:val="0"/>
        <w:rPr>
          <w:rFonts w:ascii="Arial" w:hAnsi="Arial" w:cs="Arial"/>
          <w:color w:val="auto"/>
          <w:sz w:val="16"/>
          <w:szCs w:val="16"/>
        </w:rPr>
      </w:pPr>
      <w:r w:rsidRPr="00560786">
        <w:rPr>
          <w:rFonts w:ascii="Arial" w:hAnsi="Arial" w:cs="Arial"/>
          <w:color w:val="auto"/>
          <w:sz w:val="16"/>
          <w:szCs w:val="16"/>
        </w:rPr>
        <w:t>Fuente: INEGI</w:t>
      </w:r>
    </w:p>
    <w:p w14:paraId="29A4F092" w14:textId="376FA87E" w:rsidR="00444DE7" w:rsidRDefault="00444DE7">
      <w:pPr>
        <w:widowControl/>
        <w:rPr>
          <w:b/>
          <w:i/>
        </w:rPr>
      </w:pPr>
      <w:r>
        <w:rPr>
          <w:b/>
          <w:i/>
        </w:rPr>
        <w:br w:type="page"/>
      </w:r>
    </w:p>
    <w:p w14:paraId="61DC895F" w14:textId="1B4A9C76" w:rsidR="00D41962" w:rsidRPr="00024272" w:rsidRDefault="00D41962" w:rsidP="00C3066E">
      <w:pPr>
        <w:pStyle w:val="p0"/>
        <w:spacing w:before="0"/>
        <w:rPr>
          <w:b/>
          <w:iCs/>
          <w:color w:val="auto"/>
        </w:rPr>
      </w:pPr>
      <w:r w:rsidRPr="00024272">
        <w:rPr>
          <w:b/>
          <w:iCs/>
          <w:color w:val="auto"/>
        </w:rPr>
        <w:lastRenderedPageBreak/>
        <w:t xml:space="preserve">Nota al </w:t>
      </w:r>
      <w:r w:rsidR="0077014C" w:rsidRPr="00024272">
        <w:rPr>
          <w:b/>
          <w:iCs/>
          <w:color w:val="auto"/>
        </w:rPr>
        <w:t>u</w:t>
      </w:r>
      <w:r w:rsidRPr="00024272">
        <w:rPr>
          <w:b/>
          <w:iCs/>
          <w:color w:val="auto"/>
        </w:rPr>
        <w:t>suario</w:t>
      </w:r>
    </w:p>
    <w:p w14:paraId="02AAAE48" w14:textId="59A84DB4" w:rsidR="00561F0C" w:rsidRPr="00561F0C" w:rsidRDefault="00561F0C" w:rsidP="00561F0C">
      <w:pPr>
        <w:spacing w:before="240"/>
        <w:jc w:val="both"/>
        <w:rPr>
          <w:szCs w:val="18"/>
        </w:rPr>
      </w:pPr>
      <w:r w:rsidRPr="00561F0C">
        <w:rPr>
          <w:szCs w:val="18"/>
        </w:rPr>
        <w:t xml:space="preserve">Este indicador se actualiza una vez que se dispone de la información estadística trimestral del Sistema de Cuentas Nacionales de México (SCNM) y de la Cuenta Satélite del Turismo de México (CSTM) 2020. Como resultado de incorporar dicha información, se identifican diferencias en los niveles de los índices y variaciones que </w:t>
      </w:r>
      <w:r>
        <w:rPr>
          <w:szCs w:val="18"/>
        </w:rPr>
        <w:t>fueron publicados</w:t>
      </w:r>
      <w:r w:rsidRPr="00561F0C">
        <w:rPr>
          <w:szCs w:val="18"/>
        </w:rPr>
        <w:t xml:space="preserve">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5E411AB6" w14:textId="51F3E158" w:rsidR="00561F0C" w:rsidRPr="0020266D" w:rsidRDefault="00561F0C" w:rsidP="00561F0C">
      <w:pPr>
        <w:spacing w:before="240"/>
        <w:jc w:val="both"/>
        <w:rPr>
          <w:rFonts w:eastAsiaTheme="minorEastAsia" w:cs="Arial"/>
          <w:snapToGrid/>
          <w:color w:val="000000"/>
          <w:szCs w:val="24"/>
          <w:lang w:val="es-ES"/>
        </w:rPr>
      </w:pPr>
      <w:r w:rsidRPr="00561F0C">
        <w:rPr>
          <w:szCs w:val="18"/>
        </w:rPr>
        <w:t xml:space="preserve">La tasa de no respuesta en la captación de las encuestas económicas que se consideraron para la integración de los Indicadores Trimestrales de la Actividad Turística (ITAT) en el segundo trimestre de 2022 registró porcentajes apropiados de acuerdo con el diseño estadístico de las muestras. </w:t>
      </w:r>
      <w:r>
        <w:rPr>
          <w:szCs w:val="18"/>
        </w:rPr>
        <w:t>L</w:t>
      </w:r>
      <w:r w:rsidRPr="00561F0C">
        <w:rPr>
          <w:szCs w:val="18"/>
        </w:rPr>
        <w:t>a captación de los registros administrativos y los datos primarios que divulga el Instituto permitió la generación de estadísticas con niveles altos de cobertura y precisión.</w:t>
      </w:r>
    </w:p>
    <w:p w14:paraId="15F1452C" w14:textId="2CA94A99" w:rsidR="00F57743" w:rsidRPr="00F57743" w:rsidRDefault="00BD0FB5" w:rsidP="005822F2">
      <w:pPr>
        <w:pStyle w:val="Default"/>
        <w:spacing w:before="240"/>
        <w:jc w:val="both"/>
        <w:rPr>
          <w:rFonts w:eastAsia="Times New Roman" w:cs="Times New Roman"/>
          <w:snapToGrid w:val="0"/>
          <w:color w:val="auto"/>
          <w:szCs w:val="20"/>
          <w:lang w:val="es-ES_tradnl"/>
        </w:rPr>
      </w:pPr>
      <w:r w:rsidRPr="00EB6FA2">
        <w:t>Por otra parte, se informa que las cifras desestacionalizadas y de tendencia-ciclo pueden estar sujetas a revisiones importantes debido al impacto inusual derivado de la emergencia sanitaria de</w:t>
      </w:r>
      <w:r w:rsidR="003D37F6">
        <w:t xml:space="preserve"> la</w:t>
      </w:r>
      <w:r w:rsidRPr="00EB6FA2">
        <w:t xml:space="preserve"> COVID-19. La estrategia seguida por el </w:t>
      </w:r>
      <w:r w:rsidR="00BE227A" w:rsidRPr="00561F0C">
        <w:rPr>
          <w:szCs w:val="18"/>
        </w:rPr>
        <w:t>Instituto Nacional de Estadística y Geografía</w:t>
      </w:r>
      <w:r w:rsidR="00BE227A" w:rsidRPr="00EB6FA2">
        <w:t xml:space="preserve"> </w:t>
      </w:r>
      <w:r w:rsidR="00BE227A">
        <w:t>(</w:t>
      </w:r>
      <w:r w:rsidRPr="00EB6FA2">
        <w:t>INEGI</w:t>
      </w:r>
      <w:r w:rsidR="00BE227A">
        <w:t>)</w:t>
      </w:r>
      <w:r w:rsidRPr="00EB6FA2">
        <w:t xml:space="preserve"> ha sido revisar de manera particular cada serie de tiempo y analizar la necesidad de incluir algún tratamiento especial</w:t>
      </w:r>
      <w:r w:rsidR="003D37F6">
        <w:t xml:space="preserve">, como el de </w:t>
      </w:r>
      <w:proofErr w:type="spellStart"/>
      <w:r w:rsidR="0077014C">
        <w:rPr>
          <w:i/>
          <w:iCs/>
        </w:rPr>
        <w:t>O</w:t>
      </w:r>
      <w:r w:rsidRPr="006C14B3">
        <w:rPr>
          <w:i/>
          <w:iCs/>
        </w:rPr>
        <w:t>utliers</w:t>
      </w:r>
      <w:proofErr w:type="spellEnd"/>
      <w:r w:rsidR="0077014C">
        <w:rPr>
          <w:i/>
          <w:iCs/>
        </w:rPr>
        <w:t>,</w:t>
      </w:r>
      <w:r w:rsidRPr="00EB6FA2">
        <w:t xml:space="preserve"> en los modelos de ajuste estacional para los meses de la contingencia. Lo anterior con el objetivo de que los grandes cambios en las cifras originales no influyan de manera desproporcionada en los factores estacionales utilizados.</w:t>
      </w:r>
    </w:p>
    <w:p w14:paraId="2DD2CF54" w14:textId="77777777" w:rsidR="000F5912" w:rsidRPr="00024272" w:rsidRDefault="000F5912" w:rsidP="006E216B">
      <w:pPr>
        <w:pStyle w:val="p0"/>
        <w:spacing w:before="360"/>
        <w:rPr>
          <w:b/>
          <w:iCs/>
          <w:color w:val="auto"/>
        </w:rPr>
      </w:pPr>
      <w:r w:rsidRPr="00024272">
        <w:rPr>
          <w:b/>
          <w:iCs/>
          <w:color w:val="auto"/>
        </w:rPr>
        <w:t>Nota metodológica</w:t>
      </w:r>
    </w:p>
    <w:p w14:paraId="17BB1430" w14:textId="4D92D6CE" w:rsidR="003A4C45" w:rsidRPr="00BD0FB5" w:rsidRDefault="000F5912" w:rsidP="003A4C45">
      <w:pPr>
        <w:pStyle w:val="Default"/>
        <w:spacing w:before="240"/>
        <w:jc w:val="both"/>
        <w:rPr>
          <w:color w:val="auto"/>
        </w:rPr>
      </w:pPr>
      <w:r w:rsidRPr="00CF29C1">
        <w:rPr>
          <w:rFonts w:eastAsia="Times New Roman" w:cs="Times New Roman"/>
          <w:snapToGrid w:val="0"/>
          <w:color w:val="auto"/>
          <w:szCs w:val="20"/>
          <w:lang w:val="es-ES_tradnl"/>
        </w:rPr>
        <w:t xml:space="preserve">Para la estimación </w:t>
      </w:r>
      <w:r w:rsidR="00FD7965">
        <w:rPr>
          <w:rFonts w:eastAsia="Times New Roman" w:cs="Times New Roman"/>
          <w:snapToGrid w:val="0"/>
          <w:color w:val="auto"/>
          <w:szCs w:val="20"/>
          <w:lang w:val="es-ES_tradnl"/>
        </w:rPr>
        <w:t xml:space="preserve">de los </w:t>
      </w:r>
      <w:r w:rsidRPr="00CF29C1">
        <w:rPr>
          <w:rFonts w:eastAsia="Times New Roman" w:cs="Times New Roman"/>
          <w:snapToGrid w:val="0"/>
          <w:color w:val="auto"/>
          <w:szCs w:val="20"/>
          <w:lang w:val="es-ES_tradnl"/>
        </w:rPr>
        <w:t>ITAT se aprovecha, fundamentalmente, la información anual de la CSTM</w:t>
      </w:r>
      <w:r w:rsidR="009A6BE7">
        <w:rPr>
          <w:rFonts w:eastAsia="Times New Roman" w:cs="Times New Roman"/>
          <w:snapToGrid w:val="0"/>
          <w:color w:val="auto"/>
          <w:szCs w:val="20"/>
          <w:lang w:val="es-ES_tradnl"/>
        </w:rPr>
        <w:t xml:space="preserve">. Esta cuenta se </w:t>
      </w:r>
      <w:r w:rsidRPr="00CF29C1">
        <w:rPr>
          <w:rFonts w:eastAsia="Times New Roman" w:cs="Times New Roman"/>
          <w:snapToGrid w:val="0"/>
          <w:color w:val="auto"/>
          <w:szCs w:val="20"/>
          <w:lang w:val="es-ES_tradnl"/>
        </w:rPr>
        <w:t>desagreg</w:t>
      </w:r>
      <w:r w:rsidR="009A6BE7">
        <w:rPr>
          <w:rFonts w:eastAsia="Times New Roman" w:cs="Times New Roman"/>
          <w:snapToGrid w:val="0"/>
          <w:color w:val="auto"/>
          <w:szCs w:val="20"/>
          <w:lang w:val="es-ES_tradnl"/>
        </w:rPr>
        <w:t>a</w:t>
      </w:r>
      <w:r w:rsidRPr="00CF29C1">
        <w:rPr>
          <w:rFonts w:eastAsia="Times New Roman" w:cs="Times New Roman"/>
          <w:snapToGrid w:val="0"/>
          <w:color w:val="auto"/>
          <w:szCs w:val="20"/>
          <w:lang w:val="es-ES_tradnl"/>
        </w:rPr>
        <w:t xml:space="preserve"> a partir del uso de índices relativos simples que captan la estructura de los datos trimestrales seleccionados del SCNM, </w:t>
      </w:r>
      <w:r w:rsidR="003A4C45">
        <w:rPr>
          <w:rFonts w:eastAsia="Times New Roman" w:cs="Times New Roman"/>
          <w:snapToGrid w:val="0"/>
          <w:color w:val="auto"/>
          <w:szCs w:val="20"/>
          <w:lang w:val="es-ES_tradnl"/>
        </w:rPr>
        <w:t>en particular,</w:t>
      </w:r>
      <w:r w:rsidRPr="00CF29C1">
        <w:rPr>
          <w:rFonts w:eastAsia="Times New Roman" w:cs="Times New Roman"/>
          <w:snapToGrid w:val="0"/>
          <w:color w:val="auto"/>
          <w:szCs w:val="20"/>
          <w:lang w:val="es-ES_tradnl"/>
        </w:rPr>
        <w:t xml:space="preserve"> de la Oferta y Demanda Global de Bienes y Servicios.</w:t>
      </w:r>
      <w:r w:rsidR="003A4C45" w:rsidRPr="003A4C45">
        <w:rPr>
          <w:color w:val="auto"/>
        </w:rPr>
        <w:t xml:space="preserve"> </w:t>
      </w:r>
      <w:r w:rsidR="003A4C45" w:rsidRPr="00CF29C1">
        <w:rPr>
          <w:color w:val="auto"/>
        </w:rPr>
        <w:t xml:space="preserve">La CSTM proporciona </w:t>
      </w:r>
      <w:r w:rsidR="003A4C45">
        <w:rPr>
          <w:color w:val="auto"/>
        </w:rPr>
        <w:t>información</w:t>
      </w:r>
      <w:r w:rsidR="003A4C45" w:rsidRPr="00CF29C1">
        <w:rPr>
          <w:color w:val="auto"/>
        </w:rPr>
        <w:t xml:space="preserve"> a precios básicos. Una vez elabora</w:t>
      </w:r>
      <w:r w:rsidR="003A4C45">
        <w:rPr>
          <w:color w:val="auto"/>
        </w:rPr>
        <w:t>da</w:t>
      </w:r>
      <w:r w:rsidR="003A4C45" w:rsidRPr="00CF29C1">
        <w:rPr>
          <w:color w:val="auto"/>
        </w:rPr>
        <w:t xml:space="preserve"> la cuenta de producción, se determina el PIB turístico trimestral y se transforman los valores en índices.</w:t>
      </w:r>
      <w:r w:rsidR="003A4C45" w:rsidRPr="00CF29C1">
        <w:t xml:space="preserve"> El ejercicio para determinar la variación trimestral anualizada de dichos índices es el que permite la derivación de</w:t>
      </w:r>
      <w:r w:rsidR="003A4C45">
        <w:t xml:space="preserve"> </w:t>
      </w:r>
      <w:r w:rsidR="003A4C45" w:rsidRPr="00CF29C1">
        <w:t>l</w:t>
      </w:r>
      <w:r w:rsidR="003A4C45">
        <w:t>os</w:t>
      </w:r>
      <w:r w:rsidR="003A4C45" w:rsidRPr="00CF29C1">
        <w:t xml:space="preserve"> ITAT</w:t>
      </w:r>
      <w:r w:rsidR="003A4C45" w:rsidRPr="00CF29C1">
        <w:rPr>
          <w:rStyle w:val="Refdecomentario"/>
        </w:rPr>
        <w:t>.</w:t>
      </w:r>
    </w:p>
    <w:p w14:paraId="5FE73239" w14:textId="4FBEF3F4" w:rsidR="003A4C45" w:rsidRPr="00CF29C1" w:rsidRDefault="000F5912" w:rsidP="003A4C45">
      <w:pPr>
        <w:pStyle w:val="Default"/>
        <w:keepLines/>
        <w:spacing w:before="240"/>
        <w:jc w:val="both"/>
        <w:rPr>
          <w:color w:val="auto"/>
          <w:lang w:val="es-MX"/>
        </w:rPr>
      </w:pPr>
      <w:r w:rsidRPr="00CF29C1">
        <w:rPr>
          <w:color w:val="auto"/>
        </w:rPr>
        <w:lastRenderedPageBreak/>
        <w:t>Los resultados trimestrales del PIB turístico se comparan con la información anual de la CSTM para ajustar los datos de alta frecuencia (trimestrales) a los de baja frecuencia (valor anual)</w:t>
      </w:r>
      <w:r w:rsidR="003A4C45">
        <w:rPr>
          <w:color w:val="auto"/>
        </w:rPr>
        <w:t xml:space="preserve">. Para lo anterior se utiliza </w:t>
      </w:r>
      <w:r w:rsidRPr="00CF29C1">
        <w:rPr>
          <w:color w:val="auto"/>
        </w:rPr>
        <w:t xml:space="preserve">la técnica </w:t>
      </w:r>
      <w:r w:rsidRPr="00783FE4">
        <w:rPr>
          <w:color w:val="auto"/>
        </w:rPr>
        <w:t>Denton</w:t>
      </w:r>
      <w:r w:rsidR="003A00F6">
        <w:rPr>
          <w:color w:val="auto"/>
        </w:rPr>
        <w:t>.</w:t>
      </w:r>
      <w:r w:rsidRPr="00CF29C1">
        <w:rPr>
          <w:color w:val="auto"/>
          <w:vertAlign w:val="superscript"/>
        </w:rPr>
        <w:footnoteReference w:id="3"/>
      </w:r>
      <w:r w:rsidR="003A4C45" w:rsidRPr="003A4C45">
        <w:rPr>
          <w:color w:val="auto"/>
        </w:rPr>
        <w:t xml:space="preserve"> </w:t>
      </w:r>
      <w:r w:rsidR="003A4C45" w:rsidRPr="00CF29C1">
        <w:rPr>
          <w:color w:val="auto"/>
        </w:rPr>
        <w:t xml:space="preserve">Los datos se presentan en cuadros de </w:t>
      </w:r>
      <w:r w:rsidR="003A4C45">
        <w:rPr>
          <w:color w:val="auto"/>
        </w:rPr>
        <w:t>í</w:t>
      </w:r>
      <w:r w:rsidR="003A4C45" w:rsidRPr="00CF29C1">
        <w:rPr>
          <w:color w:val="auto"/>
        </w:rPr>
        <w:t>ndices del Consumo Turístico Interior (CTI)</w:t>
      </w:r>
      <w:r w:rsidR="003A4C45">
        <w:rPr>
          <w:color w:val="auto"/>
        </w:rPr>
        <w:t xml:space="preserve">. Este </w:t>
      </w:r>
      <w:r w:rsidR="003A4C45" w:rsidRPr="00CF29C1">
        <w:rPr>
          <w:color w:val="auto"/>
        </w:rPr>
        <w:t xml:space="preserve">se define como los gastos que realizan </w:t>
      </w:r>
      <w:r w:rsidR="003A4C45">
        <w:rPr>
          <w:color w:val="auto"/>
        </w:rPr>
        <w:t xml:space="preserve">las y </w:t>
      </w:r>
      <w:r w:rsidR="003A4C45" w:rsidRPr="00CF29C1">
        <w:rPr>
          <w:color w:val="auto"/>
        </w:rPr>
        <w:t xml:space="preserve">los turistas en sus viajes </w:t>
      </w:r>
      <w:r w:rsidR="003A4C45">
        <w:rPr>
          <w:color w:val="auto"/>
        </w:rPr>
        <w:t xml:space="preserve">dentro del país y muestra </w:t>
      </w:r>
      <w:r w:rsidR="003A4C45" w:rsidRPr="00CF29C1">
        <w:rPr>
          <w:color w:val="auto"/>
        </w:rPr>
        <w:t>la apertura del Consumo Turístico Interno (</w:t>
      </w:r>
      <w:proofErr w:type="spellStart"/>
      <w:r w:rsidR="003A4C45" w:rsidRPr="00CF29C1">
        <w:rPr>
          <w:color w:val="auto"/>
        </w:rPr>
        <w:t>CTIn</w:t>
      </w:r>
      <w:proofErr w:type="spellEnd"/>
      <w:r w:rsidR="003A4C45" w:rsidRPr="00CF29C1">
        <w:rPr>
          <w:color w:val="auto"/>
        </w:rPr>
        <w:t>) y el Consumo Turístico Receptivo (CTR).</w:t>
      </w:r>
    </w:p>
    <w:p w14:paraId="52649725" w14:textId="77777777" w:rsidR="00024272" w:rsidRPr="00F25EC7" w:rsidRDefault="00024272" w:rsidP="00024272">
      <w:pPr>
        <w:pStyle w:val="p0"/>
        <w:keepLines w:val="0"/>
        <w:widowControl/>
        <w:spacing w:before="200"/>
        <w:ind w:right="51"/>
        <w:rPr>
          <w:color w:val="auto"/>
        </w:rPr>
      </w:pPr>
      <w:r w:rsidRPr="00F25EC7">
        <w:rPr>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780751BC" w14:textId="48FE1624" w:rsidR="00024272" w:rsidRPr="00F25EC7" w:rsidRDefault="00024272" w:rsidP="00024272">
      <w:pPr>
        <w:spacing w:before="200"/>
        <w:jc w:val="both"/>
        <w:outlineLvl w:val="3"/>
      </w:pPr>
      <w:r w:rsidRPr="00F25EC7">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B9598B">
        <w:t>trimestre</w:t>
      </w:r>
      <w:r w:rsidRPr="00F25EC7">
        <w:t xml:space="preserve"> con el inmediato anterior.</w:t>
      </w:r>
      <w:r w:rsidRPr="009908A8">
        <w:t xml:space="preserve"> </w:t>
      </w:r>
      <w:r w:rsidRPr="00F25EC7">
        <w:t>Analizar la serie desestacionalizada ayuda a realizar un mejor diagnóstico y pronóstico de su evolución, pues en el corto plazo, identifica la posible dirección de los movimientos que pudiera tener la variable en cuestión.</w:t>
      </w:r>
    </w:p>
    <w:p w14:paraId="4BD79DB2" w14:textId="77777777" w:rsidR="00024272" w:rsidRPr="00F25EC7" w:rsidRDefault="00024272" w:rsidP="00024272">
      <w:pPr>
        <w:spacing w:before="200"/>
        <w:jc w:val="both"/>
      </w:pPr>
      <w:r w:rsidRPr="00F25EC7">
        <w:t>Las series originales se ajustan estacionalmente mediante el paquete estadístico X</w:t>
      </w:r>
      <w:r w:rsidRPr="00F25EC7">
        <w:noBreakHyphen/>
        <w:t>13ARIMA-SEATS. Para conocer la metodología, consúltese la siguiente liga:</w:t>
      </w:r>
    </w:p>
    <w:p w14:paraId="29C98E02" w14:textId="77777777" w:rsidR="00024272" w:rsidRPr="00F25EC7" w:rsidRDefault="00B033DD" w:rsidP="00024272">
      <w:pPr>
        <w:jc w:val="both"/>
        <w:rPr>
          <w:color w:val="1F497D"/>
          <w:sz w:val="22"/>
          <w:lang w:eastAsia="en-US"/>
        </w:rPr>
      </w:pPr>
      <w:hyperlink r:id="rId27" w:history="1">
        <w:r w:rsidR="00024272" w:rsidRPr="00F25EC7">
          <w:rPr>
            <w:rStyle w:val="Hipervnculo"/>
          </w:rPr>
          <w:t>https://www.inegi.org.mx/app/biblioteca/ficha.html?upc=702825099060</w:t>
        </w:r>
      </w:hyperlink>
    </w:p>
    <w:p w14:paraId="61E98B47" w14:textId="17EE90B8" w:rsidR="00024272" w:rsidRDefault="009552C9" w:rsidP="000F5912">
      <w:pPr>
        <w:pStyle w:val="Default"/>
        <w:spacing w:before="240"/>
        <w:jc w:val="both"/>
        <w:rPr>
          <w:color w:val="auto"/>
        </w:rPr>
      </w:pPr>
      <w:r w:rsidRPr="00F25EC7">
        <w:rPr>
          <w:spacing w:val="-4"/>
        </w:rPr>
        <w:t xml:space="preserve">Las especificaciones de los modelos utilizados para realizar el ajuste estacional están disponibles en el Banco de Información Económica (BIE). Seleccione «Indicadores económicos de coyuntura, </w:t>
      </w:r>
      <w:r>
        <w:rPr>
          <w:spacing w:val="-4"/>
        </w:rPr>
        <w:t>Actividad Turística</w:t>
      </w:r>
      <w:r w:rsidRPr="00F25EC7">
        <w:rPr>
          <w:spacing w:val="-4"/>
        </w:rPr>
        <w:t>» y vaya al ícono de información</w:t>
      </w:r>
      <w:r>
        <w:rPr>
          <w:spacing w:val="-4"/>
        </w:rPr>
        <w:t xml:space="preserve"> </w:t>
      </w:r>
      <w:r>
        <w:rPr>
          <w:noProof/>
          <w:sz w:val="18"/>
          <w:szCs w:val="18"/>
          <w:lang w:val="es-MX" w:eastAsia="es-MX"/>
        </w:rPr>
        <w:drawing>
          <wp:inline distT="0" distB="0" distL="0" distR="0" wp14:anchorId="10F50D3F" wp14:editId="2409E2C2">
            <wp:extent cx="152400" cy="152400"/>
            <wp:effectExtent l="0" t="0" r="0" b="0"/>
            <wp:docPr id="8" name="Imagen 8"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pacing w:val="-4"/>
        </w:rPr>
        <w:t xml:space="preserve"> </w:t>
      </w:r>
      <w:r w:rsidRPr="00F25EC7">
        <w:rPr>
          <w:spacing w:val="-4"/>
        </w:rPr>
        <w:t>correspondiente a las «series desestacionalizadas y de</w:t>
      </w:r>
      <w:r>
        <w:rPr>
          <w:spacing w:val="-4"/>
        </w:rPr>
        <w:t xml:space="preserve"> </w:t>
      </w:r>
      <w:r w:rsidRPr="00F25EC7">
        <w:rPr>
          <w:spacing w:val="-4"/>
        </w:rPr>
        <w:t>tendencia-ciclo».</w:t>
      </w:r>
    </w:p>
    <w:p w14:paraId="2549B69E" w14:textId="4CB38C4E" w:rsidR="000F5912" w:rsidRPr="00CF29C1" w:rsidRDefault="000F5912" w:rsidP="000F5912">
      <w:pPr>
        <w:pStyle w:val="Default"/>
        <w:spacing w:before="240"/>
        <w:jc w:val="both"/>
        <w:rPr>
          <w:color w:val="auto"/>
          <w:u w:val="single"/>
          <w:lang w:val="es-MX"/>
        </w:rPr>
      </w:pPr>
      <w:r w:rsidRPr="00CF29C1">
        <w:rPr>
          <w:color w:val="auto"/>
        </w:rPr>
        <w:t xml:space="preserve">Los datos que se </w:t>
      </w:r>
      <w:r>
        <w:rPr>
          <w:color w:val="auto"/>
        </w:rPr>
        <w:t>reportan e</w:t>
      </w:r>
      <w:r w:rsidRPr="00CF29C1">
        <w:rPr>
          <w:color w:val="auto"/>
        </w:rPr>
        <w:t xml:space="preserve">n este documento amplían la información que actualmente difunde el INEGI, la cual continuará generándose como parte de los resultados del SCNM, y se da a conocer en la fecha establecida en el Calendario de </w:t>
      </w:r>
      <w:r w:rsidR="00F505F4">
        <w:rPr>
          <w:color w:val="auto"/>
        </w:rPr>
        <w:t>D</w:t>
      </w:r>
      <w:r w:rsidRPr="00CF29C1">
        <w:rPr>
          <w:color w:val="auto"/>
        </w:rPr>
        <w:t xml:space="preserve">ifusión de </w:t>
      </w:r>
      <w:r w:rsidR="00F505F4">
        <w:rPr>
          <w:color w:val="auto"/>
        </w:rPr>
        <w:t>I</w:t>
      </w:r>
      <w:r w:rsidRPr="00CF29C1">
        <w:rPr>
          <w:color w:val="auto"/>
        </w:rPr>
        <w:t xml:space="preserve">nformación </w:t>
      </w:r>
      <w:r w:rsidR="00F505F4">
        <w:rPr>
          <w:color w:val="auto"/>
        </w:rPr>
        <w:t>E</w:t>
      </w:r>
      <w:r w:rsidRPr="00CF29C1">
        <w:rPr>
          <w:color w:val="auto"/>
        </w:rPr>
        <w:t xml:space="preserve">stadística y </w:t>
      </w:r>
      <w:r w:rsidR="00F505F4">
        <w:rPr>
          <w:color w:val="auto"/>
        </w:rPr>
        <w:t>G</w:t>
      </w:r>
      <w:r w:rsidRPr="00CF29C1">
        <w:rPr>
          <w:color w:val="auto"/>
        </w:rPr>
        <w:t>eográfica y de Interés Nacional.</w:t>
      </w:r>
    </w:p>
    <w:p w14:paraId="3A8E6D2C" w14:textId="52A666CA" w:rsidR="00BB05C3" w:rsidRPr="00382388" w:rsidRDefault="000F5912" w:rsidP="00382388">
      <w:pPr>
        <w:pStyle w:val="Default"/>
        <w:spacing w:before="240"/>
        <w:jc w:val="both"/>
        <w:rPr>
          <w:color w:val="auto"/>
        </w:rPr>
      </w:pPr>
      <w:r w:rsidRPr="00A75667">
        <w:rPr>
          <w:color w:val="auto"/>
        </w:rPr>
        <w:t>Las cifras aquí presentadas p</w:t>
      </w:r>
      <w:r w:rsidR="006C7576">
        <w:rPr>
          <w:color w:val="auto"/>
        </w:rPr>
        <w:t>ueden</w:t>
      </w:r>
      <w:r w:rsidRPr="00A75667">
        <w:rPr>
          <w:color w:val="auto"/>
        </w:rPr>
        <w:t xml:space="preserve"> ser consultadas en la página del INEGI: </w:t>
      </w:r>
      <w:hyperlink r:id="rId30" w:history="1">
        <w:r w:rsidR="00382388" w:rsidRPr="004451FF">
          <w:rPr>
            <w:rStyle w:val="Hipervnculo"/>
          </w:rPr>
          <w:t>https://www.inegi.org.mx/app/indicadores/?tm=0</w:t>
        </w:r>
      </w:hyperlink>
      <w:r w:rsidR="00382388">
        <w:rPr>
          <w:u w:val="single"/>
        </w:rPr>
        <w:t xml:space="preserve"> </w:t>
      </w:r>
    </w:p>
    <w:sectPr w:rsidR="00BB05C3" w:rsidRPr="00382388" w:rsidSect="00EB0FB4">
      <w:headerReference w:type="default" r:id="rId31"/>
      <w:footerReference w:type="default" r:id="rId32"/>
      <w:endnotePr>
        <w:numFmt w:val="decimal"/>
      </w:endnotePr>
      <w:pgSz w:w="12242" w:h="15842" w:code="1"/>
      <w:pgMar w:top="2552" w:right="1418" w:bottom="1134" w:left="1418"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4FCAF" w14:textId="77777777" w:rsidR="00B033DD" w:rsidRDefault="00B033DD">
      <w:r>
        <w:separator/>
      </w:r>
    </w:p>
  </w:endnote>
  <w:endnote w:type="continuationSeparator" w:id="0">
    <w:p w14:paraId="2B894680" w14:textId="77777777" w:rsidR="00B033DD" w:rsidRDefault="00B0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CAD2" w14:textId="77777777" w:rsidR="00EE35D0" w:rsidRPr="00A15EB5" w:rsidRDefault="00EE35D0" w:rsidP="007D6C17">
    <w:pPr>
      <w:pStyle w:val="Piedepgina"/>
      <w:jc w:val="center"/>
      <w:rPr>
        <w:b/>
        <w:bCs/>
        <w:color w:val="002060"/>
        <w:sz w:val="20"/>
      </w:rPr>
    </w:pPr>
    <w:r w:rsidRPr="00A15EB5">
      <w:rPr>
        <w:b/>
        <w:bCs/>
        <w:color w:val="002060"/>
        <w:sz w:val="20"/>
      </w:rPr>
      <w:t>COMUNICACIÓN SOCIAL</w:t>
    </w:r>
  </w:p>
  <w:p w14:paraId="21D99722" w14:textId="77777777" w:rsidR="00EE35D0" w:rsidRPr="007B4B63" w:rsidRDefault="00EE35D0" w:rsidP="007D6C1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A251" w14:textId="77777777" w:rsidR="00E07136" w:rsidRPr="00681A27" w:rsidRDefault="00E07136" w:rsidP="00B06AE9">
    <w:pPr>
      <w:pStyle w:val="Piedepgina"/>
      <w:jc w:val="center"/>
      <w:rPr>
        <w:rFonts w:cs="Arial"/>
        <w:color w:val="002060"/>
        <w:sz w:val="20"/>
      </w:rPr>
    </w:pPr>
    <w:r w:rsidRPr="00681A27">
      <w:rPr>
        <w:rFonts w:cs="Arial"/>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11207" w14:textId="77777777" w:rsidR="00B033DD" w:rsidRDefault="00B033DD">
      <w:r>
        <w:separator/>
      </w:r>
    </w:p>
  </w:footnote>
  <w:footnote w:type="continuationSeparator" w:id="0">
    <w:p w14:paraId="696E9C01" w14:textId="77777777" w:rsidR="00B033DD" w:rsidRDefault="00B033DD">
      <w:r>
        <w:continuationSeparator/>
      </w:r>
    </w:p>
  </w:footnote>
  <w:footnote w:id="1">
    <w:p w14:paraId="166C6013" w14:textId="77777777" w:rsidR="00EE35D0" w:rsidRPr="00C07AE5" w:rsidRDefault="00EE35D0" w:rsidP="00FD3995">
      <w:pPr>
        <w:pStyle w:val="Textonotapie"/>
        <w:ind w:left="142" w:right="49" w:hanging="142"/>
        <w:jc w:val="both"/>
        <w:rPr>
          <w:rFonts w:ascii="Arial" w:hAnsi="Arial" w:cs="Arial"/>
          <w:sz w:val="16"/>
          <w:szCs w:val="16"/>
        </w:rPr>
      </w:pPr>
      <w:r w:rsidRPr="00863A91">
        <w:rPr>
          <w:rStyle w:val="Refdenotaalpie"/>
          <w:rFonts w:ascii="Arial" w:hAnsi="Arial"/>
          <w:b w:val="0"/>
          <w:sz w:val="18"/>
          <w:szCs w:val="16"/>
        </w:rPr>
        <w:footnoteRef/>
      </w:r>
      <w:r w:rsidRPr="00863A91">
        <w:rPr>
          <w:rStyle w:val="Refdenotaalpie"/>
          <w:b w:val="0"/>
          <w:sz w:val="14"/>
          <w:szCs w:val="16"/>
        </w:rPr>
        <w:t xml:space="preserve"> </w:t>
      </w:r>
      <w:r>
        <w:rPr>
          <w:sz w:val="18"/>
        </w:rPr>
        <w:tab/>
      </w:r>
      <w:r>
        <w:rPr>
          <w:rFonts w:ascii="Arial" w:hAnsi="Arial" w:cs="Arial"/>
          <w:sz w:val="16"/>
          <w:szCs w:val="16"/>
        </w:rPr>
        <w:t xml:space="preserve">Año base 2013 </w:t>
      </w:r>
    </w:p>
  </w:footnote>
  <w:footnote w:id="2">
    <w:p w14:paraId="56AE6FAD" w14:textId="77777777" w:rsidR="00EE35D0" w:rsidRDefault="00EE35D0" w:rsidP="00FD3995">
      <w:pPr>
        <w:pStyle w:val="Textonotapie"/>
        <w:ind w:left="142" w:right="49" w:hanging="142"/>
        <w:jc w:val="both"/>
        <w:rPr>
          <w:rFonts w:ascii="Arial" w:hAnsi="Arial" w:cs="Arial"/>
          <w:sz w:val="16"/>
          <w:szCs w:val="16"/>
        </w:rPr>
      </w:pPr>
      <w:r w:rsidRPr="00863A91">
        <w:rPr>
          <w:rStyle w:val="Refdenotaalpie"/>
          <w:rFonts w:ascii="Arial" w:hAnsi="Arial"/>
          <w:b w:val="0"/>
          <w:sz w:val="18"/>
          <w:szCs w:val="16"/>
        </w:rPr>
        <w:footnoteRef/>
      </w:r>
      <w:r w:rsidRPr="00863A91">
        <w:rPr>
          <w:rStyle w:val="Refdenotaalpie"/>
          <w:b w:val="0"/>
          <w:sz w:val="14"/>
          <w:szCs w:val="16"/>
        </w:rPr>
        <w:t xml:space="preserve"> </w:t>
      </w:r>
      <w:r>
        <w:rPr>
          <w:sz w:val="18"/>
        </w:rPr>
        <w:tab/>
      </w:r>
      <w:r>
        <w:rPr>
          <w:rFonts w:ascii="Arial" w:hAnsi="Arial" w:cs="Arial"/>
          <w:sz w:val="16"/>
          <w:szCs w:val="16"/>
        </w:rPr>
        <w:t>L</w:t>
      </w:r>
      <w:r w:rsidRPr="002B7F1F">
        <w:rPr>
          <w:rFonts w:ascii="Arial" w:hAnsi="Arial" w:cs="Arial"/>
          <w:sz w:val="16"/>
          <w:szCs w:val="16"/>
        </w:rPr>
        <w:t>a mayoría de las series económicas se ven afectadas por factores estacionales</w:t>
      </w:r>
      <w:r>
        <w:rPr>
          <w:rFonts w:ascii="Arial" w:hAnsi="Arial" w:cs="Arial"/>
          <w:sz w:val="16"/>
          <w:szCs w:val="16"/>
        </w:rPr>
        <w:t xml:space="preserve"> y de calendario. El ajuste de los datos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 xml:space="preserve">variables. </w:t>
      </w:r>
    </w:p>
    <w:p w14:paraId="7CFF1137" w14:textId="77777777" w:rsidR="00EE35D0" w:rsidRDefault="00EE35D0" w:rsidP="00FD3995">
      <w:pPr>
        <w:pStyle w:val="Textonotapie"/>
        <w:ind w:left="142" w:right="49" w:hanging="142"/>
        <w:jc w:val="both"/>
        <w:rPr>
          <w:rFonts w:ascii="Arial" w:hAnsi="Arial" w:cs="Arial"/>
          <w:sz w:val="16"/>
          <w:szCs w:val="16"/>
        </w:rPr>
      </w:pPr>
    </w:p>
    <w:p w14:paraId="60447539" w14:textId="77777777" w:rsidR="00EE35D0" w:rsidRPr="00C07AE5" w:rsidRDefault="00EE35D0" w:rsidP="00EE35D0">
      <w:pPr>
        <w:pStyle w:val="Textonotapie"/>
        <w:ind w:left="142" w:hanging="142"/>
        <w:jc w:val="both"/>
        <w:rPr>
          <w:rFonts w:ascii="Arial" w:hAnsi="Arial" w:cs="Arial"/>
          <w:sz w:val="16"/>
          <w:szCs w:val="16"/>
        </w:rPr>
      </w:pPr>
    </w:p>
  </w:footnote>
  <w:footnote w:id="3">
    <w:p w14:paraId="5BBBD3F3" w14:textId="77777777" w:rsidR="000F5912" w:rsidRPr="00CF29C1" w:rsidRDefault="000F5912" w:rsidP="000F5912">
      <w:pPr>
        <w:pStyle w:val="Textonotapie"/>
        <w:ind w:left="142" w:hanging="142"/>
        <w:jc w:val="both"/>
        <w:rPr>
          <w:rStyle w:val="Refdenotaalpie"/>
          <w:rFonts w:ascii="Arial" w:hAnsi="Arial"/>
          <w:b w:val="0"/>
          <w:smallCaps w:val="0"/>
          <w:sz w:val="16"/>
          <w:szCs w:val="16"/>
          <w:vertAlign w:val="baseline"/>
        </w:rPr>
      </w:pPr>
      <w:r w:rsidRPr="003E5022">
        <w:rPr>
          <w:rStyle w:val="Refdenotaalpie"/>
          <w:rFonts w:ascii="Arial" w:hAnsi="Arial"/>
          <w:b w:val="0"/>
          <w:sz w:val="18"/>
          <w:szCs w:val="16"/>
        </w:rPr>
        <w:footnoteRef/>
      </w:r>
      <w:r>
        <w:rPr>
          <w:rFonts w:ascii="Arial" w:hAnsi="Arial" w:cs="Arial"/>
        </w:rPr>
        <w:tab/>
      </w:r>
      <w:r w:rsidRPr="00CF29C1">
        <w:rPr>
          <w:rStyle w:val="Refdenotaalpie"/>
          <w:rFonts w:ascii="Arial" w:hAnsi="Arial"/>
          <w:b w:val="0"/>
          <w:smallCaps w:val="0"/>
          <w:sz w:val="16"/>
          <w:szCs w:val="16"/>
          <w:vertAlign w:val="baseline"/>
        </w:rPr>
        <w:t xml:space="preserve">Procedimiento de </w:t>
      </w:r>
      <w:r w:rsidRPr="003E5022">
        <w:rPr>
          <w:rStyle w:val="Refdenotaalpie"/>
          <w:rFonts w:ascii="Arial" w:hAnsi="Arial"/>
          <w:b w:val="0"/>
          <w:i/>
          <w:iCs/>
          <w:smallCaps w:val="0"/>
          <w:sz w:val="16"/>
          <w:szCs w:val="16"/>
          <w:vertAlign w:val="baseline"/>
        </w:rPr>
        <w:t>Benchmarking</w:t>
      </w:r>
      <w:r w:rsidRPr="00CF29C1">
        <w:rPr>
          <w:rStyle w:val="Refdenotaalpie"/>
          <w:rFonts w:ascii="Arial" w:hAnsi="Arial"/>
          <w:b w:val="0"/>
          <w:smallCaps w:val="0"/>
          <w:sz w:val="16"/>
          <w:szCs w:val="16"/>
          <w:vertAlign w:val="baseline"/>
        </w:rPr>
        <w:t xml:space="preserve"> utilizado para ajustar datos trimestrales a los anuales.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EA7E" w14:textId="4643F2C6" w:rsidR="00EE35D0" w:rsidRPr="00306ECD" w:rsidRDefault="00EE35D0" w:rsidP="007D6C1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8EC4418" wp14:editId="1AFD49C7">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B6129B">
      <w:rPr>
        <w:b/>
        <w:color w:val="002060"/>
      </w:rPr>
      <w:t>606</w:t>
    </w:r>
    <w:r w:rsidRPr="00306ECD">
      <w:rPr>
        <w:b/>
        <w:color w:val="002060"/>
      </w:rPr>
      <w:t>/2</w:t>
    </w:r>
    <w:r>
      <w:rPr>
        <w:b/>
        <w:color w:val="002060"/>
      </w:rPr>
      <w:t>2</w:t>
    </w:r>
  </w:p>
  <w:p w14:paraId="0A9DB500" w14:textId="77777777" w:rsidR="00EE35D0" w:rsidRPr="00306ECD" w:rsidRDefault="00EE35D0" w:rsidP="007D6C17">
    <w:pPr>
      <w:pStyle w:val="Encabezado"/>
      <w:ind w:left="-567" w:right="49"/>
      <w:jc w:val="right"/>
      <w:rPr>
        <w:b/>
        <w:color w:val="002060"/>
        <w:lang w:val="pt-BR"/>
      </w:rPr>
    </w:pPr>
    <w:r>
      <w:rPr>
        <w:b/>
        <w:color w:val="002060"/>
        <w:lang w:val="pt-BR"/>
      </w:rPr>
      <w:t xml:space="preserve">28 </w:t>
    </w:r>
    <w:r w:rsidRPr="00306ECD">
      <w:rPr>
        <w:b/>
        <w:color w:val="002060"/>
        <w:lang w:val="pt-BR"/>
      </w:rPr>
      <w:t xml:space="preserve">DE </w:t>
    </w:r>
    <w:r>
      <w:rPr>
        <w:b/>
        <w:color w:val="002060"/>
        <w:lang w:val="pt-BR"/>
      </w:rPr>
      <w:t xml:space="preserve">OCTUBRE </w:t>
    </w:r>
    <w:r w:rsidRPr="00306ECD">
      <w:rPr>
        <w:b/>
        <w:color w:val="002060"/>
        <w:lang w:val="pt-BR"/>
      </w:rPr>
      <w:t>DE 202</w:t>
    </w:r>
    <w:r>
      <w:rPr>
        <w:b/>
        <w:color w:val="002060"/>
        <w:lang w:val="pt-BR"/>
      </w:rPr>
      <w:t>2</w:t>
    </w:r>
  </w:p>
  <w:p w14:paraId="5F357094" w14:textId="454CD737" w:rsidR="00EE35D0" w:rsidRPr="00306ECD" w:rsidRDefault="00EE35D0" w:rsidP="007D6C1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3D4BC6">
      <w:rPr>
        <w:b/>
        <w:color w:val="002060"/>
      </w:rPr>
      <w:t>8</w:t>
    </w:r>
  </w:p>
  <w:p w14:paraId="202CC4B8" w14:textId="77777777" w:rsidR="00EE35D0" w:rsidRDefault="00EE35D0" w:rsidP="007D6C17">
    <w:pPr>
      <w:pStyle w:val="Encabezado"/>
      <w:ind w:right="49"/>
      <w:jc w:val="center"/>
    </w:pPr>
  </w:p>
  <w:p w14:paraId="70839059" w14:textId="77777777" w:rsidR="00EE35D0" w:rsidRDefault="00EE35D0"/>
  <w:p w14:paraId="02458771" w14:textId="77777777" w:rsidR="00EE35D0" w:rsidRDefault="00EE35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3309" w14:textId="5B887A76" w:rsidR="00ED7F21" w:rsidRDefault="00EE7736" w:rsidP="00EE35D0">
    <w:pPr>
      <w:pStyle w:val="Encabezado"/>
      <w:jc w:val="center"/>
    </w:pPr>
    <w:r>
      <w:rPr>
        <w:noProof/>
        <w:snapToGrid/>
        <w:lang w:val="es-MX" w:eastAsia="es-MX"/>
      </w:rPr>
      <w:drawing>
        <wp:inline distT="0" distB="0" distL="0" distR="0" wp14:anchorId="011E8C48" wp14:editId="3FB8090F">
          <wp:extent cx="828000" cy="828000"/>
          <wp:effectExtent l="0" t="0" r="0" b="0"/>
          <wp:docPr id="11" name="Imagen 11" descr="cid:image002.png@01D4B335.490B1A50"/>
          <wp:cNvGraphicFramePr/>
          <a:graphic xmlns:a="http://schemas.openxmlformats.org/drawingml/2006/main">
            <a:graphicData uri="http://schemas.openxmlformats.org/drawingml/2006/picture">
              <pic:pic xmlns:pic="http://schemas.openxmlformats.org/drawingml/2006/picture">
                <pic:nvPicPr>
                  <pic:cNvPr id="9" name="Imagen 9"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8"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9"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19"/>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8"/>
  </w:num>
  <w:num w:numId="18">
    <w:abstractNumId w:val="2"/>
  </w:num>
  <w:num w:numId="19">
    <w:abstractNumId w:val="16"/>
  </w:num>
  <w:num w:numId="20">
    <w:abstractNumId w:val="16"/>
  </w:num>
  <w:num w:numId="21">
    <w:abstractNumId w:val="16"/>
  </w:num>
  <w:num w:numId="22">
    <w:abstractNumId w:val="16"/>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pt-BR" w:vendorID="64" w:dllVersion="6" w:nlCheck="1" w:checkStyle="0"/>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1B98"/>
    <w:rsid w:val="0000273F"/>
    <w:rsid w:val="00002C85"/>
    <w:rsid w:val="000031B0"/>
    <w:rsid w:val="00004215"/>
    <w:rsid w:val="000042EF"/>
    <w:rsid w:val="00004A7D"/>
    <w:rsid w:val="00006462"/>
    <w:rsid w:val="00006D11"/>
    <w:rsid w:val="00007DBD"/>
    <w:rsid w:val="0001024B"/>
    <w:rsid w:val="00010A05"/>
    <w:rsid w:val="00010A17"/>
    <w:rsid w:val="00010E0F"/>
    <w:rsid w:val="00010E74"/>
    <w:rsid w:val="00011964"/>
    <w:rsid w:val="00011D5B"/>
    <w:rsid w:val="00012228"/>
    <w:rsid w:val="00013DDD"/>
    <w:rsid w:val="00014EAF"/>
    <w:rsid w:val="00016611"/>
    <w:rsid w:val="00017666"/>
    <w:rsid w:val="00020298"/>
    <w:rsid w:val="0002056D"/>
    <w:rsid w:val="00020F4E"/>
    <w:rsid w:val="00021C68"/>
    <w:rsid w:val="00022153"/>
    <w:rsid w:val="00022907"/>
    <w:rsid w:val="00023E91"/>
    <w:rsid w:val="00024272"/>
    <w:rsid w:val="00025729"/>
    <w:rsid w:val="000260FB"/>
    <w:rsid w:val="00026733"/>
    <w:rsid w:val="0002692A"/>
    <w:rsid w:val="00031C3F"/>
    <w:rsid w:val="00032184"/>
    <w:rsid w:val="00032383"/>
    <w:rsid w:val="00032439"/>
    <w:rsid w:val="0003305A"/>
    <w:rsid w:val="0003385F"/>
    <w:rsid w:val="00034077"/>
    <w:rsid w:val="000347D1"/>
    <w:rsid w:val="00035555"/>
    <w:rsid w:val="00036F4A"/>
    <w:rsid w:val="00036FBF"/>
    <w:rsid w:val="00037A49"/>
    <w:rsid w:val="00040567"/>
    <w:rsid w:val="00040A88"/>
    <w:rsid w:val="00042146"/>
    <w:rsid w:val="000421BC"/>
    <w:rsid w:val="00042729"/>
    <w:rsid w:val="00042E12"/>
    <w:rsid w:val="000431DE"/>
    <w:rsid w:val="0004368D"/>
    <w:rsid w:val="0004453C"/>
    <w:rsid w:val="0004493F"/>
    <w:rsid w:val="000453DC"/>
    <w:rsid w:val="000463BE"/>
    <w:rsid w:val="00046715"/>
    <w:rsid w:val="00046B8A"/>
    <w:rsid w:val="00050F12"/>
    <w:rsid w:val="00051AA5"/>
    <w:rsid w:val="00052C69"/>
    <w:rsid w:val="00053780"/>
    <w:rsid w:val="00053A68"/>
    <w:rsid w:val="00054FD6"/>
    <w:rsid w:val="0005576F"/>
    <w:rsid w:val="00055E5F"/>
    <w:rsid w:val="00056149"/>
    <w:rsid w:val="00056554"/>
    <w:rsid w:val="00057C42"/>
    <w:rsid w:val="00057C43"/>
    <w:rsid w:val="000608A0"/>
    <w:rsid w:val="00060919"/>
    <w:rsid w:val="0006111A"/>
    <w:rsid w:val="00062558"/>
    <w:rsid w:val="0006260B"/>
    <w:rsid w:val="00063635"/>
    <w:rsid w:val="00063D1D"/>
    <w:rsid w:val="00064294"/>
    <w:rsid w:val="000646E7"/>
    <w:rsid w:val="0006516A"/>
    <w:rsid w:val="00065DAB"/>
    <w:rsid w:val="00065F7A"/>
    <w:rsid w:val="00066103"/>
    <w:rsid w:val="000665D9"/>
    <w:rsid w:val="00066D7E"/>
    <w:rsid w:val="00066EB6"/>
    <w:rsid w:val="00067BFC"/>
    <w:rsid w:val="00067F2D"/>
    <w:rsid w:val="00070209"/>
    <w:rsid w:val="000716D7"/>
    <w:rsid w:val="0007442D"/>
    <w:rsid w:val="0007511A"/>
    <w:rsid w:val="00075A18"/>
    <w:rsid w:val="000762F8"/>
    <w:rsid w:val="000765F7"/>
    <w:rsid w:val="00077907"/>
    <w:rsid w:val="00080C47"/>
    <w:rsid w:val="00082002"/>
    <w:rsid w:val="000822A8"/>
    <w:rsid w:val="0008247B"/>
    <w:rsid w:val="00082F49"/>
    <w:rsid w:val="000840A0"/>
    <w:rsid w:val="00084FD7"/>
    <w:rsid w:val="00085BD9"/>
    <w:rsid w:val="00085FDB"/>
    <w:rsid w:val="00086740"/>
    <w:rsid w:val="000902C0"/>
    <w:rsid w:val="000904E6"/>
    <w:rsid w:val="00091999"/>
    <w:rsid w:val="000929B8"/>
    <w:rsid w:val="00092ACB"/>
    <w:rsid w:val="00092B83"/>
    <w:rsid w:val="00092FD1"/>
    <w:rsid w:val="00093578"/>
    <w:rsid w:val="00093F8F"/>
    <w:rsid w:val="00094417"/>
    <w:rsid w:val="00094591"/>
    <w:rsid w:val="0009491E"/>
    <w:rsid w:val="00095DC6"/>
    <w:rsid w:val="0009654D"/>
    <w:rsid w:val="00097001"/>
    <w:rsid w:val="00097371"/>
    <w:rsid w:val="00097B7F"/>
    <w:rsid w:val="000A01BF"/>
    <w:rsid w:val="000A05A1"/>
    <w:rsid w:val="000A0B27"/>
    <w:rsid w:val="000A1488"/>
    <w:rsid w:val="000A14B3"/>
    <w:rsid w:val="000A1683"/>
    <w:rsid w:val="000A1890"/>
    <w:rsid w:val="000A2A4E"/>
    <w:rsid w:val="000A3A2B"/>
    <w:rsid w:val="000A3F3E"/>
    <w:rsid w:val="000A5880"/>
    <w:rsid w:val="000A5D51"/>
    <w:rsid w:val="000A6470"/>
    <w:rsid w:val="000A65FD"/>
    <w:rsid w:val="000A7204"/>
    <w:rsid w:val="000A79E7"/>
    <w:rsid w:val="000B0CE8"/>
    <w:rsid w:val="000B0EC9"/>
    <w:rsid w:val="000B139D"/>
    <w:rsid w:val="000B2120"/>
    <w:rsid w:val="000B3C5B"/>
    <w:rsid w:val="000B5486"/>
    <w:rsid w:val="000B5E8A"/>
    <w:rsid w:val="000B6736"/>
    <w:rsid w:val="000B6AE5"/>
    <w:rsid w:val="000B7BED"/>
    <w:rsid w:val="000B7CFD"/>
    <w:rsid w:val="000C02F0"/>
    <w:rsid w:val="000C0467"/>
    <w:rsid w:val="000C0563"/>
    <w:rsid w:val="000C0C8A"/>
    <w:rsid w:val="000C117A"/>
    <w:rsid w:val="000C1B88"/>
    <w:rsid w:val="000C2D86"/>
    <w:rsid w:val="000C3595"/>
    <w:rsid w:val="000C3C44"/>
    <w:rsid w:val="000C4460"/>
    <w:rsid w:val="000C55BE"/>
    <w:rsid w:val="000C5772"/>
    <w:rsid w:val="000C5B40"/>
    <w:rsid w:val="000C5B89"/>
    <w:rsid w:val="000C648E"/>
    <w:rsid w:val="000C66BE"/>
    <w:rsid w:val="000C6E1B"/>
    <w:rsid w:val="000C72D9"/>
    <w:rsid w:val="000C7599"/>
    <w:rsid w:val="000C7999"/>
    <w:rsid w:val="000D08BB"/>
    <w:rsid w:val="000D0CC8"/>
    <w:rsid w:val="000D1A8E"/>
    <w:rsid w:val="000D3381"/>
    <w:rsid w:val="000D3BA0"/>
    <w:rsid w:val="000D52C1"/>
    <w:rsid w:val="000D5529"/>
    <w:rsid w:val="000D5B24"/>
    <w:rsid w:val="000D6074"/>
    <w:rsid w:val="000D65E2"/>
    <w:rsid w:val="000D689B"/>
    <w:rsid w:val="000D6BD0"/>
    <w:rsid w:val="000D7CA3"/>
    <w:rsid w:val="000E0A62"/>
    <w:rsid w:val="000E1443"/>
    <w:rsid w:val="000E1A64"/>
    <w:rsid w:val="000E2C66"/>
    <w:rsid w:val="000E3033"/>
    <w:rsid w:val="000E4CA4"/>
    <w:rsid w:val="000E5AE0"/>
    <w:rsid w:val="000F09D4"/>
    <w:rsid w:val="000F09F8"/>
    <w:rsid w:val="000F1108"/>
    <w:rsid w:val="000F14B9"/>
    <w:rsid w:val="000F1608"/>
    <w:rsid w:val="000F1839"/>
    <w:rsid w:val="000F2966"/>
    <w:rsid w:val="000F3D4A"/>
    <w:rsid w:val="000F3F47"/>
    <w:rsid w:val="000F4540"/>
    <w:rsid w:val="000F4658"/>
    <w:rsid w:val="000F5912"/>
    <w:rsid w:val="000F5E17"/>
    <w:rsid w:val="000F611A"/>
    <w:rsid w:val="000F656B"/>
    <w:rsid w:val="000F6657"/>
    <w:rsid w:val="000F682F"/>
    <w:rsid w:val="000F698B"/>
    <w:rsid w:val="000F6F45"/>
    <w:rsid w:val="000F79B9"/>
    <w:rsid w:val="000F7B11"/>
    <w:rsid w:val="001003A7"/>
    <w:rsid w:val="00101A58"/>
    <w:rsid w:val="00101BCD"/>
    <w:rsid w:val="00101CDA"/>
    <w:rsid w:val="001034D4"/>
    <w:rsid w:val="00104C78"/>
    <w:rsid w:val="001073D8"/>
    <w:rsid w:val="001075CC"/>
    <w:rsid w:val="001108BF"/>
    <w:rsid w:val="00110B27"/>
    <w:rsid w:val="001115F7"/>
    <w:rsid w:val="001137CE"/>
    <w:rsid w:val="0011434C"/>
    <w:rsid w:val="00114CEC"/>
    <w:rsid w:val="001155C6"/>
    <w:rsid w:val="001156DE"/>
    <w:rsid w:val="0011585D"/>
    <w:rsid w:val="00115C1E"/>
    <w:rsid w:val="00116918"/>
    <w:rsid w:val="00116947"/>
    <w:rsid w:val="00117B09"/>
    <w:rsid w:val="00117C54"/>
    <w:rsid w:val="0012290F"/>
    <w:rsid w:val="00123379"/>
    <w:rsid w:val="001234A8"/>
    <w:rsid w:val="00123B68"/>
    <w:rsid w:val="00124A7D"/>
    <w:rsid w:val="00124BE8"/>
    <w:rsid w:val="00124D63"/>
    <w:rsid w:val="00125B7A"/>
    <w:rsid w:val="00125C98"/>
    <w:rsid w:val="00126D65"/>
    <w:rsid w:val="00127101"/>
    <w:rsid w:val="001277D8"/>
    <w:rsid w:val="0013012D"/>
    <w:rsid w:val="00130446"/>
    <w:rsid w:val="00130B75"/>
    <w:rsid w:val="00131392"/>
    <w:rsid w:val="00131E1A"/>
    <w:rsid w:val="00133E3A"/>
    <w:rsid w:val="00133E9C"/>
    <w:rsid w:val="0013459D"/>
    <w:rsid w:val="001345B1"/>
    <w:rsid w:val="00135030"/>
    <w:rsid w:val="00135483"/>
    <w:rsid w:val="0013782A"/>
    <w:rsid w:val="00137E78"/>
    <w:rsid w:val="00137F47"/>
    <w:rsid w:val="00140B6C"/>
    <w:rsid w:val="00141DAC"/>
    <w:rsid w:val="00142299"/>
    <w:rsid w:val="001428FF"/>
    <w:rsid w:val="00142921"/>
    <w:rsid w:val="0014557C"/>
    <w:rsid w:val="00145B63"/>
    <w:rsid w:val="001463C4"/>
    <w:rsid w:val="0014682B"/>
    <w:rsid w:val="001468E4"/>
    <w:rsid w:val="0014693A"/>
    <w:rsid w:val="00146BEE"/>
    <w:rsid w:val="0014725A"/>
    <w:rsid w:val="00147908"/>
    <w:rsid w:val="00150A4B"/>
    <w:rsid w:val="00151522"/>
    <w:rsid w:val="0015270C"/>
    <w:rsid w:val="00152E6E"/>
    <w:rsid w:val="00153366"/>
    <w:rsid w:val="0015373F"/>
    <w:rsid w:val="001539EF"/>
    <w:rsid w:val="00154177"/>
    <w:rsid w:val="00154C05"/>
    <w:rsid w:val="00154C3B"/>
    <w:rsid w:val="001565E4"/>
    <w:rsid w:val="00156AAB"/>
    <w:rsid w:val="00156ABA"/>
    <w:rsid w:val="00156DF2"/>
    <w:rsid w:val="00160412"/>
    <w:rsid w:val="001605E8"/>
    <w:rsid w:val="0016074A"/>
    <w:rsid w:val="00160FAF"/>
    <w:rsid w:val="00160FB0"/>
    <w:rsid w:val="00163512"/>
    <w:rsid w:val="00163A8E"/>
    <w:rsid w:val="00163ADE"/>
    <w:rsid w:val="00163B3E"/>
    <w:rsid w:val="00163BA6"/>
    <w:rsid w:val="00164371"/>
    <w:rsid w:val="00164DA3"/>
    <w:rsid w:val="00165501"/>
    <w:rsid w:val="001658DB"/>
    <w:rsid w:val="001659D7"/>
    <w:rsid w:val="00165E9D"/>
    <w:rsid w:val="00166294"/>
    <w:rsid w:val="0016690F"/>
    <w:rsid w:val="0017122C"/>
    <w:rsid w:val="001727A6"/>
    <w:rsid w:val="00172F90"/>
    <w:rsid w:val="0017393E"/>
    <w:rsid w:val="00173FEA"/>
    <w:rsid w:val="00174978"/>
    <w:rsid w:val="0017506E"/>
    <w:rsid w:val="001755B3"/>
    <w:rsid w:val="0017620A"/>
    <w:rsid w:val="00180722"/>
    <w:rsid w:val="00182595"/>
    <w:rsid w:val="001828D6"/>
    <w:rsid w:val="00182A73"/>
    <w:rsid w:val="00182A77"/>
    <w:rsid w:val="00182F89"/>
    <w:rsid w:val="00183844"/>
    <w:rsid w:val="00184160"/>
    <w:rsid w:val="0018416A"/>
    <w:rsid w:val="001842C5"/>
    <w:rsid w:val="00184D49"/>
    <w:rsid w:val="00185470"/>
    <w:rsid w:val="001855A5"/>
    <w:rsid w:val="001872D0"/>
    <w:rsid w:val="00190DBD"/>
    <w:rsid w:val="00191DEB"/>
    <w:rsid w:val="001921C8"/>
    <w:rsid w:val="00193057"/>
    <w:rsid w:val="00193ED8"/>
    <w:rsid w:val="001941AB"/>
    <w:rsid w:val="00194480"/>
    <w:rsid w:val="001951D5"/>
    <w:rsid w:val="001952C4"/>
    <w:rsid w:val="0019532A"/>
    <w:rsid w:val="00195865"/>
    <w:rsid w:val="001959B6"/>
    <w:rsid w:val="00195FEE"/>
    <w:rsid w:val="001960DA"/>
    <w:rsid w:val="00196671"/>
    <w:rsid w:val="001968B9"/>
    <w:rsid w:val="00196FF3"/>
    <w:rsid w:val="00197417"/>
    <w:rsid w:val="00197630"/>
    <w:rsid w:val="001A0B6A"/>
    <w:rsid w:val="001A1299"/>
    <w:rsid w:val="001A15C6"/>
    <w:rsid w:val="001A25CF"/>
    <w:rsid w:val="001A3153"/>
    <w:rsid w:val="001A354D"/>
    <w:rsid w:val="001A37FC"/>
    <w:rsid w:val="001A445D"/>
    <w:rsid w:val="001A6C3B"/>
    <w:rsid w:val="001B0B3F"/>
    <w:rsid w:val="001B2B81"/>
    <w:rsid w:val="001B44BA"/>
    <w:rsid w:val="001B47AA"/>
    <w:rsid w:val="001B54C5"/>
    <w:rsid w:val="001B6801"/>
    <w:rsid w:val="001C04DF"/>
    <w:rsid w:val="001C0B53"/>
    <w:rsid w:val="001C0E25"/>
    <w:rsid w:val="001C1447"/>
    <w:rsid w:val="001C174A"/>
    <w:rsid w:val="001C1E2C"/>
    <w:rsid w:val="001C238D"/>
    <w:rsid w:val="001C293A"/>
    <w:rsid w:val="001C2D93"/>
    <w:rsid w:val="001C2FAA"/>
    <w:rsid w:val="001C3299"/>
    <w:rsid w:val="001C3DA9"/>
    <w:rsid w:val="001C4472"/>
    <w:rsid w:val="001C47A3"/>
    <w:rsid w:val="001C571C"/>
    <w:rsid w:val="001C5F5D"/>
    <w:rsid w:val="001C650B"/>
    <w:rsid w:val="001C6CD4"/>
    <w:rsid w:val="001C6FA7"/>
    <w:rsid w:val="001C7D21"/>
    <w:rsid w:val="001C7E8C"/>
    <w:rsid w:val="001D0373"/>
    <w:rsid w:val="001D0DC3"/>
    <w:rsid w:val="001D0F1A"/>
    <w:rsid w:val="001D0F96"/>
    <w:rsid w:val="001D23B8"/>
    <w:rsid w:val="001D2489"/>
    <w:rsid w:val="001D285D"/>
    <w:rsid w:val="001D3DBA"/>
    <w:rsid w:val="001D4C6B"/>
    <w:rsid w:val="001D51FE"/>
    <w:rsid w:val="001D5AB0"/>
    <w:rsid w:val="001D6BA6"/>
    <w:rsid w:val="001D790A"/>
    <w:rsid w:val="001E037F"/>
    <w:rsid w:val="001E04EB"/>
    <w:rsid w:val="001E1370"/>
    <w:rsid w:val="001E1EC8"/>
    <w:rsid w:val="001E38C9"/>
    <w:rsid w:val="001E3B2F"/>
    <w:rsid w:val="001E4621"/>
    <w:rsid w:val="001E4A31"/>
    <w:rsid w:val="001E5639"/>
    <w:rsid w:val="001E5C9B"/>
    <w:rsid w:val="001E7565"/>
    <w:rsid w:val="001F0892"/>
    <w:rsid w:val="001F08C2"/>
    <w:rsid w:val="001F0F09"/>
    <w:rsid w:val="001F2519"/>
    <w:rsid w:val="001F3CE5"/>
    <w:rsid w:val="001F40C7"/>
    <w:rsid w:val="001F421F"/>
    <w:rsid w:val="001F4249"/>
    <w:rsid w:val="001F4AB0"/>
    <w:rsid w:val="001F4F7E"/>
    <w:rsid w:val="001F562F"/>
    <w:rsid w:val="001F65DD"/>
    <w:rsid w:val="001F6D20"/>
    <w:rsid w:val="0020081F"/>
    <w:rsid w:val="002008C3"/>
    <w:rsid w:val="002025F0"/>
    <w:rsid w:val="0020266D"/>
    <w:rsid w:val="00202751"/>
    <w:rsid w:val="00203925"/>
    <w:rsid w:val="0020440D"/>
    <w:rsid w:val="0020475B"/>
    <w:rsid w:val="00205302"/>
    <w:rsid w:val="002058BB"/>
    <w:rsid w:val="00205C16"/>
    <w:rsid w:val="00205D6F"/>
    <w:rsid w:val="0020717A"/>
    <w:rsid w:val="0021095D"/>
    <w:rsid w:val="00211056"/>
    <w:rsid w:val="00211279"/>
    <w:rsid w:val="0021228E"/>
    <w:rsid w:val="00212EAE"/>
    <w:rsid w:val="002138EA"/>
    <w:rsid w:val="00213E5E"/>
    <w:rsid w:val="002146E9"/>
    <w:rsid w:val="00215360"/>
    <w:rsid w:val="002162C6"/>
    <w:rsid w:val="002169BE"/>
    <w:rsid w:val="00220359"/>
    <w:rsid w:val="00220BF2"/>
    <w:rsid w:val="0022177F"/>
    <w:rsid w:val="0022190B"/>
    <w:rsid w:val="00221C33"/>
    <w:rsid w:val="0022200C"/>
    <w:rsid w:val="002224F5"/>
    <w:rsid w:val="0022411B"/>
    <w:rsid w:val="002248CF"/>
    <w:rsid w:val="00224D24"/>
    <w:rsid w:val="00224D9E"/>
    <w:rsid w:val="00224EB0"/>
    <w:rsid w:val="00224FB2"/>
    <w:rsid w:val="00224FB9"/>
    <w:rsid w:val="002261F1"/>
    <w:rsid w:val="00226C7F"/>
    <w:rsid w:val="00226F6C"/>
    <w:rsid w:val="0022727C"/>
    <w:rsid w:val="00227905"/>
    <w:rsid w:val="00227E7E"/>
    <w:rsid w:val="0023260C"/>
    <w:rsid w:val="00233847"/>
    <w:rsid w:val="00233E2A"/>
    <w:rsid w:val="002343DA"/>
    <w:rsid w:val="00235175"/>
    <w:rsid w:val="00235FA3"/>
    <w:rsid w:val="002360C7"/>
    <w:rsid w:val="0023784B"/>
    <w:rsid w:val="0024100A"/>
    <w:rsid w:val="00241B4E"/>
    <w:rsid w:val="002424D2"/>
    <w:rsid w:val="00242B5F"/>
    <w:rsid w:val="00242C77"/>
    <w:rsid w:val="00242E13"/>
    <w:rsid w:val="0024346C"/>
    <w:rsid w:val="002435A0"/>
    <w:rsid w:val="00244BD7"/>
    <w:rsid w:val="00244E84"/>
    <w:rsid w:val="00245082"/>
    <w:rsid w:val="0024559C"/>
    <w:rsid w:val="002459F7"/>
    <w:rsid w:val="00246053"/>
    <w:rsid w:val="002466AB"/>
    <w:rsid w:val="00246C58"/>
    <w:rsid w:val="002470F9"/>
    <w:rsid w:val="00247E21"/>
    <w:rsid w:val="00250226"/>
    <w:rsid w:val="00250742"/>
    <w:rsid w:val="00250CC1"/>
    <w:rsid w:val="00250EAB"/>
    <w:rsid w:val="00251751"/>
    <w:rsid w:val="00252975"/>
    <w:rsid w:val="00252AEC"/>
    <w:rsid w:val="00252EBF"/>
    <w:rsid w:val="00253130"/>
    <w:rsid w:val="002547E9"/>
    <w:rsid w:val="00254AD4"/>
    <w:rsid w:val="00254DB3"/>
    <w:rsid w:val="00255291"/>
    <w:rsid w:val="00256602"/>
    <w:rsid w:val="0025719B"/>
    <w:rsid w:val="00257D9D"/>
    <w:rsid w:val="00257EBF"/>
    <w:rsid w:val="0026147C"/>
    <w:rsid w:val="002630F9"/>
    <w:rsid w:val="002637EF"/>
    <w:rsid w:val="00263FFB"/>
    <w:rsid w:val="00264161"/>
    <w:rsid w:val="00264275"/>
    <w:rsid w:val="0026446E"/>
    <w:rsid w:val="00264854"/>
    <w:rsid w:val="00264AA7"/>
    <w:rsid w:val="00264E1A"/>
    <w:rsid w:val="00266887"/>
    <w:rsid w:val="00266D08"/>
    <w:rsid w:val="00266FF3"/>
    <w:rsid w:val="00267023"/>
    <w:rsid w:val="002675F1"/>
    <w:rsid w:val="00270136"/>
    <w:rsid w:val="002702AB"/>
    <w:rsid w:val="00270671"/>
    <w:rsid w:val="00270B53"/>
    <w:rsid w:val="00270D15"/>
    <w:rsid w:val="00270D59"/>
    <w:rsid w:val="00273B19"/>
    <w:rsid w:val="00274992"/>
    <w:rsid w:val="00274C21"/>
    <w:rsid w:val="00276723"/>
    <w:rsid w:val="00280516"/>
    <w:rsid w:val="002809B3"/>
    <w:rsid w:val="002811AB"/>
    <w:rsid w:val="002827BF"/>
    <w:rsid w:val="00282BA0"/>
    <w:rsid w:val="00282F0A"/>
    <w:rsid w:val="002838A3"/>
    <w:rsid w:val="002839A5"/>
    <w:rsid w:val="00284B57"/>
    <w:rsid w:val="002852B0"/>
    <w:rsid w:val="00285648"/>
    <w:rsid w:val="00285776"/>
    <w:rsid w:val="00286FAB"/>
    <w:rsid w:val="002906CF"/>
    <w:rsid w:val="00290C18"/>
    <w:rsid w:val="00291A28"/>
    <w:rsid w:val="00292FD6"/>
    <w:rsid w:val="002931C6"/>
    <w:rsid w:val="0029403F"/>
    <w:rsid w:val="00295148"/>
    <w:rsid w:val="002951C4"/>
    <w:rsid w:val="002959AC"/>
    <w:rsid w:val="00297DA6"/>
    <w:rsid w:val="002A0FCC"/>
    <w:rsid w:val="002A11AE"/>
    <w:rsid w:val="002A193C"/>
    <w:rsid w:val="002A200D"/>
    <w:rsid w:val="002A2498"/>
    <w:rsid w:val="002A2685"/>
    <w:rsid w:val="002A2EBD"/>
    <w:rsid w:val="002A319B"/>
    <w:rsid w:val="002A3BC6"/>
    <w:rsid w:val="002A3E2D"/>
    <w:rsid w:val="002A5436"/>
    <w:rsid w:val="002A5908"/>
    <w:rsid w:val="002A5CBA"/>
    <w:rsid w:val="002A618E"/>
    <w:rsid w:val="002A63D7"/>
    <w:rsid w:val="002A7BB4"/>
    <w:rsid w:val="002A7D9C"/>
    <w:rsid w:val="002A7E45"/>
    <w:rsid w:val="002B0693"/>
    <w:rsid w:val="002B29B3"/>
    <w:rsid w:val="002B2CC0"/>
    <w:rsid w:val="002B2ED8"/>
    <w:rsid w:val="002B4B80"/>
    <w:rsid w:val="002B5511"/>
    <w:rsid w:val="002B612F"/>
    <w:rsid w:val="002B62C3"/>
    <w:rsid w:val="002B7440"/>
    <w:rsid w:val="002B77C7"/>
    <w:rsid w:val="002C06DB"/>
    <w:rsid w:val="002C1ADA"/>
    <w:rsid w:val="002C2B36"/>
    <w:rsid w:val="002C2C06"/>
    <w:rsid w:val="002C2D0F"/>
    <w:rsid w:val="002C42FE"/>
    <w:rsid w:val="002C440C"/>
    <w:rsid w:val="002C4422"/>
    <w:rsid w:val="002C49C6"/>
    <w:rsid w:val="002C4C23"/>
    <w:rsid w:val="002C4D22"/>
    <w:rsid w:val="002C4FDC"/>
    <w:rsid w:val="002C6220"/>
    <w:rsid w:val="002C6984"/>
    <w:rsid w:val="002C760D"/>
    <w:rsid w:val="002D0297"/>
    <w:rsid w:val="002D0776"/>
    <w:rsid w:val="002D095F"/>
    <w:rsid w:val="002D0961"/>
    <w:rsid w:val="002D0B24"/>
    <w:rsid w:val="002D1DC1"/>
    <w:rsid w:val="002D32A6"/>
    <w:rsid w:val="002D4026"/>
    <w:rsid w:val="002D5B11"/>
    <w:rsid w:val="002D6429"/>
    <w:rsid w:val="002D674F"/>
    <w:rsid w:val="002D7483"/>
    <w:rsid w:val="002D7871"/>
    <w:rsid w:val="002E0016"/>
    <w:rsid w:val="002E03E4"/>
    <w:rsid w:val="002E0975"/>
    <w:rsid w:val="002E09E4"/>
    <w:rsid w:val="002E0BA8"/>
    <w:rsid w:val="002E0D7C"/>
    <w:rsid w:val="002E16A8"/>
    <w:rsid w:val="002E338D"/>
    <w:rsid w:val="002E38A7"/>
    <w:rsid w:val="002E5C03"/>
    <w:rsid w:val="002E6992"/>
    <w:rsid w:val="002E69B1"/>
    <w:rsid w:val="002E6BF3"/>
    <w:rsid w:val="002F05D2"/>
    <w:rsid w:val="002F10D1"/>
    <w:rsid w:val="002F1AE8"/>
    <w:rsid w:val="002F32B6"/>
    <w:rsid w:val="002F54B1"/>
    <w:rsid w:val="002F5CBA"/>
    <w:rsid w:val="002F6CDC"/>
    <w:rsid w:val="002F7030"/>
    <w:rsid w:val="002F7084"/>
    <w:rsid w:val="002F71B9"/>
    <w:rsid w:val="002F7886"/>
    <w:rsid w:val="00300F90"/>
    <w:rsid w:val="00301736"/>
    <w:rsid w:val="003017A8"/>
    <w:rsid w:val="003017F3"/>
    <w:rsid w:val="003019B3"/>
    <w:rsid w:val="00303261"/>
    <w:rsid w:val="00303D92"/>
    <w:rsid w:val="0030466A"/>
    <w:rsid w:val="003049D3"/>
    <w:rsid w:val="003051F6"/>
    <w:rsid w:val="00305ACD"/>
    <w:rsid w:val="003064AC"/>
    <w:rsid w:val="003071C4"/>
    <w:rsid w:val="00310117"/>
    <w:rsid w:val="00310639"/>
    <w:rsid w:val="0031097A"/>
    <w:rsid w:val="00311E4E"/>
    <w:rsid w:val="003126FC"/>
    <w:rsid w:val="0031289C"/>
    <w:rsid w:val="00312F79"/>
    <w:rsid w:val="00313D69"/>
    <w:rsid w:val="00314084"/>
    <w:rsid w:val="00314695"/>
    <w:rsid w:val="00314FD2"/>
    <w:rsid w:val="0031533D"/>
    <w:rsid w:val="0031638A"/>
    <w:rsid w:val="003165DA"/>
    <w:rsid w:val="00317317"/>
    <w:rsid w:val="0031796B"/>
    <w:rsid w:val="00320B4C"/>
    <w:rsid w:val="00320BDC"/>
    <w:rsid w:val="003217EB"/>
    <w:rsid w:val="003219AA"/>
    <w:rsid w:val="00321AA4"/>
    <w:rsid w:val="00321EBD"/>
    <w:rsid w:val="0032269F"/>
    <w:rsid w:val="00322A57"/>
    <w:rsid w:val="003242EC"/>
    <w:rsid w:val="0032430F"/>
    <w:rsid w:val="00324510"/>
    <w:rsid w:val="0032465C"/>
    <w:rsid w:val="00325403"/>
    <w:rsid w:val="00325EE1"/>
    <w:rsid w:val="00326C03"/>
    <w:rsid w:val="0032723B"/>
    <w:rsid w:val="00327B6E"/>
    <w:rsid w:val="003301B9"/>
    <w:rsid w:val="00330E94"/>
    <w:rsid w:val="00330EEF"/>
    <w:rsid w:val="00332B0E"/>
    <w:rsid w:val="00332CB3"/>
    <w:rsid w:val="00333136"/>
    <w:rsid w:val="003355A5"/>
    <w:rsid w:val="00336DB7"/>
    <w:rsid w:val="00341B4F"/>
    <w:rsid w:val="00342B9B"/>
    <w:rsid w:val="0034311C"/>
    <w:rsid w:val="003432D5"/>
    <w:rsid w:val="003436A1"/>
    <w:rsid w:val="00343806"/>
    <w:rsid w:val="0034408C"/>
    <w:rsid w:val="0034441B"/>
    <w:rsid w:val="003448B9"/>
    <w:rsid w:val="0034499C"/>
    <w:rsid w:val="00344EEF"/>
    <w:rsid w:val="003457BF"/>
    <w:rsid w:val="00345BF5"/>
    <w:rsid w:val="00345D63"/>
    <w:rsid w:val="00345EFC"/>
    <w:rsid w:val="00347C6B"/>
    <w:rsid w:val="00347CEC"/>
    <w:rsid w:val="003508A7"/>
    <w:rsid w:val="0035148E"/>
    <w:rsid w:val="00351E22"/>
    <w:rsid w:val="00352EF1"/>
    <w:rsid w:val="00355AA0"/>
    <w:rsid w:val="00356ADF"/>
    <w:rsid w:val="00356EA1"/>
    <w:rsid w:val="00357B37"/>
    <w:rsid w:val="003607BA"/>
    <w:rsid w:val="003614DA"/>
    <w:rsid w:val="00361A86"/>
    <w:rsid w:val="00362342"/>
    <w:rsid w:val="00363945"/>
    <w:rsid w:val="00364164"/>
    <w:rsid w:val="003648E6"/>
    <w:rsid w:val="00364DD1"/>
    <w:rsid w:val="003654CE"/>
    <w:rsid w:val="0036725F"/>
    <w:rsid w:val="0036737B"/>
    <w:rsid w:val="0037142D"/>
    <w:rsid w:val="00372AA8"/>
    <w:rsid w:val="00372D16"/>
    <w:rsid w:val="00373A0D"/>
    <w:rsid w:val="00373B78"/>
    <w:rsid w:val="00374008"/>
    <w:rsid w:val="003749F9"/>
    <w:rsid w:val="00375105"/>
    <w:rsid w:val="003756F0"/>
    <w:rsid w:val="0037698F"/>
    <w:rsid w:val="003776A6"/>
    <w:rsid w:val="00377A2F"/>
    <w:rsid w:val="003800CE"/>
    <w:rsid w:val="003803F8"/>
    <w:rsid w:val="00382278"/>
    <w:rsid w:val="00382388"/>
    <w:rsid w:val="0038296A"/>
    <w:rsid w:val="00383B1E"/>
    <w:rsid w:val="00383E97"/>
    <w:rsid w:val="00384033"/>
    <w:rsid w:val="00384C4B"/>
    <w:rsid w:val="00385592"/>
    <w:rsid w:val="003940F5"/>
    <w:rsid w:val="003942B3"/>
    <w:rsid w:val="003943E8"/>
    <w:rsid w:val="00395E43"/>
    <w:rsid w:val="0039682E"/>
    <w:rsid w:val="00397686"/>
    <w:rsid w:val="00397F1E"/>
    <w:rsid w:val="003A00F6"/>
    <w:rsid w:val="003A089B"/>
    <w:rsid w:val="003A11AC"/>
    <w:rsid w:val="003A1460"/>
    <w:rsid w:val="003A1926"/>
    <w:rsid w:val="003A4479"/>
    <w:rsid w:val="003A4C45"/>
    <w:rsid w:val="003A5CCC"/>
    <w:rsid w:val="003A64F6"/>
    <w:rsid w:val="003A68A0"/>
    <w:rsid w:val="003A6C8A"/>
    <w:rsid w:val="003A771E"/>
    <w:rsid w:val="003B0395"/>
    <w:rsid w:val="003B03BE"/>
    <w:rsid w:val="003B0AD6"/>
    <w:rsid w:val="003B0DD8"/>
    <w:rsid w:val="003B1119"/>
    <w:rsid w:val="003B1425"/>
    <w:rsid w:val="003B1DD8"/>
    <w:rsid w:val="003B2FDF"/>
    <w:rsid w:val="003B34C1"/>
    <w:rsid w:val="003B3F7C"/>
    <w:rsid w:val="003B4D0E"/>
    <w:rsid w:val="003B5744"/>
    <w:rsid w:val="003B5EBA"/>
    <w:rsid w:val="003B5EFC"/>
    <w:rsid w:val="003B7917"/>
    <w:rsid w:val="003C05A9"/>
    <w:rsid w:val="003C0CBC"/>
    <w:rsid w:val="003C0DD4"/>
    <w:rsid w:val="003C0E46"/>
    <w:rsid w:val="003C0F02"/>
    <w:rsid w:val="003C11B7"/>
    <w:rsid w:val="003C1AAB"/>
    <w:rsid w:val="003C1CE6"/>
    <w:rsid w:val="003C208B"/>
    <w:rsid w:val="003C2468"/>
    <w:rsid w:val="003C26DF"/>
    <w:rsid w:val="003C2BB9"/>
    <w:rsid w:val="003C2CEF"/>
    <w:rsid w:val="003C3A86"/>
    <w:rsid w:val="003C3F85"/>
    <w:rsid w:val="003C41E9"/>
    <w:rsid w:val="003C49C0"/>
    <w:rsid w:val="003C59D0"/>
    <w:rsid w:val="003C6BC7"/>
    <w:rsid w:val="003C6D35"/>
    <w:rsid w:val="003C6E13"/>
    <w:rsid w:val="003C7068"/>
    <w:rsid w:val="003C79D1"/>
    <w:rsid w:val="003D2352"/>
    <w:rsid w:val="003D2E2E"/>
    <w:rsid w:val="003D2FF6"/>
    <w:rsid w:val="003D332D"/>
    <w:rsid w:val="003D37F6"/>
    <w:rsid w:val="003D454B"/>
    <w:rsid w:val="003D4609"/>
    <w:rsid w:val="003D4BC6"/>
    <w:rsid w:val="003D547D"/>
    <w:rsid w:val="003D597A"/>
    <w:rsid w:val="003D5D7E"/>
    <w:rsid w:val="003D6094"/>
    <w:rsid w:val="003D7ECB"/>
    <w:rsid w:val="003E0003"/>
    <w:rsid w:val="003E0A19"/>
    <w:rsid w:val="003E0E64"/>
    <w:rsid w:val="003E157F"/>
    <w:rsid w:val="003E21A3"/>
    <w:rsid w:val="003E429F"/>
    <w:rsid w:val="003E5022"/>
    <w:rsid w:val="003E5AB4"/>
    <w:rsid w:val="003E5B7F"/>
    <w:rsid w:val="003E6472"/>
    <w:rsid w:val="003E6BF7"/>
    <w:rsid w:val="003E6CFE"/>
    <w:rsid w:val="003E70D2"/>
    <w:rsid w:val="003E7E9B"/>
    <w:rsid w:val="003F07C4"/>
    <w:rsid w:val="003F1F31"/>
    <w:rsid w:val="003F26EB"/>
    <w:rsid w:val="003F286D"/>
    <w:rsid w:val="003F3DDA"/>
    <w:rsid w:val="003F4213"/>
    <w:rsid w:val="003F5A16"/>
    <w:rsid w:val="003F5F95"/>
    <w:rsid w:val="003F61DF"/>
    <w:rsid w:val="003F7972"/>
    <w:rsid w:val="003F7F13"/>
    <w:rsid w:val="00400D22"/>
    <w:rsid w:val="00402C6E"/>
    <w:rsid w:val="00404F61"/>
    <w:rsid w:val="004050E6"/>
    <w:rsid w:val="00405170"/>
    <w:rsid w:val="00405E0C"/>
    <w:rsid w:val="00406135"/>
    <w:rsid w:val="00406CAE"/>
    <w:rsid w:val="00407D79"/>
    <w:rsid w:val="00410113"/>
    <w:rsid w:val="00410A26"/>
    <w:rsid w:val="004113EA"/>
    <w:rsid w:val="00411831"/>
    <w:rsid w:val="00411C84"/>
    <w:rsid w:val="004123FA"/>
    <w:rsid w:val="004128A9"/>
    <w:rsid w:val="00412A71"/>
    <w:rsid w:val="00414288"/>
    <w:rsid w:val="00414C52"/>
    <w:rsid w:val="00414D41"/>
    <w:rsid w:val="00414D4F"/>
    <w:rsid w:val="00415642"/>
    <w:rsid w:val="0041592A"/>
    <w:rsid w:val="004167CF"/>
    <w:rsid w:val="00416EF5"/>
    <w:rsid w:val="0041779C"/>
    <w:rsid w:val="00420D3A"/>
    <w:rsid w:val="00420FAA"/>
    <w:rsid w:val="00423E11"/>
    <w:rsid w:val="00425B78"/>
    <w:rsid w:val="00426210"/>
    <w:rsid w:val="004265D0"/>
    <w:rsid w:val="0042660A"/>
    <w:rsid w:val="004266CB"/>
    <w:rsid w:val="00426C76"/>
    <w:rsid w:val="004271AE"/>
    <w:rsid w:val="00427339"/>
    <w:rsid w:val="004302B1"/>
    <w:rsid w:val="00430446"/>
    <w:rsid w:val="00430F48"/>
    <w:rsid w:val="004312CE"/>
    <w:rsid w:val="00431471"/>
    <w:rsid w:val="00432123"/>
    <w:rsid w:val="00432AB8"/>
    <w:rsid w:val="00432D29"/>
    <w:rsid w:val="004345E1"/>
    <w:rsid w:val="004348F2"/>
    <w:rsid w:val="0043529C"/>
    <w:rsid w:val="00435311"/>
    <w:rsid w:val="00435ABD"/>
    <w:rsid w:val="00435CE8"/>
    <w:rsid w:val="00435ED9"/>
    <w:rsid w:val="00436597"/>
    <w:rsid w:val="00436764"/>
    <w:rsid w:val="00436BD4"/>
    <w:rsid w:val="00436F4C"/>
    <w:rsid w:val="004372B2"/>
    <w:rsid w:val="00437B81"/>
    <w:rsid w:val="00437CE9"/>
    <w:rsid w:val="00440333"/>
    <w:rsid w:val="00440C7D"/>
    <w:rsid w:val="00440F43"/>
    <w:rsid w:val="004416AE"/>
    <w:rsid w:val="0044178B"/>
    <w:rsid w:val="00441E7E"/>
    <w:rsid w:val="0044275F"/>
    <w:rsid w:val="004438D7"/>
    <w:rsid w:val="00443B66"/>
    <w:rsid w:val="00444081"/>
    <w:rsid w:val="0044476B"/>
    <w:rsid w:val="00444DE7"/>
    <w:rsid w:val="00445596"/>
    <w:rsid w:val="004472C5"/>
    <w:rsid w:val="0044791B"/>
    <w:rsid w:val="0045072C"/>
    <w:rsid w:val="0045077C"/>
    <w:rsid w:val="00450A1D"/>
    <w:rsid w:val="00451EAB"/>
    <w:rsid w:val="0045354A"/>
    <w:rsid w:val="00454E0B"/>
    <w:rsid w:val="0045542B"/>
    <w:rsid w:val="00455FD3"/>
    <w:rsid w:val="004562E0"/>
    <w:rsid w:val="00457004"/>
    <w:rsid w:val="00457B8E"/>
    <w:rsid w:val="00460009"/>
    <w:rsid w:val="0046041A"/>
    <w:rsid w:val="004616D5"/>
    <w:rsid w:val="00461E1B"/>
    <w:rsid w:val="00462700"/>
    <w:rsid w:val="00462F9D"/>
    <w:rsid w:val="004631B0"/>
    <w:rsid w:val="0046403A"/>
    <w:rsid w:val="00464699"/>
    <w:rsid w:val="00464A2A"/>
    <w:rsid w:val="00464AE0"/>
    <w:rsid w:val="00464EA7"/>
    <w:rsid w:val="00465C23"/>
    <w:rsid w:val="00465E65"/>
    <w:rsid w:val="004660AB"/>
    <w:rsid w:val="00466947"/>
    <w:rsid w:val="00466F8E"/>
    <w:rsid w:val="0046758B"/>
    <w:rsid w:val="00470194"/>
    <w:rsid w:val="00470A0A"/>
    <w:rsid w:val="00470E51"/>
    <w:rsid w:val="004716EC"/>
    <w:rsid w:val="00471966"/>
    <w:rsid w:val="00471D20"/>
    <w:rsid w:val="00474197"/>
    <w:rsid w:val="0047428D"/>
    <w:rsid w:val="0047475A"/>
    <w:rsid w:val="00475080"/>
    <w:rsid w:val="004755EC"/>
    <w:rsid w:val="00475636"/>
    <w:rsid w:val="00476753"/>
    <w:rsid w:val="00476B79"/>
    <w:rsid w:val="00477330"/>
    <w:rsid w:val="0047780A"/>
    <w:rsid w:val="00477DA0"/>
    <w:rsid w:val="00481941"/>
    <w:rsid w:val="0048290E"/>
    <w:rsid w:val="00484747"/>
    <w:rsid w:val="00485392"/>
    <w:rsid w:val="0048557F"/>
    <w:rsid w:val="00485D93"/>
    <w:rsid w:val="0048617F"/>
    <w:rsid w:val="00486A37"/>
    <w:rsid w:val="00487616"/>
    <w:rsid w:val="0048795A"/>
    <w:rsid w:val="00493879"/>
    <w:rsid w:val="00494A1D"/>
    <w:rsid w:val="00495B96"/>
    <w:rsid w:val="00495F1D"/>
    <w:rsid w:val="004965A1"/>
    <w:rsid w:val="004966FD"/>
    <w:rsid w:val="00497EEB"/>
    <w:rsid w:val="004A01B4"/>
    <w:rsid w:val="004A06EA"/>
    <w:rsid w:val="004A0886"/>
    <w:rsid w:val="004A0903"/>
    <w:rsid w:val="004A1070"/>
    <w:rsid w:val="004A1116"/>
    <w:rsid w:val="004A15A1"/>
    <w:rsid w:val="004A1EB7"/>
    <w:rsid w:val="004A1F76"/>
    <w:rsid w:val="004A2DB7"/>
    <w:rsid w:val="004A3C0A"/>
    <w:rsid w:val="004A51EB"/>
    <w:rsid w:val="004A57E5"/>
    <w:rsid w:val="004A5C0E"/>
    <w:rsid w:val="004A77F7"/>
    <w:rsid w:val="004B07AA"/>
    <w:rsid w:val="004B07DD"/>
    <w:rsid w:val="004B0F4B"/>
    <w:rsid w:val="004B14FA"/>
    <w:rsid w:val="004B28AA"/>
    <w:rsid w:val="004B367F"/>
    <w:rsid w:val="004B3E14"/>
    <w:rsid w:val="004B415E"/>
    <w:rsid w:val="004B469B"/>
    <w:rsid w:val="004B4752"/>
    <w:rsid w:val="004B5902"/>
    <w:rsid w:val="004B5A07"/>
    <w:rsid w:val="004B6896"/>
    <w:rsid w:val="004B6984"/>
    <w:rsid w:val="004B73D8"/>
    <w:rsid w:val="004B75E7"/>
    <w:rsid w:val="004B7EA1"/>
    <w:rsid w:val="004C13D9"/>
    <w:rsid w:val="004C1C7D"/>
    <w:rsid w:val="004C2120"/>
    <w:rsid w:val="004C3128"/>
    <w:rsid w:val="004C31F9"/>
    <w:rsid w:val="004C33C5"/>
    <w:rsid w:val="004C3DCB"/>
    <w:rsid w:val="004C4728"/>
    <w:rsid w:val="004C47B6"/>
    <w:rsid w:val="004C4EFE"/>
    <w:rsid w:val="004C525B"/>
    <w:rsid w:val="004C5328"/>
    <w:rsid w:val="004C6374"/>
    <w:rsid w:val="004C6711"/>
    <w:rsid w:val="004D0BFA"/>
    <w:rsid w:val="004D11ED"/>
    <w:rsid w:val="004D33FE"/>
    <w:rsid w:val="004D4743"/>
    <w:rsid w:val="004D523F"/>
    <w:rsid w:val="004D56AE"/>
    <w:rsid w:val="004D5CC0"/>
    <w:rsid w:val="004D6671"/>
    <w:rsid w:val="004D71CA"/>
    <w:rsid w:val="004D7DFA"/>
    <w:rsid w:val="004E0EE9"/>
    <w:rsid w:val="004E1AD6"/>
    <w:rsid w:val="004E2107"/>
    <w:rsid w:val="004E2258"/>
    <w:rsid w:val="004E2936"/>
    <w:rsid w:val="004E293F"/>
    <w:rsid w:val="004E2992"/>
    <w:rsid w:val="004E2C52"/>
    <w:rsid w:val="004E2D37"/>
    <w:rsid w:val="004E2F4B"/>
    <w:rsid w:val="004E3369"/>
    <w:rsid w:val="004E38F9"/>
    <w:rsid w:val="004E41E8"/>
    <w:rsid w:val="004E43A3"/>
    <w:rsid w:val="004E4E26"/>
    <w:rsid w:val="004E5A25"/>
    <w:rsid w:val="004E5C23"/>
    <w:rsid w:val="004E5C2A"/>
    <w:rsid w:val="004E65C6"/>
    <w:rsid w:val="004E73A8"/>
    <w:rsid w:val="004F1204"/>
    <w:rsid w:val="004F158A"/>
    <w:rsid w:val="004F190D"/>
    <w:rsid w:val="004F238A"/>
    <w:rsid w:val="004F277A"/>
    <w:rsid w:val="004F2ED1"/>
    <w:rsid w:val="004F3960"/>
    <w:rsid w:val="004F4CAC"/>
    <w:rsid w:val="004F6A71"/>
    <w:rsid w:val="004F72BD"/>
    <w:rsid w:val="004F7638"/>
    <w:rsid w:val="004F7831"/>
    <w:rsid w:val="004F7B3B"/>
    <w:rsid w:val="0050108D"/>
    <w:rsid w:val="005011F5"/>
    <w:rsid w:val="00501611"/>
    <w:rsid w:val="00501D3E"/>
    <w:rsid w:val="00502B16"/>
    <w:rsid w:val="00502EDC"/>
    <w:rsid w:val="00503268"/>
    <w:rsid w:val="00503D62"/>
    <w:rsid w:val="00503EFC"/>
    <w:rsid w:val="00504E55"/>
    <w:rsid w:val="00505E5E"/>
    <w:rsid w:val="00506152"/>
    <w:rsid w:val="00506163"/>
    <w:rsid w:val="00506982"/>
    <w:rsid w:val="0050792E"/>
    <w:rsid w:val="00507AA6"/>
    <w:rsid w:val="005101E2"/>
    <w:rsid w:val="00510633"/>
    <w:rsid w:val="00511843"/>
    <w:rsid w:val="00511B25"/>
    <w:rsid w:val="00512EF4"/>
    <w:rsid w:val="00513A35"/>
    <w:rsid w:val="00513D71"/>
    <w:rsid w:val="005147E0"/>
    <w:rsid w:val="00514AB6"/>
    <w:rsid w:val="005161AA"/>
    <w:rsid w:val="00516344"/>
    <w:rsid w:val="005164F4"/>
    <w:rsid w:val="005169E7"/>
    <w:rsid w:val="00516B14"/>
    <w:rsid w:val="00516EA1"/>
    <w:rsid w:val="00517139"/>
    <w:rsid w:val="00517217"/>
    <w:rsid w:val="0051779D"/>
    <w:rsid w:val="00521189"/>
    <w:rsid w:val="00521DE1"/>
    <w:rsid w:val="00522342"/>
    <w:rsid w:val="00522BA0"/>
    <w:rsid w:val="00522E3D"/>
    <w:rsid w:val="00523933"/>
    <w:rsid w:val="0052399C"/>
    <w:rsid w:val="00523D11"/>
    <w:rsid w:val="00525234"/>
    <w:rsid w:val="00526FDF"/>
    <w:rsid w:val="00527319"/>
    <w:rsid w:val="0052757F"/>
    <w:rsid w:val="005275BD"/>
    <w:rsid w:val="005279C9"/>
    <w:rsid w:val="00530004"/>
    <w:rsid w:val="0053018F"/>
    <w:rsid w:val="00530728"/>
    <w:rsid w:val="00531266"/>
    <w:rsid w:val="0053212F"/>
    <w:rsid w:val="00532609"/>
    <w:rsid w:val="00532DD2"/>
    <w:rsid w:val="0053359D"/>
    <w:rsid w:val="0053384B"/>
    <w:rsid w:val="00533A64"/>
    <w:rsid w:val="00534000"/>
    <w:rsid w:val="0053486B"/>
    <w:rsid w:val="005356CD"/>
    <w:rsid w:val="00540B70"/>
    <w:rsid w:val="00541409"/>
    <w:rsid w:val="005422C0"/>
    <w:rsid w:val="005433D1"/>
    <w:rsid w:val="0054406E"/>
    <w:rsid w:val="0054437B"/>
    <w:rsid w:val="0054498B"/>
    <w:rsid w:val="0054516D"/>
    <w:rsid w:val="00546867"/>
    <w:rsid w:val="00547F39"/>
    <w:rsid w:val="00550BD2"/>
    <w:rsid w:val="00550FE3"/>
    <w:rsid w:val="00551781"/>
    <w:rsid w:val="00551A14"/>
    <w:rsid w:val="00553061"/>
    <w:rsid w:val="00553238"/>
    <w:rsid w:val="00553B11"/>
    <w:rsid w:val="005564D5"/>
    <w:rsid w:val="00557764"/>
    <w:rsid w:val="0056041A"/>
    <w:rsid w:val="00560786"/>
    <w:rsid w:val="00561451"/>
    <w:rsid w:val="00561F0C"/>
    <w:rsid w:val="0056212B"/>
    <w:rsid w:val="0056286A"/>
    <w:rsid w:val="005637F0"/>
    <w:rsid w:val="0056486F"/>
    <w:rsid w:val="00564C1B"/>
    <w:rsid w:val="00566E02"/>
    <w:rsid w:val="00567CF2"/>
    <w:rsid w:val="00570AD3"/>
    <w:rsid w:val="00571094"/>
    <w:rsid w:val="0057122E"/>
    <w:rsid w:val="00571296"/>
    <w:rsid w:val="005722B3"/>
    <w:rsid w:val="00572AE8"/>
    <w:rsid w:val="00573E5B"/>
    <w:rsid w:val="005742E2"/>
    <w:rsid w:val="00574A91"/>
    <w:rsid w:val="00576B4B"/>
    <w:rsid w:val="00576B53"/>
    <w:rsid w:val="00580F60"/>
    <w:rsid w:val="005810BA"/>
    <w:rsid w:val="00581784"/>
    <w:rsid w:val="005821E1"/>
    <w:rsid w:val="005822F2"/>
    <w:rsid w:val="00582BB5"/>
    <w:rsid w:val="005831AC"/>
    <w:rsid w:val="005839E2"/>
    <w:rsid w:val="00584320"/>
    <w:rsid w:val="00585D34"/>
    <w:rsid w:val="0058659F"/>
    <w:rsid w:val="00586865"/>
    <w:rsid w:val="00586C54"/>
    <w:rsid w:val="00587110"/>
    <w:rsid w:val="0058720B"/>
    <w:rsid w:val="005878DD"/>
    <w:rsid w:val="005917F2"/>
    <w:rsid w:val="005919C0"/>
    <w:rsid w:val="0059268E"/>
    <w:rsid w:val="00592C7E"/>
    <w:rsid w:val="00592F4E"/>
    <w:rsid w:val="005931C4"/>
    <w:rsid w:val="00593434"/>
    <w:rsid w:val="00593452"/>
    <w:rsid w:val="00593A80"/>
    <w:rsid w:val="00593BE6"/>
    <w:rsid w:val="00593FC3"/>
    <w:rsid w:val="005944D8"/>
    <w:rsid w:val="005946E9"/>
    <w:rsid w:val="00594CCB"/>
    <w:rsid w:val="00594DAE"/>
    <w:rsid w:val="0059533C"/>
    <w:rsid w:val="00595DF8"/>
    <w:rsid w:val="005966B4"/>
    <w:rsid w:val="005967FD"/>
    <w:rsid w:val="00596D33"/>
    <w:rsid w:val="00597EBB"/>
    <w:rsid w:val="005A03EC"/>
    <w:rsid w:val="005A0BCC"/>
    <w:rsid w:val="005A1C93"/>
    <w:rsid w:val="005A207C"/>
    <w:rsid w:val="005A2537"/>
    <w:rsid w:val="005A2B89"/>
    <w:rsid w:val="005A30B8"/>
    <w:rsid w:val="005A31D9"/>
    <w:rsid w:val="005A374C"/>
    <w:rsid w:val="005A3B00"/>
    <w:rsid w:val="005A3C03"/>
    <w:rsid w:val="005A424B"/>
    <w:rsid w:val="005A4D85"/>
    <w:rsid w:val="005A6915"/>
    <w:rsid w:val="005A6BB7"/>
    <w:rsid w:val="005A70CD"/>
    <w:rsid w:val="005A7178"/>
    <w:rsid w:val="005A7320"/>
    <w:rsid w:val="005A7688"/>
    <w:rsid w:val="005A7814"/>
    <w:rsid w:val="005A7BC7"/>
    <w:rsid w:val="005B00EE"/>
    <w:rsid w:val="005B03C2"/>
    <w:rsid w:val="005B0AB9"/>
    <w:rsid w:val="005B145C"/>
    <w:rsid w:val="005B20E3"/>
    <w:rsid w:val="005B27C8"/>
    <w:rsid w:val="005B2EA1"/>
    <w:rsid w:val="005B4B9E"/>
    <w:rsid w:val="005B583B"/>
    <w:rsid w:val="005B623C"/>
    <w:rsid w:val="005B65B5"/>
    <w:rsid w:val="005B72C2"/>
    <w:rsid w:val="005C00AD"/>
    <w:rsid w:val="005C0FDA"/>
    <w:rsid w:val="005C1DA3"/>
    <w:rsid w:val="005C31CD"/>
    <w:rsid w:val="005C39E0"/>
    <w:rsid w:val="005C4A03"/>
    <w:rsid w:val="005C4DAB"/>
    <w:rsid w:val="005C4DE6"/>
    <w:rsid w:val="005C557E"/>
    <w:rsid w:val="005C785E"/>
    <w:rsid w:val="005C78F0"/>
    <w:rsid w:val="005D0B70"/>
    <w:rsid w:val="005D0ED9"/>
    <w:rsid w:val="005D1083"/>
    <w:rsid w:val="005D12C1"/>
    <w:rsid w:val="005D139A"/>
    <w:rsid w:val="005D1B51"/>
    <w:rsid w:val="005D2234"/>
    <w:rsid w:val="005D37EE"/>
    <w:rsid w:val="005D38FD"/>
    <w:rsid w:val="005D4B8D"/>
    <w:rsid w:val="005D4EE7"/>
    <w:rsid w:val="005D5BC0"/>
    <w:rsid w:val="005D6D2D"/>
    <w:rsid w:val="005D6E55"/>
    <w:rsid w:val="005D6E62"/>
    <w:rsid w:val="005E0A4B"/>
    <w:rsid w:val="005E108A"/>
    <w:rsid w:val="005E1212"/>
    <w:rsid w:val="005E12CC"/>
    <w:rsid w:val="005E1AEF"/>
    <w:rsid w:val="005E2390"/>
    <w:rsid w:val="005E34ED"/>
    <w:rsid w:val="005E3D6A"/>
    <w:rsid w:val="005E495F"/>
    <w:rsid w:val="005E4E0A"/>
    <w:rsid w:val="005F0583"/>
    <w:rsid w:val="005F0FE8"/>
    <w:rsid w:val="005F10C7"/>
    <w:rsid w:val="005F1825"/>
    <w:rsid w:val="005F2242"/>
    <w:rsid w:val="005F2323"/>
    <w:rsid w:val="005F24F7"/>
    <w:rsid w:val="005F2A44"/>
    <w:rsid w:val="005F44B8"/>
    <w:rsid w:val="005F47AF"/>
    <w:rsid w:val="005F4E66"/>
    <w:rsid w:val="005F5BE0"/>
    <w:rsid w:val="005F6204"/>
    <w:rsid w:val="005F6EA2"/>
    <w:rsid w:val="005F71A0"/>
    <w:rsid w:val="005F74E5"/>
    <w:rsid w:val="00600C18"/>
    <w:rsid w:val="00602B31"/>
    <w:rsid w:val="006046CC"/>
    <w:rsid w:val="00604C5D"/>
    <w:rsid w:val="0060516A"/>
    <w:rsid w:val="00605521"/>
    <w:rsid w:val="006055D1"/>
    <w:rsid w:val="00605777"/>
    <w:rsid w:val="00605AF7"/>
    <w:rsid w:val="006069DB"/>
    <w:rsid w:val="00607060"/>
    <w:rsid w:val="006074F5"/>
    <w:rsid w:val="00607EE6"/>
    <w:rsid w:val="00607F08"/>
    <w:rsid w:val="00610305"/>
    <w:rsid w:val="00610BEB"/>
    <w:rsid w:val="006110BE"/>
    <w:rsid w:val="00611760"/>
    <w:rsid w:val="006117A1"/>
    <w:rsid w:val="00611854"/>
    <w:rsid w:val="006127F1"/>
    <w:rsid w:val="006137F7"/>
    <w:rsid w:val="00613F44"/>
    <w:rsid w:val="006148EB"/>
    <w:rsid w:val="006150D5"/>
    <w:rsid w:val="00615F98"/>
    <w:rsid w:val="00617100"/>
    <w:rsid w:val="00617B33"/>
    <w:rsid w:val="00617DD6"/>
    <w:rsid w:val="0062029E"/>
    <w:rsid w:val="00620A21"/>
    <w:rsid w:val="00620FB4"/>
    <w:rsid w:val="0062100B"/>
    <w:rsid w:val="0062118C"/>
    <w:rsid w:val="006212BA"/>
    <w:rsid w:val="00621A3D"/>
    <w:rsid w:val="006230EF"/>
    <w:rsid w:val="00623130"/>
    <w:rsid w:val="00625111"/>
    <w:rsid w:val="00625C53"/>
    <w:rsid w:val="00625F58"/>
    <w:rsid w:val="006267F3"/>
    <w:rsid w:val="00626C5F"/>
    <w:rsid w:val="00627250"/>
    <w:rsid w:val="00627F10"/>
    <w:rsid w:val="00632CB2"/>
    <w:rsid w:val="00633202"/>
    <w:rsid w:val="00633E58"/>
    <w:rsid w:val="0063430F"/>
    <w:rsid w:val="006351A1"/>
    <w:rsid w:val="00636040"/>
    <w:rsid w:val="00636075"/>
    <w:rsid w:val="006367B0"/>
    <w:rsid w:val="006368A7"/>
    <w:rsid w:val="00636F22"/>
    <w:rsid w:val="00636F2F"/>
    <w:rsid w:val="00637F84"/>
    <w:rsid w:val="00640C14"/>
    <w:rsid w:val="00640DF7"/>
    <w:rsid w:val="006410E5"/>
    <w:rsid w:val="006420EC"/>
    <w:rsid w:val="00642525"/>
    <w:rsid w:val="0064258D"/>
    <w:rsid w:val="006428A4"/>
    <w:rsid w:val="0064312C"/>
    <w:rsid w:val="00644084"/>
    <w:rsid w:val="0064465A"/>
    <w:rsid w:val="00644753"/>
    <w:rsid w:val="00647BCA"/>
    <w:rsid w:val="00647C04"/>
    <w:rsid w:val="0065001F"/>
    <w:rsid w:val="006502A9"/>
    <w:rsid w:val="00650844"/>
    <w:rsid w:val="00651924"/>
    <w:rsid w:val="0065250A"/>
    <w:rsid w:val="00652A1A"/>
    <w:rsid w:val="00653061"/>
    <w:rsid w:val="0065362B"/>
    <w:rsid w:val="00653B08"/>
    <w:rsid w:val="00655B25"/>
    <w:rsid w:val="006575E8"/>
    <w:rsid w:val="006579AB"/>
    <w:rsid w:val="00657ACC"/>
    <w:rsid w:val="00661728"/>
    <w:rsid w:val="006622ED"/>
    <w:rsid w:val="00662B33"/>
    <w:rsid w:val="0066365A"/>
    <w:rsid w:val="00663848"/>
    <w:rsid w:val="00663A45"/>
    <w:rsid w:val="00663E20"/>
    <w:rsid w:val="00663E52"/>
    <w:rsid w:val="00664412"/>
    <w:rsid w:val="00665BB6"/>
    <w:rsid w:val="00667F95"/>
    <w:rsid w:val="006701D0"/>
    <w:rsid w:val="00670395"/>
    <w:rsid w:val="00670FA8"/>
    <w:rsid w:val="006722F3"/>
    <w:rsid w:val="006735D7"/>
    <w:rsid w:val="0067437C"/>
    <w:rsid w:val="006746FC"/>
    <w:rsid w:val="00674FC1"/>
    <w:rsid w:val="00675004"/>
    <w:rsid w:val="00675B56"/>
    <w:rsid w:val="00676BB2"/>
    <w:rsid w:val="006779B9"/>
    <w:rsid w:val="00681209"/>
    <w:rsid w:val="00681A27"/>
    <w:rsid w:val="00683118"/>
    <w:rsid w:val="00684BC9"/>
    <w:rsid w:val="0068542E"/>
    <w:rsid w:val="006855C9"/>
    <w:rsid w:val="00686624"/>
    <w:rsid w:val="00687B5C"/>
    <w:rsid w:val="0069304D"/>
    <w:rsid w:val="006937A9"/>
    <w:rsid w:val="00694362"/>
    <w:rsid w:val="00694975"/>
    <w:rsid w:val="00695AB9"/>
    <w:rsid w:val="00696C93"/>
    <w:rsid w:val="00696E69"/>
    <w:rsid w:val="00696F97"/>
    <w:rsid w:val="00697CA3"/>
    <w:rsid w:val="006A0138"/>
    <w:rsid w:val="006A03F8"/>
    <w:rsid w:val="006A0425"/>
    <w:rsid w:val="006A04BB"/>
    <w:rsid w:val="006A3CE8"/>
    <w:rsid w:val="006A423B"/>
    <w:rsid w:val="006A4B36"/>
    <w:rsid w:val="006A51DA"/>
    <w:rsid w:val="006A5A3D"/>
    <w:rsid w:val="006B018B"/>
    <w:rsid w:val="006B0FC3"/>
    <w:rsid w:val="006B146C"/>
    <w:rsid w:val="006B181A"/>
    <w:rsid w:val="006B2387"/>
    <w:rsid w:val="006B32C8"/>
    <w:rsid w:val="006B3C3E"/>
    <w:rsid w:val="006B4590"/>
    <w:rsid w:val="006B507A"/>
    <w:rsid w:val="006B532A"/>
    <w:rsid w:val="006B6668"/>
    <w:rsid w:val="006B675B"/>
    <w:rsid w:val="006C0102"/>
    <w:rsid w:val="006C056A"/>
    <w:rsid w:val="006C0C2F"/>
    <w:rsid w:val="006C18EB"/>
    <w:rsid w:val="006C1CE1"/>
    <w:rsid w:val="006C1EF4"/>
    <w:rsid w:val="006C2275"/>
    <w:rsid w:val="006C28EB"/>
    <w:rsid w:val="006C3028"/>
    <w:rsid w:val="006C37AF"/>
    <w:rsid w:val="006C4541"/>
    <w:rsid w:val="006C45AB"/>
    <w:rsid w:val="006C56B9"/>
    <w:rsid w:val="006C6016"/>
    <w:rsid w:val="006C6B2D"/>
    <w:rsid w:val="006C7576"/>
    <w:rsid w:val="006C7ED9"/>
    <w:rsid w:val="006D0932"/>
    <w:rsid w:val="006D09E3"/>
    <w:rsid w:val="006D2107"/>
    <w:rsid w:val="006D21C8"/>
    <w:rsid w:val="006D34D7"/>
    <w:rsid w:val="006D39DF"/>
    <w:rsid w:val="006D46DD"/>
    <w:rsid w:val="006D4830"/>
    <w:rsid w:val="006D51B1"/>
    <w:rsid w:val="006D603B"/>
    <w:rsid w:val="006D6543"/>
    <w:rsid w:val="006D686E"/>
    <w:rsid w:val="006D766C"/>
    <w:rsid w:val="006D7CE5"/>
    <w:rsid w:val="006D7D71"/>
    <w:rsid w:val="006E01F9"/>
    <w:rsid w:val="006E07CE"/>
    <w:rsid w:val="006E216B"/>
    <w:rsid w:val="006E2C9F"/>
    <w:rsid w:val="006E3293"/>
    <w:rsid w:val="006E32FF"/>
    <w:rsid w:val="006E4801"/>
    <w:rsid w:val="006F0480"/>
    <w:rsid w:val="006F049A"/>
    <w:rsid w:val="006F0B47"/>
    <w:rsid w:val="006F282A"/>
    <w:rsid w:val="006F2A6A"/>
    <w:rsid w:val="006F2EB0"/>
    <w:rsid w:val="006F34B5"/>
    <w:rsid w:val="006F365B"/>
    <w:rsid w:val="006F48F0"/>
    <w:rsid w:val="006F4D99"/>
    <w:rsid w:val="006F550A"/>
    <w:rsid w:val="006F55CA"/>
    <w:rsid w:val="006F5982"/>
    <w:rsid w:val="006F59CE"/>
    <w:rsid w:val="006F5B68"/>
    <w:rsid w:val="006F5FEC"/>
    <w:rsid w:val="006F65B7"/>
    <w:rsid w:val="006F679A"/>
    <w:rsid w:val="006F6DCA"/>
    <w:rsid w:val="006F7955"/>
    <w:rsid w:val="006F7BD8"/>
    <w:rsid w:val="006F7EF0"/>
    <w:rsid w:val="00700FAA"/>
    <w:rsid w:val="00701130"/>
    <w:rsid w:val="007023C4"/>
    <w:rsid w:val="00702E27"/>
    <w:rsid w:val="00704792"/>
    <w:rsid w:val="00705B70"/>
    <w:rsid w:val="00706053"/>
    <w:rsid w:val="00706A2F"/>
    <w:rsid w:val="0070717E"/>
    <w:rsid w:val="007077A2"/>
    <w:rsid w:val="00711666"/>
    <w:rsid w:val="00711A23"/>
    <w:rsid w:val="00712CE6"/>
    <w:rsid w:val="0071650C"/>
    <w:rsid w:val="007204A4"/>
    <w:rsid w:val="00720BB1"/>
    <w:rsid w:val="00721FE0"/>
    <w:rsid w:val="00722749"/>
    <w:rsid w:val="007235DB"/>
    <w:rsid w:val="007241D6"/>
    <w:rsid w:val="0072433D"/>
    <w:rsid w:val="00724DAC"/>
    <w:rsid w:val="0072547D"/>
    <w:rsid w:val="007257B2"/>
    <w:rsid w:val="007258D6"/>
    <w:rsid w:val="00725FFC"/>
    <w:rsid w:val="00727395"/>
    <w:rsid w:val="00727717"/>
    <w:rsid w:val="0073062A"/>
    <w:rsid w:val="007308B4"/>
    <w:rsid w:val="00731CE3"/>
    <w:rsid w:val="00732A9E"/>
    <w:rsid w:val="00732BAB"/>
    <w:rsid w:val="00732F75"/>
    <w:rsid w:val="007337FE"/>
    <w:rsid w:val="007350FE"/>
    <w:rsid w:val="00735900"/>
    <w:rsid w:val="00735958"/>
    <w:rsid w:val="00735FD9"/>
    <w:rsid w:val="0073614A"/>
    <w:rsid w:val="00736321"/>
    <w:rsid w:val="0073664C"/>
    <w:rsid w:val="00736975"/>
    <w:rsid w:val="00740366"/>
    <w:rsid w:val="00740823"/>
    <w:rsid w:val="00740E5D"/>
    <w:rsid w:val="007412A8"/>
    <w:rsid w:val="00741613"/>
    <w:rsid w:val="00743186"/>
    <w:rsid w:val="00743284"/>
    <w:rsid w:val="007439C5"/>
    <w:rsid w:val="00743E85"/>
    <w:rsid w:val="007449C3"/>
    <w:rsid w:val="0074566D"/>
    <w:rsid w:val="007469A1"/>
    <w:rsid w:val="00746CFB"/>
    <w:rsid w:val="007474DC"/>
    <w:rsid w:val="0074780E"/>
    <w:rsid w:val="007478BB"/>
    <w:rsid w:val="007510CC"/>
    <w:rsid w:val="007532EA"/>
    <w:rsid w:val="0075369F"/>
    <w:rsid w:val="00754959"/>
    <w:rsid w:val="00755735"/>
    <w:rsid w:val="00756E31"/>
    <w:rsid w:val="007571D0"/>
    <w:rsid w:val="0076027B"/>
    <w:rsid w:val="007604E5"/>
    <w:rsid w:val="00761826"/>
    <w:rsid w:val="00761FA1"/>
    <w:rsid w:val="0076264A"/>
    <w:rsid w:val="00763739"/>
    <w:rsid w:val="00764049"/>
    <w:rsid w:val="007643A1"/>
    <w:rsid w:val="00765F33"/>
    <w:rsid w:val="00767281"/>
    <w:rsid w:val="0077014C"/>
    <w:rsid w:val="007711FA"/>
    <w:rsid w:val="00771EE3"/>
    <w:rsid w:val="007721F2"/>
    <w:rsid w:val="007723EF"/>
    <w:rsid w:val="00772DF9"/>
    <w:rsid w:val="007759A3"/>
    <w:rsid w:val="00777019"/>
    <w:rsid w:val="0077766F"/>
    <w:rsid w:val="00777A38"/>
    <w:rsid w:val="007802A0"/>
    <w:rsid w:val="007806B1"/>
    <w:rsid w:val="0078074B"/>
    <w:rsid w:val="0078084B"/>
    <w:rsid w:val="007809FA"/>
    <w:rsid w:val="00780B2D"/>
    <w:rsid w:val="007813EB"/>
    <w:rsid w:val="00781DCE"/>
    <w:rsid w:val="007826BC"/>
    <w:rsid w:val="007827D6"/>
    <w:rsid w:val="00782A33"/>
    <w:rsid w:val="00782BC4"/>
    <w:rsid w:val="007832A3"/>
    <w:rsid w:val="007832AE"/>
    <w:rsid w:val="00783C8B"/>
    <w:rsid w:val="007845C3"/>
    <w:rsid w:val="00784EBF"/>
    <w:rsid w:val="0078707D"/>
    <w:rsid w:val="0078723F"/>
    <w:rsid w:val="00787848"/>
    <w:rsid w:val="00790628"/>
    <w:rsid w:val="0079123A"/>
    <w:rsid w:val="007913A4"/>
    <w:rsid w:val="007924D8"/>
    <w:rsid w:val="00794337"/>
    <w:rsid w:val="00794C9B"/>
    <w:rsid w:val="00794D61"/>
    <w:rsid w:val="00794E20"/>
    <w:rsid w:val="00794EAF"/>
    <w:rsid w:val="007956FA"/>
    <w:rsid w:val="00796042"/>
    <w:rsid w:val="00796172"/>
    <w:rsid w:val="0079635D"/>
    <w:rsid w:val="00796733"/>
    <w:rsid w:val="007972EF"/>
    <w:rsid w:val="00797483"/>
    <w:rsid w:val="00797B1F"/>
    <w:rsid w:val="007A0312"/>
    <w:rsid w:val="007A074A"/>
    <w:rsid w:val="007A1B23"/>
    <w:rsid w:val="007A1FED"/>
    <w:rsid w:val="007A2330"/>
    <w:rsid w:val="007A274F"/>
    <w:rsid w:val="007A2853"/>
    <w:rsid w:val="007A2930"/>
    <w:rsid w:val="007A3B68"/>
    <w:rsid w:val="007A3D45"/>
    <w:rsid w:val="007A5CDB"/>
    <w:rsid w:val="007B0CFC"/>
    <w:rsid w:val="007B4836"/>
    <w:rsid w:val="007B792A"/>
    <w:rsid w:val="007C014F"/>
    <w:rsid w:val="007C02BB"/>
    <w:rsid w:val="007C1564"/>
    <w:rsid w:val="007C3D6F"/>
    <w:rsid w:val="007C50D5"/>
    <w:rsid w:val="007C538D"/>
    <w:rsid w:val="007C5BB2"/>
    <w:rsid w:val="007C5C47"/>
    <w:rsid w:val="007C631D"/>
    <w:rsid w:val="007C68EA"/>
    <w:rsid w:val="007C72B2"/>
    <w:rsid w:val="007C745A"/>
    <w:rsid w:val="007C7A5E"/>
    <w:rsid w:val="007C7F3C"/>
    <w:rsid w:val="007D03E5"/>
    <w:rsid w:val="007D056D"/>
    <w:rsid w:val="007D13A3"/>
    <w:rsid w:val="007D1C13"/>
    <w:rsid w:val="007D1FB1"/>
    <w:rsid w:val="007D1FB9"/>
    <w:rsid w:val="007D245E"/>
    <w:rsid w:val="007D497B"/>
    <w:rsid w:val="007D6172"/>
    <w:rsid w:val="007D6533"/>
    <w:rsid w:val="007D722B"/>
    <w:rsid w:val="007D7692"/>
    <w:rsid w:val="007D78F4"/>
    <w:rsid w:val="007D7BAE"/>
    <w:rsid w:val="007E10AE"/>
    <w:rsid w:val="007E179D"/>
    <w:rsid w:val="007E20BF"/>
    <w:rsid w:val="007E312B"/>
    <w:rsid w:val="007E464F"/>
    <w:rsid w:val="007E4E58"/>
    <w:rsid w:val="007E5C33"/>
    <w:rsid w:val="007E6536"/>
    <w:rsid w:val="007E74B0"/>
    <w:rsid w:val="007E757C"/>
    <w:rsid w:val="007E77FB"/>
    <w:rsid w:val="007E7CFD"/>
    <w:rsid w:val="007F06A5"/>
    <w:rsid w:val="007F0801"/>
    <w:rsid w:val="007F097A"/>
    <w:rsid w:val="007F103D"/>
    <w:rsid w:val="007F120B"/>
    <w:rsid w:val="007F14AD"/>
    <w:rsid w:val="007F18D2"/>
    <w:rsid w:val="007F1D2F"/>
    <w:rsid w:val="007F1E23"/>
    <w:rsid w:val="007F2527"/>
    <w:rsid w:val="007F27DB"/>
    <w:rsid w:val="007F2B89"/>
    <w:rsid w:val="007F33C3"/>
    <w:rsid w:val="007F4398"/>
    <w:rsid w:val="007F485F"/>
    <w:rsid w:val="007F4944"/>
    <w:rsid w:val="007F4C82"/>
    <w:rsid w:val="007F4CA3"/>
    <w:rsid w:val="007F5F56"/>
    <w:rsid w:val="007F632D"/>
    <w:rsid w:val="007F659A"/>
    <w:rsid w:val="007F6D0D"/>
    <w:rsid w:val="007F6F0F"/>
    <w:rsid w:val="007F777C"/>
    <w:rsid w:val="007F7D90"/>
    <w:rsid w:val="007F7F07"/>
    <w:rsid w:val="00800997"/>
    <w:rsid w:val="00800B8D"/>
    <w:rsid w:val="00800F4A"/>
    <w:rsid w:val="008018B9"/>
    <w:rsid w:val="00801F25"/>
    <w:rsid w:val="00802742"/>
    <w:rsid w:val="00802A0D"/>
    <w:rsid w:val="008037C0"/>
    <w:rsid w:val="00803CD7"/>
    <w:rsid w:val="00804609"/>
    <w:rsid w:val="00804D33"/>
    <w:rsid w:val="00805B04"/>
    <w:rsid w:val="00807CE4"/>
    <w:rsid w:val="008108E6"/>
    <w:rsid w:val="0081092F"/>
    <w:rsid w:val="00810A9F"/>
    <w:rsid w:val="00810B37"/>
    <w:rsid w:val="00810D0B"/>
    <w:rsid w:val="0081290E"/>
    <w:rsid w:val="00813B73"/>
    <w:rsid w:val="00814593"/>
    <w:rsid w:val="008154C7"/>
    <w:rsid w:val="00816A34"/>
    <w:rsid w:val="008176A5"/>
    <w:rsid w:val="008179DA"/>
    <w:rsid w:val="0082062B"/>
    <w:rsid w:val="00820E64"/>
    <w:rsid w:val="00821473"/>
    <w:rsid w:val="00821D7B"/>
    <w:rsid w:val="00821E63"/>
    <w:rsid w:val="00824F7D"/>
    <w:rsid w:val="0082654E"/>
    <w:rsid w:val="00826F21"/>
    <w:rsid w:val="00827150"/>
    <w:rsid w:val="0083018E"/>
    <w:rsid w:val="008303F0"/>
    <w:rsid w:val="008305ED"/>
    <w:rsid w:val="00830B33"/>
    <w:rsid w:val="00831C5E"/>
    <w:rsid w:val="008327AF"/>
    <w:rsid w:val="008332A1"/>
    <w:rsid w:val="008343AB"/>
    <w:rsid w:val="00834422"/>
    <w:rsid w:val="00834932"/>
    <w:rsid w:val="00835077"/>
    <w:rsid w:val="008361BD"/>
    <w:rsid w:val="00836AB3"/>
    <w:rsid w:val="00836CBE"/>
    <w:rsid w:val="00837D77"/>
    <w:rsid w:val="00840810"/>
    <w:rsid w:val="008409A8"/>
    <w:rsid w:val="0084117A"/>
    <w:rsid w:val="00842C66"/>
    <w:rsid w:val="008440AA"/>
    <w:rsid w:val="00844799"/>
    <w:rsid w:val="00844FDF"/>
    <w:rsid w:val="0084527E"/>
    <w:rsid w:val="008452B0"/>
    <w:rsid w:val="0084664C"/>
    <w:rsid w:val="0084694C"/>
    <w:rsid w:val="008469A7"/>
    <w:rsid w:val="00846C7F"/>
    <w:rsid w:val="0084752F"/>
    <w:rsid w:val="008477DE"/>
    <w:rsid w:val="00847CE2"/>
    <w:rsid w:val="00850902"/>
    <w:rsid w:val="0085151E"/>
    <w:rsid w:val="00851E37"/>
    <w:rsid w:val="00852456"/>
    <w:rsid w:val="0085250F"/>
    <w:rsid w:val="008529BD"/>
    <w:rsid w:val="00852E45"/>
    <w:rsid w:val="008540F9"/>
    <w:rsid w:val="00854171"/>
    <w:rsid w:val="00854398"/>
    <w:rsid w:val="008543E4"/>
    <w:rsid w:val="00854646"/>
    <w:rsid w:val="008552D9"/>
    <w:rsid w:val="00857715"/>
    <w:rsid w:val="00857967"/>
    <w:rsid w:val="008602B4"/>
    <w:rsid w:val="008605B6"/>
    <w:rsid w:val="00860E89"/>
    <w:rsid w:val="00861303"/>
    <w:rsid w:val="00861B8C"/>
    <w:rsid w:val="00862EC8"/>
    <w:rsid w:val="00863666"/>
    <w:rsid w:val="00863A91"/>
    <w:rsid w:val="00863D05"/>
    <w:rsid w:val="008644ED"/>
    <w:rsid w:val="00865706"/>
    <w:rsid w:val="00865BBE"/>
    <w:rsid w:val="00866157"/>
    <w:rsid w:val="0086696D"/>
    <w:rsid w:val="00866B35"/>
    <w:rsid w:val="00867609"/>
    <w:rsid w:val="00867DC2"/>
    <w:rsid w:val="00870318"/>
    <w:rsid w:val="00871BE4"/>
    <w:rsid w:val="0087222B"/>
    <w:rsid w:val="00873160"/>
    <w:rsid w:val="00874263"/>
    <w:rsid w:val="008743BA"/>
    <w:rsid w:val="00875838"/>
    <w:rsid w:val="00877F0B"/>
    <w:rsid w:val="008804C4"/>
    <w:rsid w:val="00880F11"/>
    <w:rsid w:val="008811CF"/>
    <w:rsid w:val="00881590"/>
    <w:rsid w:val="0088183E"/>
    <w:rsid w:val="00883070"/>
    <w:rsid w:val="00883B32"/>
    <w:rsid w:val="0088484E"/>
    <w:rsid w:val="00885D63"/>
    <w:rsid w:val="0088683E"/>
    <w:rsid w:val="00887337"/>
    <w:rsid w:val="00887A2A"/>
    <w:rsid w:val="008916D6"/>
    <w:rsid w:val="00893483"/>
    <w:rsid w:val="00893A2D"/>
    <w:rsid w:val="00894572"/>
    <w:rsid w:val="00894A51"/>
    <w:rsid w:val="00894D25"/>
    <w:rsid w:val="00894F3D"/>
    <w:rsid w:val="0089540A"/>
    <w:rsid w:val="00896124"/>
    <w:rsid w:val="0089796E"/>
    <w:rsid w:val="008A0977"/>
    <w:rsid w:val="008A09D6"/>
    <w:rsid w:val="008A19CB"/>
    <w:rsid w:val="008A2923"/>
    <w:rsid w:val="008A2C0F"/>
    <w:rsid w:val="008A44AE"/>
    <w:rsid w:val="008A4533"/>
    <w:rsid w:val="008A5AC7"/>
    <w:rsid w:val="008A5FE2"/>
    <w:rsid w:val="008A62A1"/>
    <w:rsid w:val="008A6D03"/>
    <w:rsid w:val="008B12D5"/>
    <w:rsid w:val="008B24C7"/>
    <w:rsid w:val="008B2987"/>
    <w:rsid w:val="008B29B4"/>
    <w:rsid w:val="008B2BB1"/>
    <w:rsid w:val="008B2DAA"/>
    <w:rsid w:val="008B302F"/>
    <w:rsid w:val="008B37F3"/>
    <w:rsid w:val="008B407D"/>
    <w:rsid w:val="008B4648"/>
    <w:rsid w:val="008B47C2"/>
    <w:rsid w:val="008B4D37"/>
    <w:rsid w:val="008B5024"/>
    <w:rsid w:val="008B5509"/>
    <w:rsid w:val="008B585F"/>
    <w:rsid w:val="008B759F"/>
    <w:rsid w:val="008C057A"/>
    <w:rsid w:val="008C0D65"/>
    <w:rsid w:val="008C191F"/>
    <w:rsid w:val="008C2BF9"/>
    <w:rsid w:val="008C2FCD"/>
    <w:rsid w:val="008C32D6"/>
    <w:rsid w:val="008C39AB"/>
    <w:rsid w:val="008C4A22"/>
    <w:rsid w:val="008C4A93"/>
    <w:rsid w:val="008C4D23"/>
    <w:rsid w:val="008C4F4A"/>
    <w:rsid w:val="008C535F"/>
    <w:rsid w:val="008C6AB6"/>
    <w:rsid w:val="008C6DC4"/>
    <w:rsid w:val="008C73F3"/>
    <w:rsid w:val="008C7479"/>
    <w:rsid w:val="008C781B"/>
    <w:rsid w:val="008C7872"/>
    <w:rsid w:val="008D02FE"/>
    <w:rsid w:val="008D0690"/>
    <w:rsid w:val="008D0916"/>
    <w:rsid w:val="008D0B28"/>
    <w:rsid w:val="008D0C4B"/>
    <w:rsid w:val="008D0EE0"/>
    <w:rsid w:val="008D11BF"/>
    <w:rsid w:val="008D1860"/>
    <w:rsid w:val="008D25E0"/>
    <w:rsid w:val="008D299F"/>
    <w:rsid w:val="008D3546"/>
    <w:rsid w:val="008D3A9D"/>
    <w:rsid w:val="008D3B09"/>
    <w:rsid w:val="008D4121"/>
    <w:rsid w:val="008D5653"/>
    <w:rsid w:val="008D6C48"/>
    <w:rsid w:val="008D6E0E"/>
    <w:rsid w:val="008D71D0"/>
    <w:rsid w:val="008D773F"/>
    <w:rsid w:val="008E00D2"/>
    <w:rsid w:val="008E03EF"/>
    <w:rsid w:val="008E062E"/>
    <w:rsid w:val="008E0F46"/>
    <w:rsid w:val="008E1912"/>
    <w:rsid w:val="008E19BA"/>
    <w:rsid w:val="008E23BF"/>
    <w:rsid w:val="008E3125"/>
    <w:rsid w:val="008E3766"/>
    <w:rsid w:val="008E3893"/>
    <w:rsid w:val="008E45CB"/>
    <w:rsid w:val="008E6AF5"/>
    <w:rsid w:val="008E75E1"/>
    <w:rsid w:val="008E77AC"/>
    <w:rsid w:val="008F004C"/>
    <w:rsid w:val="008F1E42"/>
    <w:rsid w:val="008F1F2F"/>
    <w:rsid w:val="008F20D7"/>
    <w:rsid w:val="008F384F"/>
    <w:rsid w:val="008F3C44"/>
    <w:rsid w:val="008F4604"/>
    <w:rsid w:val="008F5DE4"/>
    <w:rsid w:val="008F5EA2"/>
    <w:rsid w:val="008F692E"/>
    <w:rsid w:val="00900B71"/>
    <w:rsid w:val="00900E95"/>
    <w:rsid w:val="0090166F"/>
    <w:rsid w:val="00901D48"/>
    <w:rsid w:val="009026BB"/>
    <w:rsid w:val="00902C5E"/>
    <w:rsid w:val="00903027"/>
    <w:rsid w:val="00903232"/>
    <w:rsid w:val="00903418"/>
    <w:rsid w:val="00903B14"/>
    <w:rsid w:val="00903E44"/>
    <w:rsid w:val="0090418B"/>
    <w:rsid w:val="00904238"/>
    <w:rsid w:val="00904B6B"/>
    <w:rsid w:val="00904E5F"/>
    <w:rsid w:val="00905244"/>
    <w:rsid w:val="00905787"/>
    <w:rsid w:val="00905C6D"/>
    <w:rsid w:val="009075E8"/>
    <w:rsid w:val="0090799F"/>
    <w:rsid w:val="009104C4"/>
    <w:rsid w:val="00911663"/>
    <w:rsid w:val="00911784"/>
    <w:rsid w:val="0091199C"/>
    <w:rsid w:val="009121E7"/>
    <w:rsid w:val="00912C62"/>
    <w:rsid w:val="0091362E"/>
    <w:rsid w:val="009137D7"/>
    <w:rsid w:val="009141CB"/>
    <w:rsid w:val="00914978"/>
    <w:rsid w:val="00914B54"/>
    <w:rsid w:val="00914FE9"/>
    <w:rsid w:val="00915204"/>
    <w:rsid w:val="00915504"/>
    <w:rsid w:val="0091582B"/>
    <w:rsid w:val="0091649E"/>
    <w:rsid w:val="009167E8"/>
    <w:rsid w:val="00917722"/>
    <w:rsid w:val="009217C5"/>
    <w:rsid w:val="00921E08"/>
    <w:rsid w:val="0092207B"/>
    <w:rsid w:val="009222DB"/>
    <w:rsid w:val="00922C8C"/>
    <w:rsid w:val="00922CF6"/>
    <w:rsid w:val="0092355F"/>
    <w:rsid w:val="00924742"/>
    <w:rsid w:val="00925194"/>
    <w:rsid w:val="00925A47"/>
    <w:rsid w:val="00925E4E"/>
    <w:rsid w:val="009268AB"/>
    <w:rsid w:val="00926E6D"/>
    <w:rsid w:val="00926FC3"/>
    <w:rsid w:val="00927281"/>
    <w:rsid w:val="00927BDF"/>
    <w:rsid w:val="00927E5A"/>
    <w:rsid w:val="00930DED"/>
    <w:rsid w:val="00931600"/>
    <w:rsid w:val="00931959"/>
    <w:rsid w:val="00931ACC"/>
    <w:rsid w:val="0093343B"/>
    <w:rsid w:val="00935370"/>
    <w:rsid w:val="0093550D"/>
    <w:rsid w:val="009356D6"/>
    <w:rsid w:val="00935A88"/>
    <w:rsid w:val="00936683"/>
    <w:rsid w:val="009376C4"/>
    <w:rsid w:val="0093792D"/>
    <w:rsid w:val="0094006D"/>
    <w:rsid w:val="009414DB"/>
    <w:rsid w:val="0094319F"/>
    <w:rsid w:val="00944803"/>
    <w:rsid w:val="00944F0A"/>
    <w:rsid w:val="00946758"/>
    <w:rsid w:val="00947EF0"/>
    <w:rsid w:val="009503F3"/>
    <w:rsid w:val="00950D29"/>
    <w:rsid w:val="009512DE"/>
    <w:rsid w:val="00951650"/>
    <w:rsid w:val="00951809"/>
    <w:rsid w:val="00951AC9"/>
    <w:rsid w:val="00951C7D"/>
    <w:rsid w:val="00953233"/>
    <w:rsid w:val="009539DB"/>
    <w:rsid w:val="009552C9"/>
    <w:rsid w:val="0095595D"/>
    <w:rsid w:val="00956926"/>
    <w:rsid w:val="00956F1C"/>
    <w:rsid w:val="00956FB6"/>
    <w:rsid w:val="00957400"/>
    <w:rsid w:val="00960879"/>
    <w:rsid w:val="00960E1C"/>
    <w:rsid w:val="0096144D"/>
    <w:rsid w:val="009614B5"/>
    <w:rsid w:val="00961587"/>
    <w:rsid w:val="009623EB"/>
    <w:rsid w:val="00962989"/>
    <w:rsid w:val="00962AB5"/>
    <w:rsid w:val="00963601"/>
    <w:rsid w:val="009644CD"/>
    <w:rsid w:val="009659D2"/>
    <w:rsid w:val="0097207D"/>
    <w:rsid w:val="00973C51"/>
    <w:rsid w:val="00973CC9"/>
    <w:rsid w:val="00974448"/>
    <w:rsid w:val="00974FC1"/>
    <w:rsid w:val="009750C7"/>
    <w:rsid w:val="009751AD"/>
    <w:rsid w:val="0097562D"/>
    <w:rsid w:val="009760C2"/>
    <w:rsid w:val="00976B06"/>
    <w:rsid w:val="00976FC2"/>
    <w:rsid w:val="0097702C"/>
    <w:rsid w:val="009770FE"/>
    <w:rsid w:val="00977DED"/>
    <w:rsid w:val="00980131"/>
    <w:rsid w:val="00980EE7"/>
    <w:rsid w:val="009814C1"/>
    <w:rsid w:val="00981A18"/>
    <w:rsid w:val="00981C07"/>
    <w:rsid w:val="00982426"/>
    <w:rsid w:val="00983B18"/>
    <w:rsid w:val="00983FA0"/>
    <w:rsid w:val="00984B61"/>
    <w:rsid w:val="009851E1"/>
    <w:rsid w:val="0098561E"/>
    <w:rsid w:val="00985B85"/>
    <w:rsid w:val="00985C4B"/>
    <w:rsid w:val="00986BF4"/>
    <w:rsid w:val="00987C1F"/>
    <w:rsid w:val="00990DBC"/>
    <w:rsid w:val="009910DB"/>
    <w:rsid w:val="00991A8C"/>
    <w:rsid w:val="009921BB"/>
    <w:rsid w:val="00993C79"/>
    <w:rsid w:val="00993C86"/>
    <w:rsid w:val="00994340"/>
    <w:rsid w:val="009945A9"/>
    <w:rsid w:val="0099476B"/>
    <w:rsid w:val="009949D1"/>
    <w:rsid w:val="0099676F"/>
    <w:rsid w:val="00997579"/>
    <w:rsid w:val="009975D9"/>
    <w:rsid w:val="009A0C1F"/>
    <w:rsid w:val="009A26D3"/>
    <w:rsid w:val="009A283E"/>
    <w:rsid w:val="009A3275"/>
    <w:rsid w:val="009A3850"/>
    <w:rsid w:val="009A4350"/>
    <w:rsid w:val="009A4D0E"/>
    <w:rsid w:val="009A6BE7"/>
    <w:rsid w:val="009A6CF8"/>
    <w:rsid w:val="009A7355"/>
    <w:rsid w:val="009A73D5"/>
    <w:rsid w:val="009A746C"/>
    <w:rsid w:val="009B02A3"/>
    <w:rsid w:val="009B0DB8"/>
    <w:rsid w:val="009B0DCB"/>
    <w:rsid w:val="009B1FB8"/>
    <w:rsid w:val="009B2060"/>
    <w:rsid w:val="009B3013"/>
    <w:rsid w:val="009B34E5"/>
    <w:rsid w:val="009B4455"/>
    <w:rsid w:val="009B5018"/>
    <w:rsid w:val="009B71DD"/>
    <w:rsid w:val="009B7888"/>
    <w:rsid w:val="009C0249"/>
    <w:rsid w:val="009C0651"/>
    <w:rsid w:val="009C0C9C"/>
    <w:rsid w:val="009C103B"/>
    <w:rsid w:val="009C17C2"/>
    <w:rsid w:val="009C1837"/>
    <w:rsid w:val="009C1A14"/>
    <w:rsid w:val="009C1ECB"/>
    <w:rsid w:val="009C294F"/>
    <w:rsid w:val="009C2D8E"/>
    <w:rsid w:val="009C3491"/>
    <w:rsid w:val="009C357D"/>
    <w:rsid w:val="009C3A9E"/>
    <w:rsid w:val="009C421E"/>
    <w:rsid w:val="009C447D"/>
    <w:rsid w:val="009C4BE7"/>
    <w:rsid w:val="009C4EDA"/>
    <w:rsid w:val="009C5200"/>
    <w:rsid w:val="009C60E6"/>
    <w:rsid w:val="009C63EA"/>
    <w:rsid w:val="009C63EB"/>
    <w:rsid w:val="009C75A6"/>
    <w:rsid w:val="009C7A3D"/>
    <w:rsid w:val="009C7F2D"/>
    <w:rsid w:val="009D0835"/>
    <w:rsid w:val="009D1516"/>
    <w:rsid w:val="009D196A"/>
    <w:rsid w:val="009D29BA"/>
    <w:rsid w:val="009D2D41"/>
    <w:rsid w:val="009D2D82"/>
    <w:rsid w:val="009D391C"/>
    <w:rsid w:val="009D3944"/>
    <w:rsid w:val="009D3E8A"/>
    <w:rsid w:val="009D4218"/>
    <w:rsid w:val="009D4823"/>
    <w:rsid w:val="009D49D4"/>
    <w:rsid w:val="009D5386"/>
    <w:rsid w:val="009D60BC"/>
    <w:rsid w:val="009D6B1F"/>
    <w:rsid w:val="009D71FD"/>
    <w:rsid w:val="009D7925"/>
    <w:rsid w:val="009D7C64"/>
    <w:rsid w:val="009D7E9E"/>
    <w:rsid w:val="009E0412"/>
    <w:rsid w:val="009E09C3"/>
    <w:rsid w:val="009E0C0C"/>
    <w:rsid w:val="009E0E9E"/>
    <w:rsid w:val="009E1B0A"/>
    <w:rsid w:val="009E1E14"/>
    <w:rsid w:val="009E2780"/>
    <w:rsid w:val="009E2C2B"/>
    <w:rsid w:val="009E56C5"/>
    <w:rsid w:val="009E647D"/>
    <w:rsid w:val="009F0CBE"/>
    <w:rsid w:val="009F1721"/>
    <w:rsid w:val="009F1DAA"/>
    <w:rsid w:val="009F1FF6"/>
    <w:rsid w:val="009F2171"/>
    <w:rsid w:val="009F2698"/>
    <w:rsid w:val="009F28D3"/>
    <w:rsid w:val="009F45DE"/>
    <w:rsid w:val="009F5310"/>
    <w:rsid w:val="009F6532"/>
    <w:rsid w:val="009F6D7C"/>
    <w:rsid w:val="009F7992"/>
    <w:rsid w:val="00A00A68"/>
    <w:rsid w:val="00A01016"/>
    <w:rsid w:val="00A032B7"/>
    <w:rsid w:val="00A04322"/>
    <w:rsid w:val="00A050BD"/>
    <w:rsid w:val="00A06A4B"/>
    <w:rsid w:val="00A06E5A"/>
    <w:rsid w:val="00A0708C"/>
    <w:rsid w:val="00A07110"/>
    <w:rsid w:val="00A07227"/>
    <w:rsid w:val="00A0751B"/>
    <w:rsid w:val="00A079C7"/>
    <w:rsid w:val="00A10C7A"/>
    <w:rsid w:val="00A11D52"/>
    <w:rsid w:val="00A1278C"/>
    <w:rsid w:val="00A133B5"/>
    <w:rsid w:val="00A1394A"/>
    <w:rsid w:val="00A13A11"/>
    <w:rsid w:val="00A1407C"/>
    <w:rsid w:val="00A14EB8"/>
    <w:rsid w:val="00A152E5"/>
    <w:rsid w:val="00A17318"/>
    <w:rsid w:val="00A1743E"/>
    <w:rsid w:val="00A179EB"/>
    <w:rsid w:val="00A20699"/>
    <w:rsid w:val="00A218FA"/>
    <w:rsid w:val="00A21968"/>
    <w:rsid w:val="00A21D03"/>
    <w:rsid w:val="00A22155"/>
    <w:rsid w:val="00A221A7"/>
    <w:rsid w:val="00A2256A"/>
    <w:rsid w:val="00A22705"/>
    <w:rsid w:val="00A22796"/>
    <w:rsid w:val="00A24066"/>
    <w:rsid w:val="00A242A3"/>
    <w:rsid w:val="00A2460E"/>
    <w:rsid w:val="00A2502E"/>
    <w:rsid w:val="00A25073"/>
    <w:rsid w:val="00A2543D"/>
    <w:rsid w:val="00A26C45"/>
    <w:rsid w:val="00A3021B"/>
    <w:rsid w:val="00A32384"/>
    <w:rsid w:val="00A323EB"/>
    <w:rsid w:val="00A32839"/>
    <w:rsid w:val="00A33794"/>
    <w:rsid w:val="00A34764"/>
    <w:rsid w:val="00A34F88"/>
    <w:rsid w:val="00A35A2F"/>
    <w:rsid w:val="00A35DB7"/>
    <w:rsid w:val="00A4047A"/>
    <w:rsid w:val="00A40EEA"/>
    <w:rsid w:val="00A41531"/>
    <w:rsid w:val="00A4228B"/>
    <w:rsid w:val="00A4354A"/>
    <w:rsid w:val="00A43630"/>
    <w:rsid w:val="00A43FA5"/>
    <w:rsid w:val="00A45421"/>
    <w:rsid w:val="00A45861"/>
    <w:rsid w:val="00A45E5B"/>
    <w:rsid w:val="00A46A07"/>
    <w:rsid w:val="00A470E1"/>
    <w:rsid w:val="00A50380"/>
    <w:rsid w:val="00A50557"/>
    <w:rsid w:val="00A50DC8"/>
    <w:rsid w:val="00A50F13"/>
    <w:rsid w:val="00A537D0"/>
    <w:rsid w:val="00A543F2"/>
    <w:rsid w:val="00A54EE1"/>
    <w:rsid w:val="00A57241"/>
    <w:rsid w:val="00A57412"/>
    <w:rsid w:val="00A60100"/>
    <w:rsid w:val="00A60220"/>
    <w:rsid w:val="00A60273"/>
    <w:rsid w:val="00A624D2"/>
    <w:rsid w:val="00A63C81"/>
    <w:rsid w:val="00A649C7"/>
    <w:rsid w:val="00A64A18"/>
    <w:rsid w:val="00A64A95"/>
    <w:rsid w:val="00A64F5B"/>
    <w:rsid w:val="00A65D0E"/>
    <w:rsid w:val="00A66A54"/>
    <w:rsid w:val="00A675EB"/>
    <w:rsid w:val="00A677BA"/>
    <w:rsid w:val="00A67E64"/>
    <w:rsid w:val="00A70EC5"/>
    <w:rsid w:val="00A7182F"/>
    <w:rsid w:val="00A71A4B"/>
    <w:rsid w:val="00A72347"/>
    <w:rsid w:val="00A72DF4"/>
    <w:rsid w:val="00A73611"/>
    <w:rsid w:val="00A74255"/>
    <w:rsid w:val="00A74306"/>
    <w:rsid w:val="00A7507B"/>
    <w:rsid w:val="00A75667"/>
    <w:rsid w:val="00A75A26"/>
    <w:rsid w:val="00A76450"/>
    <w:rsid w:val="00A7649D"/>
    <w:rsid w:val="00A76529"/>
    <w:rsid w:val="00A76A5B"/>
    <w:rsid w:val="00A80E1E"/>
    <w:rsid w:val="00A813F0"/>
    <w:rsid w:val="00A82402"/>
    <w:rsid w:val="00A82EC1"/>
    <w:rsid w:val="00A852EC"/>
    <w:rsid w:val="00A855D7"/>
    <w:rsid w:val="00A85D11"/>
    <w:rsid w:val="00A862D3"/>
    <w:rsid w:val="00A90031"/>
    <w:rsid w:val="00A900DF"/>
    <w:rsid w:val="00A90345"/>
    <w:rsid w:val="00A906AF"/>
    <w:rsid w:val="00A907A6"/>
    <w:rsid w:val="00A90F04"/>
    <w:rsid w:val="00A9156D"/>
    <w:rsid w:val="00A917CF"/>
    <w:rsid w:val="00A91D26"/>
    <w:rsid w:val="00A91DBC"/>
    <w:rsid w:val="00A91DE5"/>
    <w:rsid w:val="00A92BB0"/>
    <w:rsid w:val="00A93767"/>
    <w:rsid w:val="00A94178"/>
    <w:rsid w:val="00A94552"/>
    <w:rsid w:val="00A94EA7"/>
    <w:rsid w:val="00A95926"/>
    <w:rsid w:val="00A95B33"/>
    <w:rsid w:val="00A96294"/>
    <w:rsid w:val="00A96A1D"/>
    <w:rsid w:val="00AA040A"/>
    <w:rsid w:val="00AA0467"/>
    <w:rsid w:val="00AA100E"/>
    <w:rsid w:val="00AA1056"/>
    <w:rsid w:val="00AA1168"/>
    <w:rsid w:val="00AA2143"/>
    <w:rsid w:val="00AA2381"/>
    <w:rsid w:val="00AA23E3"/>
    <w:rsid w:val="00AA277E"/>
    <w:rsid w:val="00AA2B7A"/>
    <w:rsid w:val="00AA35C7"/>
    <w:rsid w:val="00AA3D66"/>
    <w:rsid w:val="00AA4726"/>
    <w:rsid w:val="00AA4BA3"/>
    <w:rsid w:val="00AA5BB4"/>
    <w:rsid w:val="00AA6101"/>
    <w:rsid w:val="00AA6AEF"/>
    <w:rsid w:val="00AA795D"/>
    <w:rsid w:val="00AB07AB"/>
    <w:rsid w:val="00AB1165"/>
    <w:rsid w:val="00AB148B"/>
    <w:rsid w:val="00AB15AA"/>
    <w:rsid w:val="00AB22B2"/>
    <w:rsid w:val="00AB22B9"/>
    <w:rsid w:val="00AB3423"/>
    <w:rsid w:val="00AB3894"/>
    <w:rsid w:val="00AB61EC"/>
    <w:rsid w:val="00AB65B0"/>
    <w:rsid w:val="00AB7564"/>
    <w:rsid w:val="00AB7B5F"/>
    <w:rsid w:val="00AB7EB8"/>
    <w:rsid w:val="00AC06E2"/>
    <w:rsid w:val="00AC0DC9"/>
    <w:rsid w:val="00AC21CE"/>
    <w:rsid w:val="00AC27AA"/>
    <w:rsid w:val="00AC30B2"/>
    <w:rsid w:val="00AC3637"/>
    <w:rsid w:val="00AC3BC8"/>
    <w:rsid w:val="00AC4071"/>
    <w:rsid w:val="00AC4978"/>
    <w:rsid w:val="00AC5255"/>
    <w:rsid w:val="00AC5737"/>
    <w:rsid w:val="00AC57B7"/>
    <w:rsid w:val="00AC58E1"/>
    <w:rsid w:val="00AC5A68"/>
    <w:rsid w:val="00AC6330"/>
    <w:rsid w:val="00AC65F5"/>
    <w:rsid w:val="00AC759D"/>
    <w:rsid w:val="00AD01AD"/>
    <w:rsid w:val="00AD0742"/>
    <w:rsid w:val="00AD0B98"/>
    <w:rsid w:val="00AD1FF0"/>
    <w:rsid w:val="00AD22B9"/>
    <w:rsid w:val="00AD4040"/>
    <w:rsid w:val="00AD6BD2"/>
    <w:rsid w:val="00AD7608"/>
    <w:rsid w:val="00AD7621"/>
    <w:rsid w:val="00AD7DB6"/>
    <w:rsid w:val="00AE0143"/>
    <w:rsid w:val="00AE0AFE"/>
    <w:rsid w:val="00AE1771"/>
    <w:rsid w:val="00AE1DF4"/>
    <w:rsid w:val="00AE20DD"/>
    <w:rsid w:val="00AE278F"/>
    <w:rsid w:val="00AE3384"/>
    <w:rsid w:val="00AE3641"/>
    <w:rsid w:val="00AE394F"/>
    <w:rsid w:val="00AE3BA2"/>
    <w:rsid w:val="00AE42FA"/>
    <w:rsid w:val="00AE4E65"/>
    <w:rsid w:val="00AE523D"/>
    <w:rsid w:val="00AE5C2B"/>
    <w:rsid w:val="00AE5E6A"/>
    <w:rsid w:val="00AE6270"/>
    <w:rsid w:val="00AE7397"/>
    <w:rsid w:val="00AF11FA"/>
    <w:rsid w:val="00AF1431"/>
    <w:rsid w:val="00AF1633"/>
    <w:rsid w:val="00AF184D"/>
    <w:rsid w:val="00AF2628"/>
    <w:rsid w:val="00AF2911"/>
    <w:rsid w:val="00AF2D4F"/>
    <w:rsid w:val="00AF4AB5"/>
    <w:rsid w:val="00AF56A9"/>
    <w:rsid w:val="00AF5E4E"/>
    <w:rsid w:val="00AF6D57"/>
    <w:rsid w:val="00AF6E55"/>
    <w:rsid w:val="00AF79C9"/>
    <w:rsid w:val="00AF7EC9"/>
    <w:rsid w:val="00B0097B"/>
    <w:rsid w:val="00B033DD"/>
    <w:rsid w:val="00B038D9"/>
    <w:rsid w:val="00B04013"/>
    <w:rsid w:val="00B04401"/>
    <w:rsid w:val="00B06AD6"/>
    <w:rsid w:val="00B06AE9"/>
    <w:rsid w:val="00B06D54"/>
    <w:rsid w:val="00B0713E"/>
    <w:rsid w:val="00B105A5"/>
    <w:rsid w:val="00B107C4"/>
    <w:rsid w:val="00B10B6A"/>
    <w:rsid w:val="00B10EEB"/>
    <w:rsid w:val="00B1248E"/>
    <w:rsid w:val="00B126DF"/>
    <w:rsid w:val="00B1367D"/>
    <w:rsid w:val="00B14340"/>
    <w:rsid w:val="00B147E0"/>
    <w:rsid w:val="00B17032"/>
    <w:rsid w:val="00B17536"/>
    <w:rsid w:val="00B2084F"/>
    <w:rsid w:val="00B20DC5"/>
    <w:rsid w:val="00B229F8"/>
    <w:rsid w:val="00B23967"/>
    <w:rsid w:val="00B24917"/>
    <w:rsid w:val="00B256B2"/>
    <w:rsid w:val="00B257FE"/>
    <w:rsid w:val="00B25993"/>
    <w:rsid w:val="00B27ECC"/>
    <w:rsid w:val="00B30047"/>
    <w:rsid w:val="00B301A1"/>
    <w:rsid w:val="00B30C58"/>
    <w:rsid w:val="00B331A9"/>
    <w:rsid w:val="00B34888"/>
    <w:rsid w:val="00B34A54"/>
    <w:rsid w:val="00B3531E"/>
    <w:rsid w:val="00B3561F"/>
    <w:rsid w:val="00B35D8E"/>
    <w:rsid w:val="00B36BFF"/>
    <w:rsid w:val="00B36EE4"/>
    <w:rsid w:val="00B3723E"/>
    <w:rsid w:val="00B373E8"/>
    <w:rsid w:val="00B4063E"/>
    <w:rsid w:val="00B40FD7"/>
    <w:rsid w:val="00B41353"/>
    <w:rsid w:val="00B414D0"/>
    <w:rsid w:val="00B41B6D"/>
    <w:rsid w:val="00B41D2D"/>
    <w:rsid w:val="00B42AAB"/>
    <w:rsid w:val="00B42CA5"/>
    <w:rsid w:val="00B42EA3"/>
    <w:rsid w:val="00B42F23"/>
    <w:rsid w:val="00B4314C"/>
    <w:rsid w:val="00B432A2"/>
    <w:rsid w:val="00B4338D"/>
    <w:rsid w:val="00B442A0"/>
    <w:rsid w:val="00B44F39"/>
    <w:rsid w:val="00B4562D"/>
    <w:rsid w:val="00B45B7F"/>
    <w:rsid w:val="00B46382"/>
    <w:rsid w:val="00B46597"/>
    <w:rsid w:val="00B4687E"/>
    <w:rsid w:val="00B4691C"/>
    <w:rsid w:val="00B46AA9"/>
    <w:rsid w:val="00B46ADF"/>
    <w:rsid w:val="00B47FD8"/>
    <w:rsid w:val="00B50BA0"/>
    <w:rsid w:val="00B51E11"/>
    <w:rsid w:val="00B545FD"/>
    <w:rsid w:val="00B549A4"/>
    <w:rsid w:val="00B54F30"/>
    <w:rsid w:val="00B55904"/>
    <w:rsid w:val="00B56053"/>
    <w:rsid w:val="00B577E4"/>
    <w:rsid w:val="00B604CA"/>
    <w:rsid w:val="00B60F68"/>
    <w:rsid w:val="00B6129B"/>
    <w:rsid w:val="00B61455"/>
    <w:rsid w:val="00B62596"/>
    <w:rsid w:val="00B6298C"/>
    <w:rsid w:val="00B62CA3"/>
    <w:rsid w:val="00B63B63"/>
    <w:rsid w:val="00B63E15"/>
    <w:rsid w:val="00B65619"/>
    <w:rsid w:val="00B65F7D"/>
    <w:rsid w:val="00B663DF"/>
    <w:rsid w:val="00B67BE9"/>
    <w:rsid w:val="00B67D29"/>
    <w:rsid w:val="00B70532"/>
    <w:rsid w:val="00B70A85"/>
    <w:rsid w:val="00B71105"/>
    <w:rsid w:val="00B724F3"/>
    <w:rsid w:val="00B739C4"/>
    <w:rsid w:val="00B73F25"/>
    <w:rsid w:val="00B741B2"/>
    <w:rsid w:val="00B744A2"/>
    <w:rsid w:val="00B74CCB"/>
    <w:rsid w:val="00B74F31"/>
    <w:rsid w:val="00B74F96"/>
    <w:rsid w:val="00B74FE8"/>
    <w:rsid w:val="00B75047"/>
    <w:rsid w:val="00B75E1A"/>
    <w:rsid w:val="00B7667E"/>
    <w:rsid w:val="00B768AB"/>
    <w:rsid w:val="00B7773B"/>
    <w:rsid w:val="00B77843"/>
    <w:rsid w:val="00B77934"/>
    <w:rsid w:val="00B80413"/>
    <w:rsid w:val="00B8151D"/>
    <w:rsid w:val="00B81D08"/>
    <w:rsid w:val="00B823F6"/>
    <w:rsid w:val="00B83D45"/>
    <w:rsid w:val="00B84363"/>
    <w:rsid w:val="00B84BD7"/>
    <w:rsid w:val="00B864DE"/>
    <w:rsid w:val="00B868E3"/>
    <w:rsid w:val="00B86D3C"/>
    <w:rsid w:val="00B86D85"/>
    <w:rsid w:val="00B86E1A"/>
    <w:rsid w:val="00B879BD"/>
    <w:rsid w:val="00B90B25"/>
    <w:rsid w:val="00B91B48"/>
    <w:rsid w:val="00B91D73"/>
    <w:rsid w:val="00B94796"/>
    <w:rsid w:val="00B947A5"/>
    <w:rsid w:val="00B948A3"/>
    <w:rsid w:val="00B9598B"/>
    <w:rsid w:val="00B95D31"/>
    <w:rsid w:val="00B9626B"/>
    <w:rsid w:val="00B97E08"/>
    <w:rsid w:val="00BA12B1"/>
    <w:rsid w:val="00BA1611"/>
    <w:rsid w:val="00BA1D5E"/>
    <w:rsid w:val="00BA23E6"/>
    <w:rsid w:val="00BA29F7"/>
    <w:rsid w:val="00BA2F17"/>
    <w:rsid w:val="00BA49C8"/>
    <w:rsid w:val="00BA514D"/>
    <w:rsid w:val="00BA567B"/>
    <w:rsid w:val="00BA61A3"/>
    <w:rsid w:val="00BA6B74"/>
    <w:rsid w:val="00BA7E4E"/>
    <w:rsid w:val="00BB05C3"/>
    <w:rsid w:val="00BB181D"/>
    <w:rsid w:val="00BB1CE5"/>
    <w:rsid w:val="00BB1DD5"/>
    <w:rsid w:val="00BB1E16"/>
    <w:rsid w:val="00BB37BE"/>
    <w:rsid w:val="00BB559A"/>
    <w:rsid w:val="00BB5D49"/>
    <w:rsid w:val="00BB7E44"/>
    <w:rsid w:val="00BC0116"/>
    <w:rsid w:val="00BC2269"/>
    <w:rsid w:val="00BC270D"/>
    <w:rsid w:val="00BC33FC"/>
    <w:rsid w:val="00BC4CB2"/>
    <w:rsid w:val="00BC4F6A"/>
    <w:rsid w:val="00BC509B"/>
    <w:rsid w:val="00BC64AE"/>
    <w:rsid w:val="00BC698E"/>
    <w:rsid w:val="00BC6BDB"/>
    <w:rsid w:val="00BC7EB4"/>
    <w:rsid w:val="00BD0ABB"/>
    <w:rsid w:val="00BD0B78"/>
    <w:rsid w:val="00BD0CB7"/>
    <w:rsid w:val="00BD0EDA"/>
    <w:rsid w:val="00BD0FB5"/>
    <w:rsid w:val="00BD2391"/>
    <w:rsid w:val="00BD4A08"/>
    <w:rsid w:val="00BD4D35"/>
    <w:rsid w:val="00BD5700"/>
    <w:rsid w:val="00BD691D"/>
    <w:rsid w:val="00BD7F9B"/>
    <w:rsid w:val="00BE0493"/>
    <w:rsid w:val="00BE0544"/>
    <w:rsid w:val="00BE0849"/>
    <w:rsid w:val="00BE143A"/>
    <w:rsid w:val="00BE1879"/>
    <w:rsid w:val="00BE1FB9"/>
    <w:rsid w:val="00BE227A"/>
    <w:rsid w:val="00BE2799"/>
    <w:rsid w:val="00BE28FC"/>
    <w:rsid w:val="00BE394C"/>
    <w:rsid w:val="00BE3ADA"/>
    <w:rsid w:val="00BE3F99"/>
    <w:rsid w:val="00BE4745"/>
    <w:rsid w:val="00BE49C7"/>
    <w:rsid w:val="00BE6464"/>
    <w:rsid w:val="00BE6D77"/>
    <w:rsid w:val="00BE70CE"/>
    <w:rsid w:val="00BE7195"/>
    <w:rsid w:val="00BF1092"/>
    <w:rsid w:val="00BF344B"/>
    <w:rsid w:val="00BF4CB2"/>
    <w:rsid w:val="00BF5099"/>
    <w:rsid w:val="00BF5A7B"/>
    <w:rsid w:val="00BF5BEA"/>
    <w:rsid w:val="00BF6A1B"/>
    <w:rsid w:val="00BF70F0"/>
    <w:rsid w:val="00BF7A5D"/>
    <w:rsid w:val="00BF7BAC"/>
    <w:rsid w:val="00C00EEA"/>
    <w:rsid w:val="00C01CAD"/>
    <w:rsid w:val="00C03FB9"/>
    <w:rsid w:val="00C044AA"/>
    <w:rsid w:val="00C04660"/>
    <w:rsid w:val="00C050D9"/>
    <w:rsid w:val="00C0585F"/>
    <w:rsid w:val="00C07472"/>
    <w:rsid w:val="00C07C8E"/>
    <w:rsid w:val="00C1063D"/>
    <w:rsid w:val="00C10AA7"/>
    <w:rsid w:val="00C111A7"/>
    <w:rsid w:val="00C115FA"/>
    <w:rsid w:val="00C11FAE"/>
    <w:rsid w:val="00C12736"/>
    <w:rsid w:val="00C13399"/>
    <w:rsid w:val="00C138FA"/>
    <w:rsid w:val="00C13B5D"/>
    <w:rsid w:val="00C13ECD"/>
    <w:rsid w:val="00C143D4"/>
    <w:rsid w:val="00C1455C"/>
    <w:rsid w:val="00C14EB0"/>
    <w:rsid w:val="00C16489"/>
    <w:rsid w:val="00C169C4"/>
    <w:rsid w:val="00C16B46"/>
    <w:rsid w:val="00C16FE3"/>
    <w:rsid w:val="00C171AB"/>
    <w:rsid w:val="00C173CC"/>
    <w:rsid w:val="00C1740D"/>
    <w:rsid w:val="00C17853"/>
    <w:rsid w:val="00C179C6"/>
    <w:rsid w:val="00C20175"/>
    <w:rsid w:val="00C214FE"/>
    <w:rsid w:val="00C21AE1"/>
    <w:rsid w:val="00C21EAA"/>
    <w:rsid w:val="00C2233F"/>
    <w:rsid w:val="00C23BD7"/>
    <w:rsid w:val="00C2462A"/>
    <w:rsid w:val="00C24C63"/>
    <w:rsid w:val="00C268EB"/>
    <w:rsid w:val="00C26DCF"/>
    <w:rsid w:val="00C300FB"/>
    <w:rsid w:val="00C305FC"/>
    <w:rsid w:val="00C3066E"/>
    <w:rsid w:val="00C3159F"/>
    <w:rsid w:val="00C318C5"/>
    <w:rsid w:val="00C31AB3"/>
    <w:rsid w:val="00C31BDC"/>
    <w:rsid w:val="00C332A4"/>
    <w:rsid w:val="00C3330D"/>
    <w:rsid w:val="00C33324"/>
    <w:rsid w:val="00C337BF"/>
    <w:rsid w:val="00C3396C"/>
    <w:rsid w:val="00C34080"/>
    <w:rsid w:val="00C3471E"/>
    <w:rsid w:val="00C34859"/>
    <w:rsid w:val="00C34E76"/>
    <w:rsid w:val="00C34F80"/>
    <w:rsid w:val="00C35097"/>
    <w:rsid w:val="00C351AF"/>
    <w:rsid w:val="00C37E3D"/>
    <w:rsid w:val="00C37F71"/>
    <w:rsid w:val="00C40A89"/>
    <w:rsid w:val="00C41D0F"/>
    <w:rsid w:val="00C41DAC"/>
    <w:rsid w:val="00C42352"/>
    <w:rsid w:val="00C42758"/>
    <w:rsid w:val="00C42E5D"/>
    <w:rsid w:val="00C44009"/>
    <w:rsid w:val="00C44241"/>
    <w:rsid w:val="00C44F79"/>
    <w:rsid w:val="00C451CA"/>
    <w:rsid w:val="00C4550B"/>
    <w:rsid w:val="00C4598F"/>
    <w:rsid w:val="00C459EE"/>
    <w:rsid w:val="00C468B6"/>
    <w:rsid w:val="00C46A29"/>
    <w:rsid w:val="00C46B0E"/>
    <w:rsid w:val="00C46D3E"/>
    <w:rsid w:val="00C47DDC"/>
    <w:rsid w:val="00C47DF4"/>
    <w:rsid w:val="00C47EFD"/>
    <w:rsid w:val="00C500A3"/>
    <w:rsid w:val="00C51942"/>
    <w:rsid w:val="00C521BF"/>
    <w:rsid w:val="00C54857"/>
    <w:rsid w:val="00C55533"/>
    <w:rsid w:val="00C557D1"/>
    <w:rsid w:val="00C55883"/>
    <w:rsid w:val="00C55A68"/>
    <w:rsid w:val="00C55F06"/>
    <w:rsid w:val="00C560B4"/>
    <w:rsid w:val="00C56CBE"/>
    <w:rsid w:val="00C60517"/>
    <w:rsid w:val="00C61166"/>
    <w:rsid w:val="00C61720"/>
    <w:rsid w:val="00C61FD7"/>
    <w:rsid w:val="00C62202"/>
    <w:rsid w:val="00C6231F"/>
    <w:rsid w:val="00C631BD"/>
    <w:rsid w:val="00C65189"/>
    <w:rsid w:val="00C6604F"/>
    <w:rsid w:val="00C7138B"/>
    <w:rsid w:val="00C71798"/>
    <w:rsid w:val="00C71D0B"/>
    <w:rsid w:val="00C738E1"/>
    <w:rsid w:val="00C7402B"/>
    <w:rsid w:val="00C74031"/>
    <w:rsid w:val="00C740DD"/>
    <w:rsid w:val="00C7425E"/>
    <w:rsid w:val="00C74521"/>
    <w:rsid w:val="00C74EC2"/>
    <w:rsid w:val="00C7546E"/>
    <w:rsid w:val="00C759B6"/>
    <w:rsid w:val="00C77D70"/>
    <w:rsid w:val="00C81800"/>
    <w:rsid w:val="00C82A84"/>
    <w:rsid w:val="00C82D1B"/>
    <w:rsid w:val="00C869E6"/>
    <w:rsid w:val="00C872B9"/>
    <w:rsid w:val="00C91147"/>
    <w:rsid w:val="00C91CDF"/>
    <w:rsid w:val="00C922E1"/>
    <w:rsid w:val="00C92499"/>
    <w:rsid w:val="00C9486D"/>
    <w:rsid w:val="00C95123"/>
    <w:rsid w:val="00C954A9"/>
    <w:rsid w:val="00C95A76"/>
    <w:rsid w:val="00C962AF"/>
    <w:rsid w:val="00C96F30"/>
    <w:rsid w:val="00CA007E"/>
    <w:rsid w:val="00CA142C"/>
    <w:rsid w:val="00CA1601"/>
    <w:rsid w:val="00CA1EBD"/>
    <w:rsid w:val="00CA2078"/>
    <w:rsid w:val="00CA2802"/>
    <w:rsid w:val="00CA293A"/>
    <w:rsid w:val="00CA4312"/>
    <w:rsid w:val="00CA4D79"/>
    <w:rsid w:val="00CA539D"/>
    <w:rsid w:val="00CA57F7"/>
    <w:rsid w:val="00CA595A"/>
    <w:rsid w:val="00CA5A26"/>
    <w:rsid w:val="00CA5FFA"/>
    <w:rsid w:val="00CA6A8B"/>
    <w:rsid w:val="00CA72E1"/>
    <w:rsid w:val="00CA7820"/>
    <w:rsid w:val="00CB0739"/>
    <w:rsid w:val="00CB1974"/>
    <w:rsid w:val="00CB239A"/>
    <w:rsid w:val="00CB2852"/>
    <w:rsid w:val="00CB2C6A"/>
    <w:rsid w:val="00CB3A88"/>
    <w:rsid w:val="00CB4C79"/>
    <w:rsid w:val="00CB4F9E"/>
    <w:rsid w:val="00CB4FD5"/>
    <w:rsid w:val="00CB5B9C"/>
    <w:rsid w:val="00CB5CE0"/>
    <w:rsid w:val="00CB6466"/>
    <w:rsid w:val="00CB70FE"/>
    <w:rsid w:val="00CC0001"/>
    <w:rsid w:val="00CC14F2"/>
    <w:rsid w:val="00CC235F"/>
    <w:rsid w:val="00CC333B"/>
    <w:rsid w:val="00CC6F3D"/>
    <w:rsid w:val="00CC7CF1"/>
    <w:rsid w:val="00CD0520"/>
    <w:rsid w:val="00CD2934"/>
    <w:rsid w:val="00CD346A"/>
    <w:rsid w:val="00CD62F6"/>
    <w:rsid w:val="00CD7682"/>
    <w:rsid w:val="00CD7840"/>
    <w:rsid w:val="00CD7C92"/>
    <w:rsid w:val="00CE08FC"/>
    <w:rsid w:val="00CE1D9C"/>
    <w:rsid w:val="00CE2FB3"/>
    <w:rsid w:val="00CE3047"/>
    <w:rsid w:val="00CE3315"/>
    <w:rsid w:val="00CE353E"/>
    <w:rsid w:val="00CE389B"/>
    <w:rsid w:val="00CE3AB1"/>
    <w:rsid w:val="00CE552F"/>
    <w:rsid w:val="00CE68F5"/>
    <w:rsid w:val="00CE6D03"/>
    <w:rsid w:val="00CE7286"/>
    <w:rsid w:val="00CF0026"/>
    <w:rsid w:val="00CF023D"/>
    <w:rsid w:val="00CF09D3"/>
    <w:rsid w:val="00CF0D24"/>
    <w:rsid w:val="00CF10E6"/>
    <w:rsid w:val="00CF12D8"/>
    <w:rsid w:val="00CF29C1"/>
    <w:rsid w:val="00CF3612"/>
    <w:rsid w:val="00CF45A1"/>
    <w:rsid w:val="00CF4F52"/>
    <w:rsid w:val="00CF5FC5"/>
    <w:rsid w:val="00CF6A03"/>
    <w:rsid w:val="00CF6DEA"/>
    <w:rsid w:val="00CF73FB"/>
    <w:rsid w:val="00D01084"/>
    <w:rsid w:val="00D016BB"/>
    <w:rsid w:val="00D026EF"/>
    <w:rsid w:val="00D029F1"/>
    <w:rsid w:val="00D02B2D"/>
    <w:rsid w:val="00D02D31"/>
    <w:rsid w:val="00D04640"/>
    <w:rsid w:val="00D06455"/>
    <w:rsid w:val="00D1127D"/>
    <w:rsid w:val="00D11E8B"/>
    <w:rsid w:val="00D12381"/>
    <w:rsid w:val="00D14E7A"/>
    <w:rsid w:val="00D15DD1"/>
    <w:rsid w:val="00D16629"/>
    <w:rsid w:val="00D1720C"/>
    <w:rsid w:val="00D17940"/>
    <w:rsid w:val="00D20801"/>
    <w:rsid w:val="00D216AA"/>
    <w:rsid w:val="00D21C8C"/>
    <w:rsid w:val="00D224B9"/>
    <w:rsid w:val="00D22C3E"/>
    <w:rsid w:val="00D231E5"/>
    <w:rsid w:val="00D23452"/>
    <w:rsid w:val="00D23812"/>
    <w:rsid w:val="00D24EBD"/>
    <w:rsid w:val="00D2599F"/>
    <w:rsid w:val="00D25D4F"/>
    <w:rsid w:val="00D263E5"/>
    <w:rsid w:val="00D269ED"/>
    <w:rsid w:val="00D26A90"/>
    <w:rsid w:val="00D26E3D"/>
    <w:rsid w:val="00D2716C"/>
    <w:rsid w:val="00D301D6"/>
    <w:rsid w:val="00D304BB"/>
    <w:rsid w:val="00D31078"/>
    <w:rsid w:val="00D31651"/>
    <w:rsid w:val="00D324A1"/>
    <w:rsid w:val="00D324EC"/>
    <w:rsid w:val="00D3254F"/>
    <w:rsid w:val="00D33738"/>
    <w:rsid w:val="00D34BD4"/>
    <w:rsid w:val="00D351CE"/>
    <w:rsid w:val="00D35FF6"/>
    <w:rsid w:val="00D41089"/>
    <w:rsid w:val="00D410B3"/>
    <w:rsid w:val="00D41962"/>
    <w:rsid w:val="00D41CB3"/>
    <w:rsid w:val="00D42041"/>
    <w:rsid w:val="00D421C4"/>
    <w:rsid w:val="00D42736"/>
    <w:rsid w:val="00D43BC8"/>
    <w:rsid w:val="00D440B6"/>
    <w:rsid w:val="00D44698"/>
    <w:rsid w:val="00D4494F"/>
    <w:rsid w:val="00D461AB"/>
    <w:rsid w:val="00D46BA8"/>
    <w:rsid w:val="00D4792F"/>
    <w:rsid w:val="00D50307"/>
    <w:rsid w:val="00D503DB"/>
    <w:rsid w:val="00D506A3"/>
    <w:rsid w:val="00D506E0"/>
    <w:rsid w:val="00D50C80"/>
    <w:rsid w:val="00D510BD"/>
    <w:rsid w:val="00D523DB"/>
    <w:rsid w:val="00D524B5"/>
    <w:rsid w:val="00D5293D"/>
    <w:rsid w:val="00D5307A"/>
    <w:rsid w:val="00D53DB6"/>
    <w:rsid w:val="00D54302"/>
    <w:rsid w:val="00D551FF"/>
    <w:rsid w:val="00D55486"/>
    <w:rsid w:val="00D56A92"/>
    <w:rsid w:val="00D56DA3"/>
    <w:rsid w:val="00D57689"/>
    <w:rsid w:val="00D6089C"/>
    <w:rsid w:val="00D62CA1"/>
    <w:rsid w:val="00D63C89"/>
    <w:rsid w:val="00D647AA"/>
    <w:rsid w:val="00D64926"/>
    <w:rsid w:val="00D64F5A"/>
    <w:rsid w:val="00D650B4"/>
    <w:rsid w:val="00D65795"/>
    <w:rsid w:val="00D710E6"/>
    <w:rsid w:val="00D7117D"/>
    <w:rsid w:val="00D71CEF"/>
    <w:rsid w:val="00D71DEC"/>
    <w:rsid w:val="00D7231E"/>
    <w:rsid w:val="00D737D1"/>
    <w:rsid w:val="00D748C7"/>
    <w:rsid w:val="00D7531B"/>
    <w:rsid w:val="00D754FF"/>
    <w:rsid w:val="00D75935"/>
    <w:rsid w:val="00D7600F"/>
    <w:rsid w:val="00D76670"/>
    <w:rsid w:val="00D76DBD"/>
    <w:rsid w:val="00D76EDA"/>
    <w:rsid w:val="00D77015"/>
    <w:rsid w:val="00D7762A"/>
    <w:rsid w:val="00D802B8"/>
    <w:rsid w:val="00D84F8F"/>
    <w:rsid w:val="00D851F3"/>
    <w:rsid w:val="00D855EC"/>
    <w:rsid w:val="00D857E0"/>
    <w:rsid w:val="00D85C1E"/>
    <w:rsid w:val="00D85C65"/>
    <w:rsid w:val="00D85DD4"/>
    <w:rsid w:val="00D8775A"/>
    <w:rsid w:val="00D87E69"/>
    <w:rsid w:val="00D87EA6"/>
    <w:rsid w:val="00D9067A"/>
    <w:rsid w:val="00D90A17"/>
    <w:rsid w:val="00D91DEF"/>
    <w:rsid w:val="00D92138"/>
    <w:rsid w:val="00D925FB"/>
    <w:rsid w:val="00D928F0"/>
    <w:rsid w:val="00D92A90"/>
    <w:rsid w:val="00D93225"/>
    <w:rsid w:val="00D93B3A"/>
    <w:rsid w:val="00D9403F"/>
    <w:rsid w:val="00D9454D"/>
    <w:rsid w:val="00D94F07"/>
    <w:rsid w:val="00D94F0F"/>
    <w:rsid w:val="00D9514C"/>
    <w:rsid w:val="00D96014"/>
    <w:rsid w:val="00D97CD8"/>
    <w:rsid w:val="00D97F24"/>
    <w:rsid w:val="00DA0BA1"/>
    <w:rsid w:val="00DA152C"/>
    <w:rsid w:val="00DA1E29"/>
    <w:rsid w:val="00DA4D0D"/>
    <w:rsid w:val="00DA7164"/>
    <w:rsid w:val="00DA79A0"/>
    <w:rsid w:val="00DA7FD0"/>
    <w:rsid w:val="00DB0B31"/>
    <w:rsid w:val="00DB13AB"/>
    <w:rsid w:val="00DB1414"/>
    <w:rsid w:val="00DB14B6"/>
    <w:rsid w:val="00DB19B9"/>
    <w:rsid w:val="00DB1A6A"/>
    <w:rsid w:val="00DB1B89"/>
    <w:rsid w:val="00DB2651"/>
    <w:rsid w:val="00DB26A1"/>
    <w:rsid w:val="00DB3AD5"/>
    <w:rsid w:val="00DB3DC6"/>
    <w:rsid w:val="00DB4AB3"/>
    <w:rsid w:val="00DB55E4"/>
    <w:rsid w:val="00DB5D81"/>
    <w:rsid w:val="00DB6065"/>
    <w:rsid w:val="00DB6535"/>
    <w:rsid w:val="00DB6564"/>
    <w:rsid w:val="00DB65C9"/>
    <w:rsid w:val="00DB6F97"/>
    <w:rsid w:val="00DB7239"/>
    <w:rsid w:val="00DC0041"/>
    <w:rsid w:val="00DC0597"/>
    <w:rsid w:val="00DC119F"/>
    <w:rsid w:val="00DC126D"/>
    <w:rsid w:val="00DC163B"/>
    <w:rsid w:val="00DC1CFB"/>
    <w:rsid w:val="00DC24BC"/>
    <w:rsid w:val="00DC2789"/>
    <w:rsid w:val="00DC2E3B"/>
    <w:rsid w:val="00DC3287"/>
    <w:rsid w:val="00DC3FCF"/>
    <w:rsid w:val="00DC4979"/>
    <w:rsid w:val="00DC4A70"/>
    <w:rsid w:val="00DC590F"/>
    <w:rsid w:val="00DC60AA"/>
    <w:rsid w:val="00DC6CFE"/>
    <w:rsid w:val="00DC6F44"/>
    <w:rsid w:val="00DD0140"/>
    <w:rsid w:val="00DD139F"/>
    <w:rsid w:val="00DD1462"/>
    <w:rsid w:val="00DD1ADB"/>
    <w:rsid w:val="00DD201D"/>
    <w:rsid w:val="00DD2672"/>
    <w:rsid w:val="00DD2B28"/>
    <w:rsid w:val="00DD2B7D"/>
    <w:rsid w:val="00DD300F"/>
    <w:rsid w:val="00DD33C5"/>
    <w:rsid w:val="00DD3681"/>
    <w:rsid w:val="00DD3AB7"/>
    <w:rsid w:val="00DD3C9D"/>
    <w:rsid w:val="00DD4A68"/>
    <w:rsid w:val="00DD5D2A"/>
    <w:rsid w:val="00DD695C"/>
    <w:rsid w:val="00DE0696"/>
    <w:rsid w:val="00DE2383"/>
    <w:rsid w:val="00DE4F0B"/>
    <w:rsid w:val="00DE4FCA"/>
    <w:rsid w:val="00DE5230"/>
    <w:rsid w:val="00DE5A22"/>
    <w:rsid w:val="00DE6078"/>
    <w:rsid w:val="00DE638E"/>
    <w:rsid w:val="00DF0622"/>
    <w:rsid w:val="00DF16B0"/>
    <w:rsid w:val="00DF1F89"/>
    <w:rsid w:val="00DF21F0"/>
    <w:rsid w:val="00DF40E6"/>
    <w:rsid w:val="00DF48FC"/>
    <w:rsid w:val="00DF5584"/>
    <w:rsid w:val="00DF5846"/>
    <w:rsid w:val="00DF6750"/>
    <w:rsid w:val="00DF75FD"/>
    <w:rsid w:val="00E00E10"/>
    <w:rsid w:val="00E00F34"/>
    <w:rsid w:val="00E01132"/>
    <w:rsid w:val="00E02078"/>
    <w:rsid w:val="00E0335F"/>
    <w:rsid w:val="00E034C5"/>
    <w:rsid w:val="00E0370E"/>
    <w:rsid w:val="00E03E4E"/>
    <w:rsid w:val="00E04058"/>
    <w:rsid w:val="00E0421F"/>
    <w:rsid w:val="00E04EBD"/>
    <w:rsid w:val="00E05836"/>
    <w:rsid w:val="00E063E7"/>
    <w:rsid w:val="00E06933"/>
    <w:rsid w:val="00E06C3C"/>
    <w:rsid w:val="00E07136"/>
    <w:rsid w:val="00E07524"/>
    <w:rsid w:val="00E077DC"/>
    <w:rsid w:val="00E07910"/>
    <w:rsid w:val="00E1016C"/>
    <w:rsid w:val="00E103DA"/>
    <w:rsid w:val="00E10825"/>
    <w:rsid w:val="00E10A9B"/>
    <w:rsid w:val="00E12064"/>
    <w:rsid w:val="00E123F9"/>
    <w:rsid w:val="00E12C7C"/>
    <w:rsid w:val="00E13118"/>
    <w:rsid w:val="00E1423D"/>
    <w:rsid w:val="00E1549C"/>
    <w:rsid w:val="00E15792"/>
    <w:rsid w:val="00E16BC4"/>
    <w:rsid w:val="00E1763C"/>
    <w:rsid w:val="00E17C26"/>
    <w:rsid w:val="00E20CC2"/>
    <w:rsid w:val="00E225E8"/>
    <w:rsid w:val="00E2266D"/>
    <w:rsid w:val="00E22C14"/>
    <w:rsid w:val="00E24688"/>
    <w:rsid w:val="00E24A7E"/>
    <w:rsid w:val="00E25798"/>
    <w:rsid w:val="00E258D2"/>
    <w:rsid w:val="00E26128"/>
    <w:rsid w:val="00E2671C"/>
    <w:rsid w:val="00E26A86"/>
    <w:rsid w:val="00E27F89"/>
    <w:rsid w:val="00E3016A"/>
    <w:rsid w:val="00E306D7"/>
    <w:rsid w:val="00E31A29"/>
    <w:rsid w:val="00E3298B"/>
    <w:rsid w:val="00E32D81"/>
    <w:rsid w:val="00E330D7"/>
    <w:rsid w:val="00E342FA"/>
    <w:rsid w:val="00E35332"/>
    <w:rsid w:val="00E35AFA"/>
    <w:rsid w:val="00E36082"/>
    <w:rsid w:val="00E3716C"/>
    <w:rsid w:val="00E37D47"/>
    <w:rsid w:val="00E405CE"/>
    <w:rsid w:val="00E41B19"/>
    <w:rsid w:val="00E4242D"/>
    <w:rsid w:val="00E4256D"/>
    <w:rsid w:val="00E4365E"/>
    <w:rsid w:val="00E43A85"/>
    <w:rsid w:val="00E43EEF"/>
    <w:rsid w:val="00E43F22"/>
    <w:rsid w:val="00E4475A"/>
    <w:rsid w:val="00E44C00"/>
    <w:rsid w:val="00E4640D"/>
    <w:rsid w:val="00E465D4"/>
    <w:rsid w:val="00E46651"/>
    <w:rsid w:val="00E467E5"/>
    <w:rsid w:val="00E46F5D"/>
    <w:rsid w:val="00E50402"/>
    <w:rsid w:val="00E51C8F"/>
    <w:rsid w:val="00E53C4E"/>
    <w:rsid w:val="00E54D63"/>
    <w:rsid w:val="00E5533B"/>
    <w:rsid w:val="00E55747"/>
    <w:rsid w:val="00E56CBF"/>
    <w:rsid w:val="00E5788D"/>
    <w:rsid w:val="00E579BA"/>
    <w:rsid w:val="00E606CC"/>
    <w:rsid w:val="00E609F6"/>
    <w:rsid w:val="00E6183C"/>
    <w:rsid w:val="00E6281D"/>
    <w:rsid w:val="00E6413E"/>
    <w:rsid w:val="00E65343"/>
    <w:rsid w:val="00E655A8"/>
    <w:rsid w:val="00E66A30"/>
    <w:rsid w:val="00E671F7"/>
    <w:rsid w:val="00E673B7"/>
    <w:rsid w:val="00E70634"/>
    <w:rsid w:val="00E70B8D"/>
    <w:rsid w:val="00E71C40"/>
    <w:rsid w:val="00E726E8"/>
    <w:rsid w:val="00E7436A"/>
    <w:rsid w:val="00E75046"/>
    <w:rsid w:val="00E75A8A"/>
    <w:rsid w:val="00E7738C"/>
    <w:rsid w:val="00E7772E"/>
    <w:rsid w:val="00E80375"/>
    <w:rsid w:val="00E80F2D"/>
    <w:rsid w:val="00E81E9F"/>
    <w:rsid w:val="00E82D5D"/>
    <w:rsid w:val="00E83CBF"/>
    <w:rsid w:val="00E83D7C"/>
    <w:rsid w:val="00E8474D"/>
    <w:rsid w:val="00E84967"/>
    <w:rsid w:val="00E8514E"/>
    <w:rsid w:val="00E8523A"/>
    <w:rsid w:val="00E85591"/>
    <w:rsid w:val="00E8730C"/>
    <w:rsid w:val="00E87585"/>
    <w:rsid w:val="00E9037E"/>
    <w:rsid w:val="00E91230"/>
    <w:rsid w:val="00E91CD4"/>
    <w:rsid w:val="00E92718"/>
    <w:rsid w:val="00E93579"/>
    <w:rsid w:val="00E93E14"/>
    <w:rsid w:val="00E94C4A"/>
    <w:rsid w:val="00E94F01"/>
    <w:rsid w:val="00E94F8A"/>
    <w:rsid w:val="00E94FE3"/>
    <w:rsid w:val="00E96203"/>
    <w:rsid w:val="00E968B3"/>
    <w:rsid w:val="00E96989"/>
    <w:rsid w:val="00E97495"/>
    <w:rsid w:val="00E977E2"/>
    <w:rsid w:val="00E97C1A"/>
    <w:rsid w:val="00EA02E6"/>
    <w:rsid w:val="00EA0DAE"/>
    <w:rsid w:val="00EA1918"/>
    <w:rsid w:val="00EA2E82"/>
    <w:rsid w:val="00EA3A82"/>
    <w:rsid w:val="00EA43CA"/>
    <w:rsid w:val="00EA467C"/>
    <w:rsid w:val="00EA5EA3"/>
    <w:rsid w:val="00EA643B"/>
    <w:rsid w:val="00EA6485"/>
    <w:rsid w:val="00EA6E53"/>
    <w:rsid w:val="00EA74DA"/>
    <w:rsid w:val="00EA7C02"/>
    <w:rsid w:val="00EA7FDB"/>
    <w:rsid w:val="00EB0898"/>
    <w:rsid w:val="00EB0CC0"/>
    <w:rsid w:val="00EB0FB4"/>
    <w:rsid w:val="00EB1162"/>
    <w:rsid w:val="00EB17F4"/>
    <w:rsid w:val="00EB2587"/>
    <w:rsid w:val="00EB32D4"/>
    <w:rsid w:val="00EB39AE"/>
    <w:rsid w:val="00EB4F9F"/>
    <w:rsid w:val="00EB78B3"/>
    <w:rsid w:val="00EB7D96"/>
    <w:rsid w:val="00EC01B2"/>
    <w:rsid w:val="00EC03D5"/>
    <w:rsid w:val="00EC052B"/>
    <w:rsid w:val="00EC068B"/>
    <w:rsid w:val="00EC07D7"/>
    <w:rsid w:val="00EC154A"/>
    <w:rsid w:val="00EC1D9C"/>
    <w:rsid w:val="00EC1DD5"/>
    <w:rsid w:val="00EC1EB8"/>
    <w:rsid w:val="00EC22AA"/>
    <w:rsid w:val="00EC2CBF"/>
    <w:rsid w:val="00EC362E"/>
    <w:rsid w:val="00EC3C23"/>
    <w:rsid w:val="00EC472D"/>
    <w:rsid w:val="00EC47E5"/>
    <w:rsid w:val="00EC526C"/>
    <w:rsid w:val="00EC5DB7"/>
    <w:rsid w:val="00EC6D57"/>
    <w:rsid w:val="00EC6D7A"/>
    <w:rsid w:val="00EC7229"/>
    <w:rsid w:val="00EC7ADA"/>
    <w:rsid w:val="00EC7E38"/>
    <w:rsid w:val="00EC7E39"/>
    <w:rsid w:val="00ED03EE"/>
    <w:rsid w:val="00ED0992"/>
    <w:rsid w:val="00ED0C4E"/>
    <w:rsid w:val="00ED0CFA"/>
    <w:rsid w:val="00ED2193"/>
    <w:rsid w:val="00ED423A"/>
    <w:rsid w:val="00ED44FA"/>
    <w:rsid w:val="00ED5FA9"/>
    <w:rsid w:val="00ED692B"/>
    <w:rsid w:val="00ED69C9"/>
    <w:rsid w:val="00ED78D3"/>
    <w:rsid w:val="00ED7F21"/>
    <w:rsid w:val="00EE06B0"/>
    <w:rsid w:val="00EE1005"/>
    <w:rsid w:val="00EE10B1"/>
    <w:rsid w:val="00EE1BD0"/>
    <w:rsid w:val="00EE21C3"/>
    <w:rsid w:val="00EE2B5E"/>
    <w:rsid w:val="00EE31A9"/>
    <w:rsid w:val="00EE35D0"/>
    <w:rsid w:val="00EE3F5C"/>
    <w:rsid w:val="00EE4DB1"/>
    <w:rsid w:val="00EE667B"/>
    <w:rsid w:val="00EE7736"/>
    <w:rsid w:val="00EF111F"/>
    <w:rsid w:val="00EF1B3B"/>
    <w:rsid w:val="00EF230A"/>
    <w:rsid w:val="00EF29F9"/>
    <w:rsid w:val="00EF2BA8"/>
    <w:rsid w:val="00EF3793"/>
    <w:rsid w:val="00EF413D"/>
    <w:rsid w:val="00EF49BE"/>
    <w:rsid w:val="00EF51A1"/>
    <w:rsid w:val="00EF609E"/>
    <w:rsid w:val="00EF68A3"/>
    <w:rsid w:val="00EF69AB"/>
    <w:rsid w:val="00EF6F02"/>
    <w:rsid w:val="00EF77DA"/>
    <w:rsid w:val="00F01081"/>
    <w:rsid w:val="00F01A8E"/>
    <w:rsid w:val="00F02562"/>
    <w:rsid w:val="00F0258E"/>
    <w:rsid w:val="00F0402D"/>
    <w:rsid w:val="00F04141"/>
    <w:rsid w:val="00F04762"/>
    <w:rsid w:val="00F049C5"/>
    <w:rsid w:val="00F04AC3"/>
    <w:rsid w:val="00F04D2A"/>
    <w:rsid w:val="00F05350"/>
    <w:rsid w:val="00F055F6"/>
    <w:rsid w:val="00F057FA"/>
    <w:rsid w:val="00F068FF"/>
    <w:rsid w:val="00F07423"/>
    <w:rsid w:val="00F078C4"/>
    <w:rsid w:val="00F10A66"/>
    <w:rsid w:val="00F11514"/>
    <w:rsid w:val="00F116EF"/>
    <w:rsid w:val="00F1212F"/>
    <w:rsid w:val="00F12190"/>
    <w:rsid w:val="00F12396"/>
    <w:rsid w:val="00F133BA"/>
    <w:rsid w:val="00F13908"/>
    <w:rsid w:val="00F13D46"/>
    <w:rsid w:val="00F143B8"/>
    <w:rsid w:val="00F14477"/>
    <w:rsid w:val="00F144A4"/>
    <w:rsid w:val="00F1570D"/>
    <w:rsid w:val="00F16F2C"/>
    <w:rsid w:val="00F17BC1"/>
    <w:rsid w:val="00F17E02"/>
    <w:rsid w:val="00F17E2A"/>
    <w:rsid w:val="00F203A4"/>
    <w:rsid w:val="00F23803"/>
    <w:rsid w:val="00F23FBF"/>
    <w:rsid w:val="00F244ED"/>
    <w:rsid w:val="00F24B51"/>
    <w:rsid w:val="00F26406"/>
    <w:rsid w:val="00F26717"/>
    <w:rsid w:val="00F27256"/>
    <w:rsid w:val="00F2745D"/>
    <w:rsid w:val="00F279D6"/>
    <w:rsid w:val="00F30C1F"/>
    <w:rsid w:val="00F316DA"/>
    <w:rsid w:val="00F32A2B"/>
    <w:rsid w:val="00F32B83"/>
    <w:rsid w:val="00F33388"/>
    <w:rsid w:val="00F34F61"/>
    <w:rsid w:val="00F35051"/>
    <w:rsid w:val="00F35A89"/>
    <w:rsid w:val="00F36081"/>
    <w:rsid w:val="00F36A86"/>
    <w:rsid w:val="00F3716E"/>
    <w:rsid w:val="00F37329"/>
    <w:rsid w:val="00F37D93"/>
    <w:rsid w:val="00F37EF7"/>
    <w:rsid w:val="00F40013"/>
    <w:rsid w:val="00F410BF"/>
    <w:rsid w:val="00F41B59"/>
    <w:rsid w:val="00F4350C"/>
    <w:rsid w:val="00F43F9E"/>
    <w:rsid w:val="00F4478D"/>
    <w:rsid w:val="00F4489E"/>
    <w:rsid w:val="00F45D9C"/>
    <w:rsid w:val="00F47A7A"/>
    <w:rsid w:val="00F505F4"/>
    <w:rsid w:val="00F520D7"/>
    <w:rsid w:val="00F52694"/>
    <w:rsid w:val="00F527F2"/>
    <w:rsid w:val="00F536EC"/>
    <w:rsid w:val="00F53C03"/>
    <w:rsid w:val="00F54B2D"/>
    <w:rsid w:val="00F5538C"/>
    <w:rsid w:val="00F55A3C"/>
    <w:rsid w:val="00F56527"/>
    <w:rsid w:val="00F57743"/>
    <w:rsid w:val="00F6062B"/>
    <w:rsid w:val="00F619B1"/>
    <w:rsid w:val="00F629A0"/>
    <w:rsid w:val="00F644BA"/>
    <w:rsid w:val="00F6462A"/>
    <w:rsid w:val="00F65775"/>
    <w:rsid w:val="00F658EB"/>
    <w:rsid w:val="00F65E92"/>
    <w:rsid w:val="00F66C9E"/>
    <w:rsid w:val="00F66DFB"/>
    <w:rsid w:val="00F672FE"/>
    <w:rsid w:val="00F70434"/>
    <w:rsid w:val="00F72E09"/>
    <w:rsid w:val="00F73E2B"/>
    <w:rsid w:val="00F73E5C"/>
    <w:rsid w:val="00F75DCB"/>
    <w:rsid w:val="00F76145"/>
    <w:rsid w:val="00F76A42"/>
    <w:rsid w:val="00F77E7F"/>
    <w:rsid w:val="00F80C2C"/>
    <w:rsid w:val="00F824FA"/>
    <w:rsid w:val="00F84337"/>
    <w:rsid w:val="00F843EE"/>
    <w:rsid w:val="00F848B9"/>
    <w:rsid w:val="00F85102"/>
    <w:rsid w:val="00F8604D"/>
    <w:rsid w:val="00F8647A"/>
    <w:rsid w:val="00F87176"/>
    <w:rsid w:val="00F87C8E"/>
    <w:rsid w:val="00F90819"/>
    <w:rsid w:val="00F90C6C"/>
    <w:rsid w:val="00F91E2C"/>
    <w:rsid w:val="00F9283E"/>
    <w:rsid w:val="00F929FB"/>
    <w:rsid w:val="00F92A1E"/>
    <w:rsid w:val="00F92D95"/>
    <w:rsid w:val="00F930D5"/>
    <w:rsid w:val="00F93794"/>
    <w:rsid w:val="00F93A6E"/>
    <w:rsid w:val="00F93AD3"/>
    <w:rsid w:val="00F93C25"/>
    <w:rsid w:val="00F9472A"/>
    <w:rsid w:val="00F94D66"/>
    <w:rsid w:val="00F95780"/>
    <w:rsid w:val="00F96130"/>
    <w:rsid w:val="00F977B7"/>
    <w:rsid w:val="00F97AD6"/>
    <w:rsid w:val="00F97BBA"/>
    <w:rsid w:val="00FA08EA"/>
    <w:rsid w:val="00FA17C5"/>
    <w:rsid w:val="00FA1D03"/>
    <w:rsid w:val="00FA1FC8"/>
    <w:rsid w:val="00FA2162"/>
    <w:rsid w:val="00FA6B27"/>
    <w:rsid w:val="00FA6E4D"/>
    <w:rsid w:val="00FA6EA1"/>
    <w:rsid w:val="00FB0E18"/>
    <w:rsid w:val="00FB0E98"/>
    <w:rsid w:val="00FB0FA6"/>
    <w:rsid w:val="00FB1692"/>
    <w:rsid w:val="00FB19CD"/>
    <w:rsid w:val="00FB3C97"/>
    <w:rsid w:val="00FB4223"/>
    <w:rsid w:val="00FB4C2E"/>
    <w:rsid w:val="00FB5AA3"/>
    <w:rsid w:val="00FB6525"/>
    <w:rsid w:val="00FB6CB9"/>
    <w:rsid w:val="00FB7225"/>
    <w:rsid w:val="00FB7226"/>
    <w:rsid w:val="00FB784C"/>
    <w:rsid w:val="00FC1356"/>
    <w:rsid w:val="00FC221A"/>
    <w:rsid w:val="00FC26EE"/>
    <w:rsid w:val="00FC2E5F"/>
    <w:rsid w:val="00FC34C3"/>
    <w:rsid w:val="00FC3CCC"/>
    <w:rsid w:val="00FC3D5B"/>
    <w:rsid w:val="00FC4C40"/>
    <w:rsid w:val="00FC5058"/>
    <w:rsid w:val="00FC694C"/>
    <w:rsid w:val="00FC6D35"/>
    <w:rsid w:val="00FD0467"/>
    <w:rsid w:val="00FD0843"/>
    <w:rsid w:val="00FD0F72"/>
    <w:rsid w:val="00FD2983"/>
    <w:rsid w:val="00FD34F6"/>
    <w:rsid w:val="00FD3995"/>
    <w:rsid w:val="00FD40DA"/>
    <w:rsid w:val="00FD44CC"/>
    <w:rsid w:val="00FD4E7F"/>
    <w:rsid w:val="00FD57E2"/>
    <w:rsid w:val="00FD58B6"/>
    <w:rsid w:val="00FD5A20"/>
    <w:rsid w:val="00FD5FC7"/>
    <w:rsid w:val="00FD67F1"/>
    <w:rsid w:val="00FD69C7"/>
    <w:rsid w:val="00FD6FCC"/>
    <w:rsid w:val="00FD74B1"/>
    <w:rsid w:val="00FD7965"/>
    <w:rsid w:val="00FE211A"/>
    <w:rsid w:val="00FE2563"/>
    <w:rsid w:val="00FE2683"/>
    <w:rsid w:val="00FE288E"/>
    <w:rsid w:val="00FE3720"/>
    <w:rsid w:val="00FE4030"/>
    <w:rsid w:val="00FE40F6"/>
    <w:rsid w:val="00FE443D"/>
    <w:rsid w:val="00FE4734"/>
    <w:rsid w:val="00FE5D5A"/>
    <w:rsid w:val="00FE6CAD"/>
    <w:rsid w:val="00FE7B57"/>
    <w:rsid w:val="00FF1D84"/>
    <w:rsid w:val="00FF2F71"/>
    <w:rsid w:val="00FF30C1"/>
    <w:rsid w:val="00FF3110"/>
    <w:rsid w:val="00FF3D04"/>
    <w:rsid w:val="00FF47E0"/>
    <w:rsid w:val="00FF50A4"/>
    <w:rsid w:val="00FF54C6"/>
    <w:rsid w:val="00FF6873"/>
    <w:rsid w:val="00FF77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161BA"/>
  <w15:docId w15:val="{64D37519-9E90-452E-9B02-60D297F4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uiPriority w:val="99"/>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uiPriority w:val="99"/>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uiPriority w:val="99"/>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uiPriority w:val="99"/>
    <w:rsid w:val="0036725F"/>
  </w:style>
  <w:style w:type="character" w:styleId="Refdenotaalpie">
    <w:name w:val="footnote reference"/>
    <w:basedOn w:val="Fuentedeprrafopredeter"/>
    <w:uiPriority w:val="99"/>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uiPriority w:val="99"/>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styleId="Hipervnculovisitado">
    <w:name w:val="FollowedHyperlink"/>
    <w:basedOn w:val="Fuentedeprrafopredeter"/>
    <w:semiHidden/>
    <w:unhideWhenUsed/>
    <w:rsid w:val="00573E5B"/>
    <w:rPr>
      <w:color w:val="800080" w:themeColor="followedHyperlink"/>
      <w:u w:val="single"/>
    </w:rPr>
  </w:style>
  <w:style w:type="character" w:customStyle="1" w:styleId="Mencinsinresolver1">
    <w:name w:val="Mención sin resolver1"/>
    <w:basedOn w:val="Fuentedeprrafopredeter"/>
    <w:uiPriority w:val="99"/>
    <w:semiHidden/>
    <w:unhideWhenUsed/>
    <w:rsid w:val="001A3153"/>
    <w:rPr>
      <w:color w:val="605E5C"/>
      <w:shd w:val="clear" w:color="auto" w:fill="E1DFDD"/>
    </w:rPr>
  </w:style>
  <w:style w:type="character" w:styleId="Mencinsinresolver">
    <w:name w:val="Unresolved Mention"/>
    <w:basedOn w:val="Fuentedeprrafopredeter"/>
    <w:uiPriority w:val="99"/>
    <w:semiHidden/>
    <w:unhideWhenUsed/>
    <w:rsid w:val="00254AD4"/>
    <w:rPr>
      <w:color w:val="605E5C"/>
      <w:shd w:val="clear" w:color="auto" w:fill="E1DFDD"/>
    </w:rPr>
  </w:style>
  <w:style w:type="paragraph" w:styleId="Revisin">
    <w:name w:val="Revision"/>
    <w:hidden/>
    <w:uiPriority w:val="99"/>
    <w:semiHidden/>
    <w:rsid w:val="000F6F45"/>
    <w:rPr>
      <w:rFonts w:ascii="Arial" w:hAnsi="Arial"/>
      <w:snapToGrid w:val="0"/>
      <w:sz w:val="24"/>
      <w:lang w:val="es-ES_tradnl"/>
    </w:rPr>
  </w:style>
  <w:style w:type="paragraph" w:customStyle="1" w:styleId="bulnot">
    <w:name w:val="bulnot"/>
    <w:basedOn w:val="Normal"/>
    <w:rsid w:val="00EE35D0"/>
    <w:pPr>
      <w:widowControl/>
      <w:tabs>
        <w:tab w:val="left" w:pos="851"/>
      </w:tabs>
      <w:spacing w:before="360"/>
      <w:ind w:left="1985" w:right="2036" w:hanging="273"/>
      <w:jc w:val="both"/>
    </w:pPr>
    <w:rPr>
      <w:b/>
      <w:snapToGrid/>
      <w:color w:val="0000FF"/>
      <w:spacing w:val="10"/>
      <w:sz w:val="22"/>
      <w:lang w:val="es-MX"/>
    </w:rPr>
  </w:style>
  <w:style w:type="paragraph" w:styleId="Ttulo">
    <w:name w:val="Title"/>
    <w:basedOn w:val="Normal"/>
    <w:link w:val="TtuloCar"/>
    <w:uiPriority w:val="10"/>
    <w:qFormat/>
    <w:rsid w:val="00EE35D0"/>
    <w:pPr>
      <w:widowControl/>
      <w:jc w:val="center"/>
    </w:pPr>
    <w:rPr>
      <w:b/>
      <w:snapToGrid/>
      <w:lang w:val="es-ES"/>
    </w:rPr>
  </w:style>
  <w:style w:type="character" w:customStyle="1" w:styleId="TtuloCar">
    <w:name w:val="Título Car"/>
    <w:basedOn w:val="Fuentedeprrafopredeter"/>
    <w:link w:val="Ttulo"/>
    <w:uiPriority w:val="10"/>
    <w:rsid w:val="00EE35D0"/>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77011">
      <w:bodyDiv w:val="1"/>
      <w:marLeft w:val="0"/>
      <w:marRight w:val="0"/>
      <w:marTop w:val="0"/>
      <w:marBottom w:val="0"/>
      <w:divBdr>
        <w:top w:val="none" w:sz="0" w:space="0" w:color="auto"/>
        <w:left w:val="none" w:sz="0" w:space="0" w:color="auto"/>
        <w:bottom w:val="none" w:sz="0" w:space="0" w:color="auto"/>
        <w:right w:val="none" w:sz="0" w:space="0" w:color="auto"/>
      </w:divBdr>
    </w:div>
    <w:div w:id="486745596">
      <w:bodyDiv w:val="1"/>
      <w:marLeft w:val="0"/>
      <w:marRight w:val="0"/>
      <w:marTop w:val="0"/>
      <w:marBottom w:val="0"/>
      <w:divBdr>
        <w:top w:val="none" w:sz="0" w:space="0" w:color="auto"/>
        <w:left w:val="none" w:sz="0" w:space="0" w:color="auto"/>
        <w:bottom w:val="none" w:sz="0" w:space="0" w:color="auto"/>
        <w:right w:val="none" w:sz="0" w:space="0" w:color="auto"/>
      </w:divBdr>
    </w:div>
    <w:div w:id="623537239">
      <w:bodyDiv w:val="1"/>
      <w:marLeft w:val="0"/>
      <w:marRight w:val="0"/>
      <w:marTop w:val="0"/>
      <w:marBottom w:val="0"/>
      <w:divBdr>
        <w:top w:val="none" w:sz="0" w:space="0" w:color="auto"/>
        <w:left w:val="none" w:sz="0" w:space="0" w:color="auto"/>
        <w:bottom w:val="none" w:sz="0" w:space="0" w:color="auto"/>
        <w:right w:val="none" w:sz="0" w:space="0" w:color="auto"/>
      </w:divBdr>
    </w:div>
    <w:div w:id="771439630">
      <w:bodyDiv w:val="1"/>
      <w:marLeft w:val="0"/>
      <w:marRight w:val="0"/>
      <w:marTop w:val="0"/>
      <w:marBottom w:val="0"/>
      <w:divBdr>
        <w:top w:val="none" w:sz="0" w:space="0" w:color="auto"/>
        <w:left w:val="none" w:sz="0" w:space="0" w:color="auto"/>
        <w:bottom w:val="none" w:sz="0" w:space="0" w:color="auto"/>
        <w:right w:val="none" w:sz="0" w:space="0" w:color="auto"/>
      </w:divBdr>
    </w:div>
    <w:div w:id="853347473">
      <w:bodyDiv w:val="1"/>
      <w:marLeft w:val="0"/>
      <w:marRight w:val="0"/>
      <w:marTop w:val="0"/>
      <w:marBottom w:val="0"/>
      <w:divBdr>
        <w:top w:val="none" w:sz="0" w:space="0" w:color="auto"/>
        <w:left w:val="none" w:sz="0" w:space="0" w:color="auto"/>
        <w:bottom w:val="none" w:sz="0" w:space="0" w:color="auto"/>
        <w:right w:val="none" w:sz="0" w:space="0" w:color="auto"/>
      </w:divBdr>
    </w:div>
    <w:div w:id="88244241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279483548">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701778462">
      <w:bodyDiv w:val="1"/>
      <w:marLeft w:val="0"/>
      <w:marRight w:val="0"/>
      <w:marTop w:val="0"/>
      <w:marBottom w:val="0"/>
      <w:divBdr>
        <w:top w:val="none" w:sz="0" w:space="0" w:color="auto"/>
        <w:left w:val="none" w:sz="0" w:space="0" w:color="auto"/>
        <w:bottom w:val="none" w:sz="0" w:space="0" w:color="auto"/>
        <w:right w:val="none" w:sz="0" w:space="0" w:color="auto"/>
      </w:divBdr>
    </w:div>
    <w:div w:id="1883444619">
      <w:bodyDiv w:val="1"/>
      <w:marLeft w:val="0"/>
      <w:marRight w:val="0"/>
      <w:marTop w:val="0"/>
      <w:marBottom w:val="0"/>
      <w:divBdr>
        <w:top w:val="none" w:sz="0" w:space="0" w:color="auto"/>
        <w:left w:val="none" w:sz="0" w:space="0" w:color="auto"/>
        <w:bottom w:val="none" w:sz="0" w:space="0" w:color="auto"/>
        <w:right w:val="none" w:sz="0" w:space="0" w:color="auto"/>
      </w:divBdr>
    </w:div>
    <w:div w:id="1926264804">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footer" Target="footer1.xml"/><Relationship Id="rId19" Type="http://schemas.openxmlformats.org/officeDocument/2006/relationships/hyperlink" Target="http://www.inegi.org.m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s://www.inegi.org.mx/app/indicadores/?tm=0" TargetMode="Externa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TAT\2022\ITAT%20II%20Trim\Graficas%20Turistico%20desestacionalizada-tendenciaII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TAT\2022\ITAT%20II%20Trim\Graficas%20Turistico%20desestacionalizada-tendenciaII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TAT\2022\ITAT%20II%20Trim\Graficas%20Turistico%20desestacionalizada-tendenciaII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TAT\2022\ITAT%20II%20Trim\Graficas%20Turistico%20desestacionalizada-tendenciaII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TAT\2022\ITAT%20II%20Trim\Graficas%20Turistico%20desestacionalizada-tendenciaII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TAT\2022\ITAT%20II%20Trim\Graficas%20Turistico%20desestacionalizada-tendenciaII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742027668295063E-2"/>
          <c:y val="3.0836855017918843E-2"/>
          <c:w val="0.9152601893408342"/>
          <c:h val="0.78564416333204257"/>
        </c:manualLayout>
      </c:layout>
      <c:barChart>
        <c:barDir val="col"/>
        <c:grouping val="stacked"/>
        <c:varyColors val="0"/>
        <c:ser>
          <c:idx val="0"/>
          <c:order val="0"/>
          <c:tx>
            <c:strRef>
              <c:f>datos!$D$4</c:f>
              <c:strCache>
                <c:ptCount val="1"/>
                <c:pt idx="0">
                  <c:v>Serie Desestacionalizada</c:v>
                </c:pt>
              </c:strCache>
            </c:strRef>
          </c:tx>
          <c:spPr>
            <a:solidFill>
              <a:schemeClr val="accent1">
                <a:lumMod val="60000"/>
                <a:lumOff val="40000"/>
              </a:schemeClr>
            </a:solidFill>
            <a:ln w="12700">
              <a:noFill/>
              <a:prstDash val="solid"/>
            </a:ln>
            <a:effectLst>
              <a:outerShdw blurRad="50800" dist="12700" dir="5400000" algn="ctr" rotWithShape="0">
                <a:schemeClr val="bg1">
                  <a:alpha val="43000"/>
                </a:schemeClr>
              </a:outerShdw>
            </a:effectLst>
            <a:scene3d>
              <a:camera prst="orthographicFront"/>
              <a:lightRig rig="threePt" dir="t"/>
            </a:scene3d>
            <a:sp3d/>
          </c:spPr>
          <c:invertIfNegative val="0"/>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datos!$D$17:$D$70</c:f>
              <c:numCache>
                <c:formatCode>0.0</c:formatCode>
                <c:ptCount val="54"/>
                <c:pt idx="0">
                  <c:v>92.947357509315097</c:v>
                </c:pt>
                <c:pt idx="1">
                  <c:v>85.682103319255503</c:v>
                </c:pt>
                <c:pt idx="2">
                  <c:v>90.650519391318099</c:v>
                </c:pt>
                <c:pt idx="3">
                  <c:v>91.182583908983403</c:v>
                </c:pt>
                <c:pt idx="4">
                  <c:v>92.668896205265995</c:v>
                </c:pt>
                <c:pt idx="5">
                  <c:v>91.840212258644897</c:v>
                </c:pt>
                <c:pt idx="6">
                  <c:v>92.439443142339201</c:v>
                </c:pt>
                <c:pt idx="7">
                  <c:v>91.581232215443606</c:v>
                </c:pt>
                <c:pt idx="8">
                  <c:v>92.232679672241801</c:v>
                </c:pt>
                <c:pt idx="9">
                  <c:v>94.192015186704495</c:v>
                </c:pt>
                <c:pt idx="10">
                  <c:v>95.260000973815806</c:v>
                </c:pt>
                <c:pt idx="11">
                  <c:v>97.592991415308902</c:v>
                </c:pt>
                <c:pt idx="12">
                  <c:v>96.242426705972605</c:v>
                </c:pt>
                <c:pt idx="13">
                  <c:v>98.609182965036197</c:v>
                </c:pt>
                <c:pt idx="14">
                  <c:v>98.6898326163072</c:v>
                </c:pt>
                <c:pt idx="15">
                  <c:v>97.942303477173994</c:v>
                </c:pt>
                <c:pt idx="16">
                  <c:v>98.261763733549103</c:v>
                </c:pt>
                <c:pt idx="17">
                  <c:v>99.039470323203403</c:v>
                </c:pt>
                <c:pt idx="18">
                  <c:v>100.941916139772</c:v>
                </c:pt>
                <c:pt idx="19">
                  <c:v>101.64166045399899</c:v>
                </c:pt>
                <c:pt idx="20">
                  <c:v>100.92901496355</c:v>
                </c:pt>
                <c:pt idx="21">
                  <c:v>101.05687087717899</c:v>
                </c:pt>
                <c:pt idx="22">
                  <c:v>101.49627466309801</c:v>
                </c:pt>
                <c:pt idx="23">
                  <c:v>102.557905466549</c:v>
                </c:pt>
                <c:pt idx="24">
                  <c:v>102.09172994736301</c:v>
                </c:pt>
                <c:pt idx="25">
                  <c:v>103.90470304844</c:v>
                </c:pt>
                <c:pt idx="26">
                  <c:v>106.354926365898</c:v>
                </c:pt>
                <c:pt idx="27">
                  <c:v>107.16213013884899</c:v>
                </c:pt>
                <c:pt idx="28">
                  <c:v>106.098043057998</c:v>
                </c:pt>
                <c:pt idx="29">
                  <c:v>106.029347139566</c:v>
                </c:pt>
                <c:pt idx="30">
                  <c:v>107.604402570997</c:v>
                </c:pt>
                <c:pt idx="31">
                  <c:v>109.67158837237901</c:v>
                </c:pt>
                <c:pt idx="32">
                  <c:v>112.976264294017</c:v>
                </c:pt>
                <c:pt idx="33">
                  <c:v>110.52602756689799</c:v>
                </c:pt>
                <c:pt idx="34">
                  <c:v>108.46773542312</c:v>
                </c:pt>
                <c:pt idx="35">
                  <c:v>110.26481722506099</c:v>
                </c:pt>
                <c:pt idx="36">
                  <c:v>112.178519138395</c:v>
                </c:pt>
                <c:pt idx="37">
                  <c:v>113.132680989715</c:v>
                </c:pt>
                <c:pt idx="38">
                  <c:v>112.652219854142</c:v>
                </c:pt>
                <c:pt idx="39">
                  <c:v>112.972631127691</c:v>
                </c:pt>
                <c:pt idx="40">
                  <c:v>113.214685201629</c:v>
                </c:pt>
                <c:pt idx="41">
                  <c:v>111.578149436648</c:v>
                </c:pt>
                <c:pt idx="42">
                  <c:v>114.35183220848199</c:v>
                </c:pt>
                <c:pt idx="43">
                  <c:v>111.819608566635</c:v>
                </c:pt>
                <c:pt idx="44">
                  <c:v>114.69398674156599</c:v>
                </c:pt>
                <c:pt idx="45">
                  <c:v>58.619254457523198</c:v>
                </c:pt>
                <c:pt idx="46">
                  <c:v>76.642566000499897</c:v>
                </c:pt>
                <c:pt idx="47">
                  <c:v>85.650649167388806</c:v>
                </c:pt>
                <c:pt idx="48">
                  <c:v>87.094636898719699</c:v>
                </c:pt>
                <c:pt idx="49">
                  <c:v>93.675082432771404</c:v>
                </c:pt>
                <c:pt idx="50">
                  <c:v>95.624476007051499</c:v>
                </c:pt>
                <c:pt idx="51">
                  <c:v>101.94895637153699</c:v>
                </c:pt>
                <c:pt idx="52">
                  <c:v>106.50684517875401</c:v>
                </c:pt>
                <c:pt idx="53">
                  <c:v>111.79473154746201</c:v>
                </c:pt>
              </c:numCache>
            </c:numRef>
          </c:val>
          <c:extLst>
            <c:ext xmlns:c16="http://schemas.microsoft.com/office/drawing/2014/chart" uri="{C3380CC4-5D6E-409C-BE32-E72D297353CC}">
              <c16:uniqueId val="{00000000-0855-407B-9012-F716E4C2DD26}"/>
            </c:ext>
          </c:extLst>
        </c:ser>
        <c:dLbls>
          <c:showLegendKey val="0"/>
          <c:showVal val="0"/>
          <c:showCatName val="0"/>
          <c:showSerName val="0"/>
          <c:showPercent val="0"/>
          <c:showBubbleSize val="0"/>
        </c:dLbls>
        <c:gapWidth val="60"/>
        <c:overlap val="100"/>
        <c:axId val="2080251503"/>
        <c:axId val="1"/>
      </c:barChart>
      <c:lineChart>
        <c:grouping val="standard"/>
        <c:varyColors val="0"/>
        <c:ser>
          <c:idx val="1"/>
          <c:order val="1"/>
          <c:tx>
            <c:v>Serie de Tendencia-Ciclo</c:v>
          </c:tx>
          <c:spPr>
            <a:ln w="15875">
              <a:solidFill>
                <a:schemeClr val="tx2">
                  <a:lumMod val="75000"/>
                </a:schemeClr>
              </a:solidFill>
              <a:prstDash val="solid"/>
            </a:ln>
          </c:spPr>
          <c:marker>
            <c:symbol val="none"/>
          </c:marker>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datos!$E$17:$E$70</c:f>
              <c:numCache>
                <c:formatCode>0.0</c:formatCode>
                <c:ptCount val="54"/>
                <c:pt idx="0">
                  <c:v>93.501703962606001</c:v>
                </c:pt>
                <c:pt idx="1">
                  <c:v>93.139758137475496</c:v>
                </c:pt>
                <c:pt idx="2">
                  <c:v>92.985797831931905</c:v>
                </c:pt>
                <c:pt idx="3">
                  <c:v>92.641694216778703</c:v>
                </c:pt>
                <c:pt idx="4">
                  <c:v>92.431860701588207</c:v>
                </c:pt>
                <c:pt idx="5">
                  <c:v>92.423107970523603</c:v>
                </c:pt>
                <c:pt idx="6">
                  <c:v>92.042186077934502</c:v>
                </c:pt>
                <c:pt idx="7">
                  <c:v>91.825134578867704</c:v>
                </c:pt>
                <c:pt idx="8">
                  <c:v>92.383170536274903</c:v>
                </c:pt>
                <c:pt idx="9">
                  <c:v>93.873547426015904</c:v>
                </c:pt>
                <c:pt idx="10">
                  <c:v>95.672989700989206</c:v>
                </c:pt>
                <c:pt idx="11">
                  <c:v>97.123079126586603</c:v>
                </c:pt>
                <c:pt idx="12">
                  <c:v>98.058525574314302</c:v>
                </c:pt>
                <c:pt idx="13">
                  <c:v>98.498040626783705</c:v>
                </c:pt>
                <c:pt idx="14">
                  <c:v>98.548559316776803</c:v>
                </c:pt>
                <c:pt idx="15">
                  <c:v>98.126159389274704</c:v>
                </c:pt>
                <c:pt idx="16">
                  <c:v>98.168128308053099</c:v>
                </c:pt>
                <c:pt idx="17">
                  <c:v>99.259304882322198</c:v>
                </c:pt>
                <c:pt idx="18">
                  <c:v>100.786416930746</c:v>
                </c:pt>
                <c:pt idx="19">
                  <c:v>101.46084171184501</c:v>
                </c:pt>
                <c:pt idx="20">
                  <c:v>101.133276301896</c:v>
                </c:pt>
                <c:pt idx="21">
                  <c:v>101.02227946632</c:v>
                </c:pt>
                <c:pt idx="22">
                  <c:v>101.56871660746801</c:v>
                </c:pt>
                <c:pt idx="23">
                  <c:v>101.914333290497</c:v>
                </c:pt>
                <c:pt idx="24">
                  <c:v>102.38358083493399</c:v>
                </c:pt>
                <c:pt idx="25">
                  <c:v>103.978636405549</c:v>
                </c:pt>
                <c:pt idx="26">
                  <c:v>106.20425515094</c:v>
                </c:pt>
                <c:pt idx="27">
                  <c:v>106.93487832124799</c:v>
                </c:pt>
                <c:pt idx="28">
                  <c:v>106.260926828645</c:v>
                </c:pt>
                <c:pt idx="29">
                  <c:v>106.161513588918</c:v>
                </c:pt>
                <c:pt idx="30">
                  <c:v>107.515579275181</c:v>
                </c:pt>
                <c:pt idx="31">
                  <c:v>110.037883763924</c:v>
                </c:pt>
                <c:pt idx="32">
                  <c:v>111.626994414322</c:v>
                </c:pt>
                <c:pt idx="33">
                  <c:v>110.521200484171</c:v>
                </c:pt>
                <c:pt idx="34">
                  <c:v>109.047032555504</c:v>
                </c:pt>
                <c:pt idx="35">
                  <c:v>110.069312096112</c:v>
                </c:pt>
                <c:pt idx="36">
                  <c:v>112.134384095671</c:v>
                </c:pt>
                <c:pt idx="37">
                  <c:v>112.933652511608</c:v>
                </c:pt>
                <c:pt idx="38">
                  <c:v>112.880923438407</c:v>
                </c:pt>
                <c:pt idx="39">
                  <c:v>113.040257224342</c:v>
                </c:pt>
                <c:pt idx="40">
                  <c:v>112.716173660678</c:v>
                </c:pt>
                <c:pt idx="41">
                  <c:v>112.371580756353</c:v>
                </c:pt>
                <c:pt idx="42">
                  <c:v>112.124673212575</c:v>
                </c:pt>
                <c:pt idx="43">
                  <c:v>112.610998885825</c:v>
                </c:pt>
                <c:pt idx="44">
                  <c:v>114.462939684503</c:v>
                </c:pt>
                <c:pt idx="45">
                  <c:v>82.066765201844404</c:v>
                </c:pt>
                <c:pt idx="46">
                  <c:v>83.856418698801605</c:v>
                </c:pt>
                <c:pt idx="47">
                  <c:v>85.483951198721201</c:v>
                </c:pt>
                <c:pt idx="48">
                  <c:v>87.888100346865798</c:v>
                </c:pt>
                <c:pt idx="49">
                  <c:v>91.301007255868697</c:v>
                </c:pt>
                <c:pt idx="50">
                  <c:v>96.106512860915799</c:v>
                </c:pt>
                <c:pt idx="51">
                  <c:v>101.46356004408401</c:v>
                </c:pt>
                <c:pt idx="52">
                  <c:v>106.860515537175</c:v>
                </c:pt>
                <c:pt idx="53">
                  <c:v>111.517541773772</c:v>
                </c:pt>
              </c:numCache>
            </c:numRef>
          </c:val>
          <c:smooth val="0"/>
          <c:extLst>
            <c:ext xmlns:c16="http://schemas.microsoft.com/office/drawing/2014/chart" uri="{C3380CC4-5D6E-409C-BE32-E72D297353CC}">
              <c16:uniqueId val="{00000001-0855-407B-9012-F716E4C2DD26}"/>
            </c:ext>
          </c:extLst>
        </c:ser>
        <c:dLbls>
          <c:showLegendKey val="0"/>
          <c:showVal val="0"/>
          <c:showCatName val="0"/>
          <c:showSerName val="0"/>
          <c:showPercent val="0"/>
          <c:showBubbleSize val="0"/>
        </c:dLbls>
        <c:marker val="1"/>
        <c:smooth val="0"/>
        <c:axId val="2080251503"/>
        <c:axId val="1"/>
      </c:lineChart>
      <c:catAx>
        <c:axId val="2080251503"/>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2080251503"/>
        <c:crosses val="autoZero"/>
        <c:crossBetween val="between"/>
      </c:valAx>
      <c:spPr>
        <a:noFill/>
        <a:ln w="12700">
          <a:solidFill>
            <a:schemeClr val="bg1">
              <a:lumMod val="50000"/>
            </a:schemeClr>
          </a:solidFill>
          <a:prstDash val="solid"/>
        </a:ln>
      </c:spPr>
    </c:plotArea>
    <c:legend>
      <c:legendPos val="r"/>
      <c:layout>
        <c:manualLayout>
          <c:xMode val="edge"/>
          <c:yMode val="edge"/>
          <c:x val="0"/>
          <c:y val="0.91980360065466449"/>
          <c:w val="0.99555061179087878"/>
          <c:h val="5.891980360065466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65E-2"/>
          <c:y val="3.0836814819635152E-2"/>
          <c:w val="0.91526018934083408"/>
          <c:h val="0.78347268269097947"/>
        </c:manualLayout>
      </c:layout>
      <c:barChart>
        <c:barDir val="col"/>
        <c:grouping val="clustered"/>
        <c:varyColors val="0"/>
        <c:ser>
          <c:idx val="0"/>
          <c:order val="0"/>
          <c:tx>
            <c:strRef>
              <c:f>datos!$H$4</c:f>
              <c:strCache>
                <c:ptCount val="1"/>
                <c:pt idx="0">
                  <c:v>Serie Desestacionalizada</c:v>
                </c:pt>
              </c:strCache>
            </c:strRef>
          </c:tx>
          <c:spPr>
            <a:solidFill>
              <a:schemeClr val="accent1">
                <a:lumMod val="60000"/>
                <a:lumOff val="40000"/>
              </a:schemeClr>
            </a:solidFill>
            <a:ln w="12700">
              <a:noFill/>
              <a:prstDash val="solid"/>
            </a:ln>
            <a:effectLst>
              <a:outerShdw blurRad="50800" dist="12700" dir="5400000" algn="ctr" rotWithShape="0">
                <a:schemeClr val="bg1">
                  <a:alpha val="43000"/>
                </a:schemeClr>
              </a:outerShdw>
            </a:effectLst>
            <a:scene3d>
              <a:camera prst="orthographicFront"/>
              <a:lightRig rig="threePt" dir="t"/>
            </a:scene3d>
            <a:sp3d/>
          </c:spPr>
          <c:invertIfNegative val="0"/>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datos!$H$17:$H$70</c:f>
              <c:numCache>
                <c:formatCode>0.0</c:formatCode>
                <c:ptCount val="54"/>
                <c:pt idx="0">
                  <c:v>91.2368878315757</c:v>
                </c:pt>
                <c:pt idx="1">
                  <c:v>85.102117063129995</c:v>
                </c:pt>
                <c:pt idx="2">
                  <c:v>89.798399812006195</c:v>
                </c:pt>
                <c:pt idx="3">
                  <c:v>90.090188644461406</c:v>
                </c:pt>
                <c:pt idx="4">
                  <c:v>91.832704307939906</c:v>
                </c:pt>
                <c:pt idx="5">
                  <c:v>91.200215009215199</c:v>
                </c:pt>
                <c:pt idx="6">
                  <c:v>91.853488971546597</c:v>
                </c:pt>
                <c:pt idx="7">
                  <c:v>91.703070730097707</c:v>
                </c:pt>
                <c:pt idx="8">
                  <c:v>91.815096376842305</c:v>
                </c:pt>
                <c:pt idx="9">
                  <c:v>93.948542657198502</c:v>
                </c:pt>
                <c:pt idx="10">
                  <c:v>94.834374214924097</c:v>
                </c:pt>
                <c:pt idx="11">
                  <c:v>97.003356520937899</c:v>
                </c:pt>
                <c:pt idx="12">
                  <c:v>95.534010320794295</c:v>
                </c:pt>
                <c:pt idx="13">
                  <c:v>98.097548697722004</c:v>
                </c:pt>
                <c:pt idx="14">
                  <c:v>98.387678258113297</c:v>
                </c:pt>
                <c:pt idx="15">
                  <c:v>97.5509411057281</c:v>
                </c:pt>
                <c:pt idx="16">
                  <c:v>98.328050307007501</c:v>
                </c:pt>
                <c:pt idx="17">
                  <c:v>98.800519003920996</c:v>
                </c:pt>
                <c:pt idx="18">
                  <c:v>100.96493183692399</c:v>
                </c:pt>
                <c:pt idx="19">
                  <c:v>101.84169491592201</c:v>
                </c:pt>
                <c:pt idx="20">
                  <c:v>101.485119545828</c:v>
                </c:pt>
                <c:pt idx="21">
                  <c:v>101.836485289744</c:v>
                </c:pt>
                <c:pt idx="22">
                  <c:v>102.27096624584399</c:v>
                </c:pt>
                <c:pt idx="23">
                  <c:v>103.971478844597</c:v>
                </c:pt>
                <c:pt idx="24">
                  <c:v>103.28290665057899</c:v>
                </c:pt>
                <c:pt idx="25">
                  <c:v>105.48935254317099</c:v>
                </c:pt>
                <c:pt idx="26">
                  <c:v>107.70384449186101</c:v>
                </c:pt>
                <c:pt idx="27">
                  <c:v>108.47868151892401</c:v>
                </c:pt>
                <c:pt idx="28">
                  <c:v>107.96945365527201</c:v>
                </c:pt>
                <c:pt idx="29">
                  <c:v>108.437541572098</c:v>
                </c:pt>
                <c:pt idx="30">
                  <c:v>110.132106938943</c:v>
                </c:pt>
                <c:pt idx="31">
                  <c:v>111.986187208822</c:v>
                </c:pt>
                <c:pt idx="32">
                  <c:v>113.664198517782</c:v>
                </c:pt>
                <c:pt idx="33">
                  <c:v>112.01007978523501</c:v>
                </c:pt>
                <c:pt idx="34">
                  <c:v>111.031152245036</c:v>
                </c:pt>
                <c:pt idx="35">
                  <c:v>113.62600353184099</c:v>
                </c:pt>
                <c:pt idx="36">
                  <c:v>116.29753821268</c:v>
                </c:pt>
                <c:pt idx="37">
                  <c:v>116.923777532795</c:v>
                </c:pt>
                <c:pt idx="38">
                  <c:v>116.108076705427</c:v>
                </c:pt>
                <c:pt idx="39">
                  <c:v>116.762650604577</c:v>
                </c:pt>
                <c:pt idx="40">
                  <c:v>117.530171892564</c:v>
                </c:pt>
                <c:pt idx="41">
                  <c:v>115.755636997566</c:v>
                </c:pt>
                <c:pt idx="42">
                  <c:v>118.04285872833999</c:v>
                </c:pt>
                <c:pt idx="43">
                  <c:v>116.345853925233</c:v>
                </c:pt>
                <c:pt idx="44">
                  <c:v>118.55440713498</c:v>
                </c:pt>
                <c:pt idx="45">
                  <c:v>61.8161990456898</c:v>
                </c:pt>
                <c:pt idx="46">
                  <c:v>79.411005361479496</c:v>
                </c:pt>
                <c:pt idx="47">
                  <c:v>88.6593174199853</c:v>
                </c:pt>
                <c:pt idx="48">
                  <c:v>91.218912601091006</c:v>
                </c:pt>
                <c:pt idx="49">
                  <c:v>99.338200483186995</c:v>
                </c:pt>
                <c:pt idx="50">
                  <c:v>101.871480115004</c:v>
                </c:pt>
                <c:pt idx="51">
                  <c:v>108.372818908087</c:v>
                </c:pt>
                <c:pt idx="52">
                  <c:v>113.402668019167</c:v>
                </c:pt>
                <c:pt idx="53">
                  <c:v>119.790308095572</c:v>
                </c:pt>
              </c:numCache>
            </c:numRef>
          </c:val>
          <c:extLst>
            <c:ext xmlns:c16="http://schemas.microsoft.com/office/drawing/2014/chart" uri="{C3380CC4-5D6E-409C-BE32-E72D297353CC}">
              <c16:uniqueId val="{00000000-81CE-48CA-B176-0D5A40E78DCC}"/>
            </c:ext>
          </c:extLst>
        </c:ser>
        <c:dLbls>
          <c:showLegendKey val="0"/>
          <c:showVal val="0"/>
          <c:showCatName val="0"/>
          <c:showSerName val="0"/>
          <c:showPercent val="0"/>
          <c:showBubbleSize val="0"/>
        </c:dLbls>
        <c:gapWidth val="60"/>
        <c:axId val="2080249839"/>
        <c:axId val="1"/>
      </c:barChart>
      <c:lineChart>
        <c:grouping val="standard"/>
        <c:varyColors val="0"/>
        <c:ser>
          <c:idx val="1"/>
          <c:order val="1"/>
          <c:tx>
            <c:v>Serie de Tendencia-Ciclo</c:v>
          </c:tx>
          <c:spPr>
            <a:ln w="15875">
              <a:solidFill>
                <a:schemeClr val="tx2">
                  <a:lumMod val="75000"/>
                </a:schemeClr>
              </a:solidFill>
              <a:prstDash val="solid"/>
            </a:ln>
          </c:spPr>
          <c:marker>
            <c:symbol val="none"/>
          </c:marker>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datos!$I$17:$I$70</c:f>
              <c:numCache>
                <c:formatCode>0.0</c:formatCode>
                <c:ptCount val="54"/>
                <c:pt idx="0">
                  <c:v>92.1749102349699</c:v>
                </c:pt>
                <c:pt idx="1">
                  <c:v>91.866402041894801</c:v>
                </c:pt>
                <c:pt idx="2">
                  <c:v>91.732828771029503</c:v>
                </c:pt>
                <c:pt idx="3">
                  <c:v>91.533696598003303</c:v>
                </c:pt>
                <c:pt idx="4">
                  <c:v>91.530423630962602</c:v>
                </c:pt>
                <c:pt idx="5">
                  <c:v>91.708595506720897</c:v>
                </c:pt>
                <c:pt idx="6">
                  <c:v>91.6508994204179</c:v>
                </c:pt>
                <c:pt idx="7">
                  <c:v>91.662294168276404</c:v>
                </c:pt>
                <c:pt idx="8">
                  <c:v>92.187738136671499</c:v>
                </c:pt>
                <c:pt idx="9">
                  <c:v>93.523888453416802</c:v>
                </c:pt>
                <c:pt idx="10">
                  <c:v>95.273998557746594</c:v>
                </c:pt>
                <c:pt idx="11">
                  <c:v>96.510842326828595</c:v>
                </c:pt>
                <c:pt idx="12">
                  <c:v>97.383195219206598</c:v>
                </c:pt>
                <c:pt idx="13">
                  <c:v>97.982306905534799</c:v>
                </c:pt>
                <c:pt idx="14">
                  <c:v>98.1626355704784</c:v>
                </c:pt>
                <c:pt idx="15">
                  <c:v>97.893052248563606</c:v>
                </c:pt>
                <c:pt idx="16">
                  <c:v>98.0405807243326</c:v>
                </c:pt>
                <c:pt idx="17">
                  <c:v>99.165902987669796</c:v>
                </c:pt>
                <c:pt idx="18">
                  <c:v>100.742162659728</c:v>
                </c:pt>
                <c:pt idx="19">
                  <c:v>101.70314133250299</c:v>
                </c:pt>
                <c:pt idx="20">
                  <c:v>101.673539887353</c:v>
                </c:pt>
                <c:pt idx="21">
                  <c:v>101.75081067858</c:v>
                </c:pt>
                <c:pt idx="22">
                  <c:v>102.406857336831</c:v>
                </c:pt>
                <c:pt idx="23">
                  <c:v>103.080946163815</c:v>
                </c:pt>
                <c:pt idx="24">
                  <c:v>103.93160331741301</c:v>
                </c:pt>
                <c:pt idx="25">
                  <c:v>105.55514248732101</c:v>
                </c:pt>
                <c:pt idx="26">
                  <c:v>107.555018083091</c:v>
                </c:pt>
                <c:pt idx="27">
                  <c:v>108.32406052786</c:v>
                </c:pt>
                <c:pt idx="28">
                  <c:v>108.117204001549</c:v>
                </c:pt>
                <c:pt idx="29">
                  <c:v>108.534180063522</c:v>
                </c:pt>
                <c:pt idx="30">
                  <c:v>110.07840430837101</c:v>
                </c:pt>
                <c:pt idx="31">
                  <c:v>112.193285186267</c:v>
                </c:pt>
                <c:pt idx="32">
                  <c:v>113.138215900288</c:v>
                </c:pt>
                <c:pt idx="33">
                  <c:v>112.091490294267</c:v>
                </c:pt>
                <c:pt idx="34">
                  <c:v>111.50076533741399</c:v>
                </c:pt>
                <c:pt idx="35">
                  <c:v>113.52503342609801</c:v>
                </c:pt>
                <c:pt idx="36">
                  <c:v>116.097426277967</c:v>
                </c:pt>
                <c:pt idx="37">
                  <c:v>116.754245879382</c:v>
                </c:pt>
                <c:pt idx="38">
                  <c:v>116.42157456013101</c:v>
                </c:pt>
                <c:pt idx="39">
                  <c:v>116.857934523867</c:v>
                </c:pt>
                <c:pt idx="40">
                  <c:v>116.90524582658099</c:v>
                </c:pt>
                <c:pt idx="41">
                  <c:v>116.611652937611</c:v>
                </c:pt>
                <c:pt idx="42">
                  <c:v>116.45433395014101</c:v>
                </c:pt>
                <c:pt idx="43">
                  <c:v>116.893168102967</c:v>
                </c:pt>
                <c:pt idx="44">
                  <c:v>118.596015100389</c:v>
                </c:pt>
                <c:pt idx="45">
                  <c:v>84.418816560756795</c:v>
                </c:pt>
                <c:pt idx="46">
                  <c:v>86.432638545362593</c:v>
                </c:pt>
                <c:pt idx="47">
                  <c:v>88.659423937058605</c:v>
                </c:pt>
                <c:pt idx="48">
                  <c:v>92.229880801325905</c:v>
                </c:pt>
                <c:pt idx="49">
                  <c:v>96.814265513804699</c:v>
                </c:pt>
                <c:pt idx="50">
                  <c:v>102.258559864124</c:v>
                </c:pt>
                <c:pt idx="51">
                  <c:v>107.92907005562201</c:v>
                </c:pt>
                <c:pt idx="52">
                  <c:v>113.85900765544601</c:v>
                </c:pt>
                <c:pt idx="53">
                  <c:v>119.385472524701</c:v>
                </c:pt>
              </c:numCache>
            </c:numRef>
          </c:val>
          <c:smooth val="0"/>
          <c:extLst>
            <c:ext xmlns:c16="http://schemas.microsoft.com/office/drawing/2014/chart" uri="{C3380CC4-5D6E-409C-BE32-E72D297353CC}">
              <c16:uniqueId val="{00000001-81CE-48CA-B176-0D5A40E78DCC}"/>
            </c:ext>
          </c:extLst>
        </c:ser>
        <c:dLbls>
          <c:showLegendKey val="0"/>
          <c:showVal val="0"/>
          <c:showCatName val="0"/>
          <c:showSerName val="0"/>
          <c:showPercent val="0"/>
          <c:showBubbleSize val="0"/>
        </c:dLbls>
        <c:marker val="1"/>
        <c:smooth val="0"/>
        <c:axId val="2080249839"/>
        <c:axId val="1"/>
      </c:lineChart>
      <c:catAx>
        <c:axId val="2080249839"/>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2080249839"/>
        <c:crosses val="autoZero"/>
        <c:crossBetween val="between"/>
      </c:valAx>
      <c:spPr>
        <a:noFill/>
        <a:ln w="12700">
          <a:solidFill>
            <a:schemeClr val="bg1">
              <a:lumMod val="50000"/>
            </a:schemeClr>
          </a:solidFill>
        </a:ln>
      </c:spPr>
    </c:plotArea>
    <c:legend>
      <c:legendPos val="r"/>
      <c:layout>
        <c:manualLayout>
          <c:xMode val="edge"/>
          <c:yMode val="edge"/>
          <c:x val="4.4285696097483623E-3"/>
          <c:y val="0.91864403416306828"/>
          <c:w val="0.99408993875765528"/>
          <c:h val="5.9964269718784234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253098436496176E-2"/>
          <c:y val="2.5852478720533766E-2"/>
          <c:w val="0.91526018934083408"/>
          <c:h val="0.78127257863258892"/>
        </c:manualLayout>
      </c:layout>
      <c:barChart>
        <c:barDir val="col"/>
        <c:grouping val="clustered"/>
        <c:varyColors val="0"/>
        <c:ser>
          <c:idx val="0"/>
          <c:order val="0"/>
          <c:tx>
            <c:strRef>
              <c:f>datos!$F$4</c:f>
              <c:strCache>
                <c:ptCount val="1"/>
                <c:pt idx="0">
                  <c:v>Serie Desestacionalizada</c:v>
                </c:pt>
              </c:strCache>
            </c:strRef>
          </c:tx>
          <c:spPr>
            <a:solidFill>
              <a:schemeClr val="accent1">
                <a:lumMod val="60000"/>
                <a:lumOff val="40000"/>
              </a:schemeClr>
            </a:solidFill>
            <a:ln w="12700">
              <a:noFill/>
              <a:prstDash val="solid"/>
            </a:ln>
            <a:effectLst>
              <a:outerShdw blurRad="50800" dist="12700" dir="5400000" algn="ctr" rotWithShape="0">
                <a:schemeClr val="bg1">
                  <a:alpha val="43000"/>
                </a:schemeClr>
              </a:outerShdw>
            </a:effectLst>
            <a:scene3d>
              <a:camera prst="orthographicFront"/>
              <a:lightRig rig="threePt" dir="t"/>
            </a:scene3d>
            <a:sp3d/>
          </c:spPr>
          <c:invertIfNegative val="0"/>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datos!$F$17:$F$70</c:f>
              <c:numCache>
                <c:formatCode>0.0</c:formatCode>
                <c:ptCount val="54"/>
                <c:pt idx="0">
                  <c:v>99.607689259132997</c:v>
                </c:pt>
                <c:pt idx="1">
                  <c:v>88.537054654904097</c:v>
                </c:pt>
                <c:pt idx="2">
                  <c:v>94.373629213362904</c:v>
                </c:pt>
                <c:pt idx="3">
                  <c:v>95.256489286612805</c:v>
                </c:pt>
                <c:pt idx="4">
                  <c:v>96.071220596068201</c:v>
                </c:pt>
                <c:pt idx="5">
                  <c:v>94.814807888133402</c:v>
                </c:pt>
                <c:pt idx="6">
                  <c:v>95.116160528435401</c:v>
                </c:pt>
                <c:pt idx="7">
                  <c:v>90.479195113317601</c:v>
                </c:pt>
                <c:pt idx="8">
                  <c:v>94.172986086116495</c:v>
                </c:pt>
                <c:pt idx="9">
                  <c:v>95.362670322945206</c:v>
                </c:pt>
                <c:pt idx="10">
                  <c:v>97.1770108997421</c:v>
                </c:pt>
                <c:pt idx="11">
                  <c:v>99.559188025497804</c:v>
                </c:pt>
                <c:pt idx="12">
                  <c:v>99.413620456732403</c:v>
                </c:pt>
                <c:pt idx="13">
                  <c:v>100.730562641082</c:v>
                </c:pt>
                <c:pt idx="14">
                  <c:v>100.0485033707</c:v>
                </c:pt>
                <c:pt idx="15">
                  <c:v>99.468618282711702</c:v>
                </c:pt>
                <c:pt idx="16">
                  <c:v>97.871329319614702</c:v>
                </c:pt>
                <c:pt idx="17">
                  <c:v>100.127148910987</c:v>
                </c:pt>
                <c:pt idx="18">
                  <c:v>100.910926319045</c:v>
                </c:pt>
                <c:pt idx="19">
                  <c:v>100.99182346211001</c:v>
                </c:pt>
                <c:pt idx="20">
                  <c:v>98.172329828140903</c:v>
                </c:pt>
                <c:pt idx="21">
                  <c:v>97.9633402910288</c:v>
                </c:pt>
                <c:pt idx="22">
                  <c:v>98.495217968901201</c:v>
                </c:pt>
                <c:pt idx="23">
                  <c:v>96.946900682232894</c:v>
                </c:pt>
                <c:pt idx="24">
                  <c:v>96.381450004370294</c:v>
                </c:pt>
                <c:pt idx="25">
                  <c:v>97.679771393522898</c:v>
                </c:pt>
                <c:pt idx="26">
                  <c:v>101.198572080639</c:v>
                </c:pt>
                <c:pt idx="27">
                  <c:v>101.648053971384</c:v>
                </c:pt>
                <c:pt idx="28">
                  <c:v>97.587314372044702</c:v>
                </c:pt>
                <c:pt idx="29">
                  <c:v>96.465269315999805</c:v>
                </c:pt>
                <c:pt idx="30">
                  <c:v>97.634466641230205</c:v>
                </c:pt>
                <c:pt idx="31">
                  <c:v>99.7693847701631</c:v>
                </c:pt>
                <c:pt idx="32">
                  <c:v>109.083596118256</c:v>
                </c:pt>
                <c:pt idx="33">
                  <c:v>104.91335207992</c:v>
                </c:pt>
                <c:pt idx="34">
                  <c:v>98.621246869283496</c:v>
                </c:pt>
                <c:pt idx="35">
                  <c:v>95.692478220583098</c:v>
                </c:pt>
                <c:pt idx="36">
                  <c:v>94.583001069420703</c:v>
                </c:pt>
                <c:pt idx="37">
                  <c:v>97.812578154695402</c:v>
                </c:pt>
                <c:pt idx="38">
                  <c:v>99.590919466985795</c:v>
                </c:pt>
                <c:pt idx="39">
                  <c:v>96.343249394504198</c:v>
                </c:pt>
                <c:pt idx="40">
                  <c:v>94.678145189234499</c:v>
                </c:pt>
                <c:pt idx="41">
                  <c:v>94.430097376336207</c:v>
                </c:pt>
                <c:pt idx="42">
                  <c:v>101.13317045039101</c:v>
                </c:pt>
                <c:pt idx="43">
                  <c:v>91.967183790086494</c:v>
                </c:pt>
                <c:pt idx="44">
                  <c:v>97.681835060371</c:v>
                </c:pt>
                <c:pt idx="45">
                  <c:v>45.261761921437703</c:v>
                </c:pt>
                <c:pt idx="46">
                  <c:v>66.906669103386406</c:v>
                </c:pt>
                <c:pt idx="47">
                  <c:v>72.4078152110134</c:v>
                </c:pt>
                <c:pt idx="48">
                  <c:v>69.271381070837194</c:v>
                </c:pt>
                <c:pt idx="49">
                  <c:v>69.892424252123604</c:v>
                </c:pt>
                <c:pt idx="50">
                  <c:v>70.802970425650699</c:v>
                </c:pt>
                <c:pt idx="51">
                  <c:v>74.961432976742103</c:v>
                </c:pt>
                <c:pt idx="52">
                  <c:v>77.487476956535104</c:v>
                </c:pt>
                <c:pt idx="53">
                  <c:v>78.020115003348096</c:v>
                </c:pt>
              </c:numCache>
            </c:numRef>
          </c:val>
          <c:extLst>
            <c:ext xmlns:c16="http://schemas.microsoft.com/office/drawing/2014/chart" uri="{C3380CC4-5D6E-409C-BE32-E72D297353CC}">
              <c16:uniqueId val="{00000000-865F-474D-A709-BD857D2468DE}"/>
            </c:ext>
          </c:extLst>
        </c:ser>
        <c:dLbls>
          <c:showLegendKey val="0"/>
          <c:showVal val="0"/>
          <c:showCatName val="0"/>
          <c:showSerName val="0"/>
          <c:showPercent val="0"/>
          <c:showBubbleSize val="0"/>
        </c:dLbls>
        <c:gapWidth val="60"/>
        <c:axId val="2080252751"/>
        <c:axId val="1"/>
      </c:barChart>
      <c:lineChart>
        <c:grouping val="standard"/>
        <c:varyColors val="0"/>
        <c:ser>
          <c:idx val="1"/>
          <c:order val="1"/>
          <c:tx>
            <c:v>Serie de Tendencia-Ciclo</c:v>
          </c:tx>
          <c:spPr>
            <a:ln w="15875">
              <a:solidFill>
                <a:schemeClr val="tx2">
                  <a:lumMod val="75000"/>
                </a:schemeClr>
              </a:solidFill>
              <a:prstDash val="solid"/>
            </a:ln>
          </c:spPr>
          <c:marker>
            <c:symbol val="none"/>
          </c:marker>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datos!$G$17:$G$70</c:f>
              <c:numCache>
                <c:formatCode>0.0</c:formatCode>
                <c:ptCount val="54"/>
                <c:pt idx="0">
                  <c:v>100.401177119747</c:v>
                </c:pt>
                <c:pt idx="1">
                  <c:v>98.841258156814007</c:v>
                </c:pt>
                <c:pt idx="2">
                  <c:v>97.911743894203397</c:v>
                </c:pt>
                <c:pt idx="3">
                  <c:v>96.903868403525493</c:v>
                </c:pt>
                <c:pt idx="4">
                  <c:v>96.046591123270204</c:v>
                </c:pt>
                <c:pt idx="5">
                  <c:v>95.513402918116199</c:v>
                </c:pt>
                <c:pt idx="6">
                  <c:v>94.287015721676298</c:v>
                </c:pt>
                <c:pt idx="7">
                  <c:v>93.4213592736658</c:v>
                </c:pt>
                <c:pt idx="8">
                  <c:v>93.776903872107397</c:v>
                </c:pt>
                <c:pt idx="9">
                  <c:v>95.443717187158995</c:v>
                </c:pt>
                <c:pt idx="10">
                  <c:v>97.400774250825904</c:v>
                </c:pt>
                <c:pt idx="11">
                  <c:v>99.039123416658995</c:v>
                </c:pt>
                <c:pt idx="12">
                  <c:v>99.9608557529709</c:v>
                </c:pt>
                <c:pt idx="13">
                  <c:v>100.322139971304</c:v>
                </c:pt>
                <c:pt idx="14">
                  <c:v>100.201008566895</c:v>
                </c:pt>
                <c:pt idx="15">
                  <c:v>99.364760867540497</c:v>
                </c:pt>
                <c:pt idx="16">
                  <c:v>99.259908383227398</c:v>
                </c:pt>
                <c:pt idx="17">
                  <c:v>100.015636115126</c:v>
                </c:pt>
                <c:pt idx="18">
                  <c:v>101.044766202585</c:v>
                </c:pt>
                <c:pt idx="19">
                  <c:v>100.42582171140501</c:v>
                </c:pt>
                <c:pt idx="20">
                  <c:v>98.714256999571305</c:v>
                </c:pt>
                <c:pt idx="21">
                  <c:v>98.033200195350105</c:v>
                </c:pt>
                <c:pt idx="22">
                  <c:v>98.063166925805007</c:v>
                </c:pt>
                <c:pt idx="23">
                  <c:v>97.107128929028306</c:v>
                </c:pt>
                <c:pt idx="24">
                  <c:v>96.419940084188696</c:v>
                </c:pt>
                <c:pt idx="25">
                  <c:v>98.094374931461203</c:v>
                </c:pt>
                <c:pt idx="26">
                  <c:v>100.915960879918</c:v>
                </c:pt>
                <c:pt idx="27">
                  <c:v>100.995305043879</c:v>
                </c:pt>
                <c:pt idx="28">
                  <c:v>98.181802945835301</c:v>
                </c:pt>
                <c:pt idx="29">
                  <c:v>96.284416600992301</c:v>
                </c:pt>
                <c:pt idx="30">
                  <c:v>98.003460917533403</c:v>
                </c:pt>
                <c:pt idx="31">
                  <c:v>103.50015933648601</c:v>
                </c:pt>
                <c:pt idx="32">
                  <c:v>107.65457562057099</c:v>
                </c:pt>
                <c:pt idx="33">
                  <c:v>105.11426813537</c:v>
                </c:pt>
                <c:pt idx="34">
                  <c:v>99.137380081770502</c:v>
                </c:pt>
                <c:pt idx="35">
                  <c:v>95.394086738522802</c:v>
                </c:pt>
                <c:pt idx="36">
                  <c:v>95.193179767723905</c:v>
                </c:pt>
                <c:pt idx="37">
                  <c:v>97.649900524099905</c:v>
                </c:pt>
                <c:pt idx="38">
                  <c:v>98.843190760205303</c:v>
                </c:pt>
                <c:pt idx="39">
                  <c:v>96.840647370949299</c:v>
                </c:pt>
                <c:pt idx="40">
                  <c:v>94.585373764160195</c:v>
                </c:pt>
                <c:pt idx="41">
                  <c:v>94.922436082592995</c:v>
                </c:pt>
                <c:pt idx="42">
                  <c:v>95.864780139189605</c:v>
                </c:pt>
                <c:pt idx="43">
                  <c:v>96.649894396201304</c:v>
                </c:pt>
                <c:pt idx="44">
                  <c:v>97.099214142065307</c:v>
                </c:pt>
                <c:pt idx="45">
                  <c:v>66.615883953104202</c:v>
                </c:pt>
                <c:pt idx="46">
                  <c:v>67.564793837950205</c:v>
                </c:pt>
                <c:pt idx="47">
                  <c:v>69.144265330450594</c:v>
                </c:pt>
                <c:pt idx="48">
                  <c:v>69.734895065879101</c:v>
                </c:pt>
                <c:pt idx="49">
                  <c:v>69.595870143089002</c:v>
                </c:pt>
                <c:pt idx="50">
                  <c:v>71.378542855783294</c:v>
                </c:pt>
                <c:pt idx="51">
                  <c:v>74.629592769291705</c:v>
                </c:pt>
                <c:pt idx="52">
                  <c:v>77.276431599856906</c:v>
                </c:pt>
                <c:pt idx="53">
                  <c:v>78.382309417386395</c:v>
                </c:pt>
              </c:numCache>
            </c:numRef>
          </c:val>
          <c:smooth val="0"/>
          <c:extLst>
            <c:ext xmlns:c16="http://schemas.microsoft.com/office/drawing/2014/chart" uri="{C3380CC4-5D6E-409C-BE32-E72D297353CC}">
              <c16:uniqueId val="{00000001-865F-474D-A709-BD857D2468DE}"/>
            </c:ext>
          </c:extLst>
        </c:ser>
        <c:dLbls>
          <c:showLegendKey val="0"/>
          <c:showVal val="0"/>
          <c:showCatName val="0"/>
          <c:showSerName val="0"/>
          <c:showPercent val="0"/>
          <c:showBubbleSize val="0"/>
        </c:dLbls>
        <c:marker val="1"/>
        <c:smooth val="0"/>
        <c:axId val="2080252751"/>
        <c:axId val="1"/>
      </c:lineChart>
      <c:catAx>
        <c:axId val="2080252751"/>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2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2080252751"/>
        <c:crosses val="autoZero"/>
        <c:crossBetween val="between"/>
      </c:valAx>
      <c:spPr>
        <a:noFill/>
        <a:ln w="12700">
          <a:solidFill>
            <a:schemeClr val="bg1">
              <a:lumMod val="50000"/>
            </a:schemeClr>
          </a:solidFill>
          <a:prstDash val="solid"/>
        </a:ln>
      </c:spPr>
    </c:plotArea>
    <c:legend>
      <c:legendPos val="r"/>
      <c:layout>
        <c:manualLayout>
          <c:xMode val="edge"/>
          <c:yMode val="edge"/>
          <c:x val="1.1123470522803115E-2"/>
          <c:y val="0.91816693944353522"/>
          <c:w val="0.98887652947719684"/>
          <c:h val="5.891980360065466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3.0836814819635155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1">
                <a:lumMod val="60000"/>
                <a:lumOff val="40000"/>
              </a:schemeClr>
            </a:solidFill>
            <a:ln w="12700">
              <a:noFill/>
              <a:prstDash val="solid"/>
            </a:ln>
            <a:effectLst>
              <a:outerShdw blurRad="50800" dist="50800" dir="5400000" algn="ctr" rotWithShape="0">
                <a:schemeClr val="bg1"/>
              </a:outerShdw>
            </a:effectLst>
            <a:scene3d>
              <a:camera prst="orthographicFront"/>
              <a:lightRig rig="threePt" dir="t"/>
            </a:scene3d>
            <a:sp3d/>
          </c:spPr>
          <c:invertIfNegative val="0"/>
          <c:dPt>
            <c:idx val="35"/>
            <c:invertIfNegative val="0"/>
            <c:bubble3D val="0"/>
            <c:extLst>
              <c:ext xmlns:c16="http://schemas.microsoft.com/office/drawing/2014/chart" uri="{C3380CC4-5D6E-409C-BE32-E72D297353CC}">
                <c16:uniqueId val="{00000000-A837-4B60-AA18-A5677D770E1B}"/>
              </c:ext>
            </c:extLst>
          </c:dPt>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datos!$J$17:$J$70</c:f>
              <c:numCache>
                <c:formatCode>0.0</c:formatCode>
                <c:ptCount val="54"/>
                <c:pt idx="0">
                  <c:v>90.721653617557294</c:v>
                </c:pt>
                <c:pt idx="1">
                  <c:v>84.0112374913666</c:v>
                </c:pt>
                <c:pt idx="2">
                  <c:v>89.2987828905257</c:v>
                </c:pt>
                <c:pt idx="3">
                  <c:v>90.904634868889602</c:v>
                </c:pt>
                <c:pt idx="4">
                  <c:v>91.696127996087796</c:v>
                </c:pt>
                <c:pt idx="5">
                  <c:v>90.786805224519796</c:v>
                </c:pt>
                <c:pt idx="6">
                  <c:v>90.9126171477279</c:v>
                </c:pt>
                <c:pt idx="7">
                  <c:v>89.901015920534505</c:v>
                </c:pt>
                <c:pt idx="8">
                  <c:v>91.143685487384303</c:v>
                </c:pt>
                <c:pt idx="9">
                  <c:v>92.969536104466201</c:v>
                </c:pt>
                <c:pt idx="10">
                  <c:v>94.221534675275393</c:v>
                </c:pt>
                <c:pt idx="11">
                  <c:v>96.266368280030093</c:v>
                </c:pt>
                <c:pt idx="12">
                  <c:v>94.903142528731706</c:v>
                </c:pt>
                <c:pt idx="13">
                  <c:v>96.908001791312799</c:v>
                </c:pt>
                <c:pt idx="14">
                  <c:v>97.223027532738897</c:v>
                </c:pt>
                <c:pt idx="15">
                  <c:v>96.950852186105706</c:v>
                </c:pt>
                <c:pt idx="16">
                  <c:v>97.540882896653997</c:v>
                </c:pt>
                <c:pt idx="17">
                  <c:v>99.381182839352206</c:v>
                </c:pt>
                <c:pt idx="18">
                  <c:v>101.14463976493199</c:v>
                </c:pt>
                <c:pt idx="19">
                  <c:v>101.847314451461</c:v>
                </c:pt>
                <c:pt idx="20">
                  <c:v>99.869880974051199</c:v>
                </c:pt>
                <c:pt idx="21">
                  <c:v>100.631805896337</c:v>
                </c:pt>
                <c:pt idx="22">
                  <c:v>101.16003727017799</c:v>
                </c:pt>
                <c:pt idx="23">
                  <c:v>101.647969982299</c:v>
                </c:pt>
                <c:pt idx="24">
                  <c:v>101.599951323185</c:v>
                </c:pt>
                <c:pt idx="25">
                  <c:v>103.3394396562</c:v>
                </c:pt>
                <c:pt idx="26">
                  <c:v>106.022391279587</c:v>
                </c:pt>
                <c:pt idx="27">
                  <c:v>107.82556641599599</c:v>
                </c:pt>
                <c:pt idx="28">
                  <c:v>107.791350565146</c:v>
                </c:pt>
                <c:pt idx="29">
                  <c:v>107.311051161455</c:v>
                </c:pt>
                <c:pt idx="30">
                  <c:v>108.768457274919</c:v>
                </c:pt>
                <c:pt idx="31">
                  <c:v>111.191482362515</c:v>
                </c:pt>
                <c:pt idx="32">
                  <c:v>113.305673903864</c:v>
                </c:pt>
                <c:pt idx="33">
                  <c:v>111.63367695961</c:v>
                </c:pt>
                <c:pt idx="34">
                  <c:v>108.659800077257</c:v>
                </c:pt>
                <c:pt idx="35">
                  <c:v>109.607548592287</c:v>
                </c:pt>
                <c:pt idx="36">
                  <c:v>113.665729446727</c:v>
                </c:pt>
                <c:pt idx="37">
                  <c:v>114.716676209499</c:v>
                </c:pt>
                <c:pt idx="38">
                  <c:v>114.609636773639</c:v>
                </c:pt>
                <c:pt idx="39">
                  <c:v>114.28465964086401</c:v>
                </c:pt>
                <c:pt idx="40">
                  <c:v>115.17782608823499</c:v>
                </c:pt>
                <c:pt idx="41">
                  <c:v>114.31670695883901</c:v>
                </c:pt>
                <c:pt idx="42">
                  <c:v>117.279163487386</c:v>
                </c:pt>
                <c:pt idx="43">
                  <c:v>114.971965856476</c:v>
                </c:pt>
                <c:pt idx="44">
                  <c:v>115.683558054291</c:v>
                </c:pt>
                <c:pt idx="45">
                  <c:v>55.7525354122644</c:v>
                </c:pt>
                <c:pt idx="46">
                  <c:v>74.266947574198696</c:v>
                </c:pt>
                <c:pt idx="47">
                  <c:v>85.062338100387194</c:v>
                </c:pt>
                <c:pt idx="48">
                  <c:v>86.560354725326107</c:v>
                </c:pt>
                <c:pt idx="49">
                  <c:v>94.397147858291405</c:v>
                </c:pt>
                <c:pt idx="50">
                  <c:v>97.617455639325399</c:v>
                </c:pt>
                <c:pt idx="51">
                  <c:v>104.408657225499</c:v>
                </c:pt>
                <c:pt idx="52">
                  <c:v>108.746095870177</c:v>
                </c:pt>
                <c:pt idx="53">
                  <c:v>114.44589126584999</c:v>
                </c:pt>
              </c:numCache>
            </c:numRef>
          </c:val>
          <c:extLst>
            <c:ext xmlns:c16="http://schemas.microsoft.com/office/drawing/2014/chart" uri="{C3380CC4-5D6E-409C-BE32-E72D297353CC}">
              <c16:uniqueId val="{00000001-A837-4B60-AA18-A5677D770E1B}"/>
            </c:ext>
          </c:extLst>
        </c:ser>
        <c:dLbls>
          <c:showLegendKey val="0"/>
          <c:showVal val="0"/>
          <c:showCatName val="0"/>
          <c:showSerName val="0"/>
          <c:showPercent val="0"/>
          <c:showBubbleSize val="0"/>
        </c:dLbls>
        <c:gapWidth val="60"/>
        <c:axId val="2080261487"/>
        <c:axId val="1"/>
      </c:barChart>
      <c:lineChart>
        <c:grouping val="standard"/>
        <c:varyColors val="0"/>
        <c:ser>
          <c:idx val="1"/>
          <c:order val="1"/>
          <c:tx>
            <c:v>Serie de Tendencia-Ciclo</c:v>
          </c:tx>
          <c:spPr>
            <a:ln w="15875">
              <a:solidFill>
                <a:schemeClr val="tx2">
                  <a:lumMod val="75000"/>
                </a:schemeClr>
              </a:solidFill>
              <a:prstDash val="solid"/>
            </a:ln>
          </c:spPr>
          <c:marker>
            <c:symbol val="none"/>
          </c:marker>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datos!$K$17:$K$70</c:f>
              <c:numCache>
                <c:formatCode>0.0</c:formatCode>
                <c:ptCount val="54"/>
                <c:pt idx="0">
                  <c:v>91.961456039494493</c:v>
                </c:pt>
                <c:pt idx="1">
                  <c:v>91.533763260534499</c:v>
                </c:pt>
                <c:pt idx="2">
                  <c:v>91.721087270716396</c:v>
                </c:pt>
                <c:pt idx="3">
                  <c:v>91.995927853215306</c:v>
                </c:pt>
                <c:pt idx="4">
                  <c:v>91.706455009105298</c:v>
                </c:pt>
                <c:pt idx="5">
                  <c:v>91.241299742006802</c:v>
                </c:pt>
                <c:pt idx="6">
                  <c:v>90.535829531008702</c:v>
                </c:pt>
                <c:pt idx="7">
                  <c:v>90.283690521929003</c:v>
                </c:pt>
                <c:pt idx="8">
                  <c:v>91.109686743032597</c:v>
                </c:pt>
                <c:pt idx="9">
                  <c:v>92.785558653220505</c:v>
                </c:pt>
                <c:pt idx="10">
                  <c:v>94.5386644569883</c:v>
                </c:pt>
                <c:pt idx="11">
                  <c:v>95.829101477451303</c:v>
                </c:pt>
                <c:pt idx="12">
                  <c:v>96.474186230353595</c:v>
                </c:pt>
                <c:pt idx="13">
                  <c:v>96.824250455813896</c:v>
                </c:pt>
                <c:pt idx="14">
                  <c:v>97.105427211201004</c:v>
                </c:pt>
                <c:pt idx="15">
                  <c:v>97.028785292326802</c:v>
                </c:pt>
                <c:pt idx="16">
                  <c:v>97.6668231250693</c:v>
                </c:pt>
                <c:pt idx="17">
                  <c:v>99.355985091199202</c:v>
                </c:pt>
                <c:pt idx="18">
                  <c:v>101.12407291618899</c:v>
                </c:pt>
                <c:pt idx="19">
                  <c:v>101.599364921423</c:v>
                </c:pt>
                <c:pt idx="20">
                  <c:v>100.99827648191101</c:v>
                </c:pt>
                <c:pt idx="21">
                  <c:v>100.66818940956099</c:v>
                </c:pt>
                <c:pt idx="22">
                  <c:v>101.143410462787</c:v>
                </c:pt>
                <c:pt idx="23">
                  <c:v>101.440972316561</c:v>
                </c:pt>
                <c:pt idx="24">
                  <c:v>101.83253014630399</c:v>
                </c:pt>
                <c:pt idx="25">
                  <c:v>103.411338668797</c:v>
                </c:pt>
                <c:pt idx="26">
                  <c:v>105.95883138164</c:v>
                </c:pt>
                <c:pt idx="27">
                  <c:v>107.65309312709201</c:v>
                </c:pt>
                <c:pt idx="28">
                  <c:v>107.71847603945901</c:v>
                </c:pt>
                <c:pt idx="29">
                  <c:v>107.55746160856501</c:v>
                </c:pt>
                <c:pt idx="30">
                  <c:v>108.790658972557</c:v>
                </c:pt>
                <c:pt idx="31">
                  <c:v>111.35323393873399</c:v>
                </c:pt>
                <c:pt idx="32">
                  <c:v>112.867929382101</c:v>
                </c:pt>
                <c:pt idx="33">
                  <c:v>111.43254712552699</c:v>
                </c:pt>
                <c:pt idx="34">
                  <c:v>109.10290730195101</c:v>
                </c:pt>
                <c:pt idx="35">
                  <c:v>109.99718474905301</c:v>
                </c:pt>
                <c:pt idx="36">
                  <c:v>113.080746227124</c:v>
                </c:pt>
                <c:pt idx="37">
                  <c:v>114.783435605365</c:v>
                </c:pt>
                <c:pt idx="38">
                  <c:v>114.573214786639</c:v>
                </c:pt>
                <c:pt idx="39">
                  <c:v>114.608361455946</c:v>
                </c:pt>
                <c:pt idx="40">
                  <c:v>114.65490623379</c:v>
                </c:pt>
                <c:pt idx="41">
                  <c:v>114.97436021996801</c:v>
                </c:pt>
                <c:pt idx="42">
                  <c:v>115.203658771316</c:v>
                </c:pt>
                <c:pt idx="43">
                  <c:v>115.135405703209</c:v>
                </c:pt>
                <c:pt idx="44">
                  <c:v>116.12128884718901</c:v>
                </c:pt>
                <c:pt idx="45">
                  <c:v>80.648432615492595</c:v>
                </c:pt>
                <c:pt idx="46">
                  <c:v>83.0071586347254</c:v>
                </c:pt>
                <c:pt idx="47">
                  <c:v>85.139621030098596</c:v>
                </c:pt>
                <c:pt idx="48">
                  <c:v>88.273487707614294</c:v>
                </c:pt>
                <c:pt idx="49">
                  <c:v>92.523678181962694</c:v>
                </c:pt>
                <c:pt idx="50">
                  <c:v>98.048270631028203</c:v>
                </c:pt>
                <c:pt idx="51">
                  <c:v>103.809660769735</c:v>
                </c:pt>
                <c:pt idx="52">
                  <c:v>109.202316829607</c:v>
                </c:pt>
                <c:pt idx="53">
                  <c:v>114.167924693757</c:v>
                </c:pt>
              </c:numCache>
            </c:numRef>
          </c:val>
          <c:smooth val="0"/>
          <c:extLst>
            <c:ext xmlns:c16="http://schemas.microsoft.com/office/drawing/2014/chart" uri="{C3380CC4-5D6E-409C-BE32-E72D297353CC}">
              <c16:uniqueId val="{00000002-A837-4B60-AA18-A5677D770E1B}"/>
            </c:ext>
          </c:extLst>
        </c:ser>
        <c:dLbls>
          <c:showLegendKey val="0"/>
          <c:showVal val="0"/>
          <c:showCatName val="0"/>
          <c:showSerName val="0"/>
          <c:showPercent val="0"/>
          <c:showBubbleSize val="0"/>
        </c:dLbls>
        <c:marker val="1"/>
        <c:smooth val="0"/>
        <c:axId val="2080261487"/>
        <c:axId val="1"/>
      </c:lineChart>
      <c:catAx>
        <c:axId val="2080261487"/>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2080261487"/>
        <c:crosses val="autoZero"/>
        <c:crossBetween val="between"/>
      </c:valAx>
      <c:spPr>
        <a:noFill/>
        <a:ln w="12700" cmpd="dbl">
          <a:solidFill>
            <a:schemeClr val="bg1">
              <a:lumMod val="50000"/>
            </a:schemeClr>
          </a:solidFill>
          <a:prstDash val="solid"/>
        </a:ln>
        <a:effectLst>
          <a:outerShdw blurRad="50800" dist="12700" dir="5400000" algn="ctr" rotWithShape="0">
            <a:schemeClr val="bg1">
              <a:alpha val="43000"/>
            </a:schemeClr>
          </a:outerShdw>
        </a:effectLst>
      </c:spPr>
    </c:plotArea>
    <c:legend>
      <c:legendPos val="r"/>
      <c:layout>
        <c:manualLayout>
          <c:xMode val="edge"/>
          <c:yMode val="edge"/>
          <c:x val="0"/>
          <c:y val="0.92144026186579375"/>
          <c:w val="0.99666295884315903"/>
          <c:h val="5.891980360065466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chemeClr val="tx1">
          <a:alpha val="96000"/>
        </a:schemeClr>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302558398220279E-2"/>
          <c:y val="3.0836814819635155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1">
                <a:lumMod val="60000"/>
                <a:lumOff val="40000"/>
              </a:schemeClr>
            </a:solidFill>
            <a:ln w="12700">
              <a:noFill/>
              <a:prstDash val="solid"/>
            </a:ln>
            <a:effectLst>
              <a:outerShdw blurRad="50800" dist="12700" dir="5400000" algn="ctr" rotWithShape="0">
                <a:schemeClr val="bg1">
                  <a:alpha val="43000"/>
                </a:schemeClr>
              </a:outerShdw>
            </a:effectLst>
            <a:scene3d>
              <a:camera prst="orthographicFront"/>
              <a:lightRig rig="threePt" dir="t"/>
            </a:scene3d>
            <a:sp3d/>
          </c:spPr>
          <c:invertIfNegative val="0"/>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datos!$L$17:$L$70</c:f>
              <c:numCache>
                <c:formatCode>0.0</c:formatCode>
                <c:ptCount val="54"/>
                <c:pt idx="0">
                  <c:v>88.952712311961307</c:v>
                </c:pt>
                <c:pt idx="1">
                  <c:v>84.424557904046495</c:v>
                </c:pt>
                <c:pt idx="2">
                  <c:v>89.276981341108694</c:v>
                </c:pt>
                <c:pt idx="3">
                  <c:v>90.788118190870605</c:v>
                </c:pt>
                <c:pt idx="4">
                  <c:v>90.996700028875594</c:v>
                </c:pt>
                <c:pt idx="5">
                  <c:v>91.193430715836797</c:v>
                </c:pt>
                <c:pt idx="6">
                  <c:v>91.0856733441627</c:v>
                </c:pt>
                <c:pt idx="7">
                  <c:v>90.430576312444401</c:v>
                </c:pt>
                <c:pt idx="8">
                  <c:v>93.033229968810502</c:v>
                </c:pt>
                <c:pt idx="9">
                  <c:v>94.284685979677505</c:v>
                </c:pt>
                <c:pt idx="10">
                  <c:v>95.137176718702506</c:v>
                </c:pt>
                <c:pt idx="11">
                  <c:v>96.190310359991898</c:v>
                </c:pt>
                <c:pt idx="12">
                  <c:v>95.724456810080994</c:v>
                </c:pt>
                <c:pt idx="13">
                  <c:v>96.568750123656997</c:v>
                </c:pt>
                <c:pt idx="14">
                  <c:v>97.232262959161801</c:v>
                </c:pt>
                <c:pt idx="15">
                  <c:v>97.608924392650707</c:v>
                </c:pt>
                <c:pt idx="16">
                  <c:v>98.362764727424803</c:v>
                </c:pt>
                <c:pt idx="17">
                  <c:v>99.590117117201501</c:v>
                </c:pt>
                <c:pt idx="18">
                  <c:v>100.665844088876</c:v>
                </c:pt>
                <c:pt idx="19">
                  <c:v>101.162221505543</c:v>
                </c:pt>
                <c:pt idx="20">
                  <c:v>99.206211784213593</c:v>
                </c:pt>
                <c:pt idx="21">
                  <c:v>99.257059815840094</c:v>
                </c:pt>
                <c:pt idx="22">
                  <c:v>99.657057184329105</c:v>
                </c:pt>
                <c:pt idx="23">
                  <c:v>99.486251444962505</c:v>
                </c:pt>
                <c:pt idx="24">
                  <c:v>98.919296553402802</c:v>
                </c:pt>
                <c:pt idx="25">
                  <c:v>99.423978716255306</c:v>
                </c:pt>
                <c:pt idx="26">
                  <c:v>101.547304290092</c:v>
                </c:pt>
                <c:pt idx="27">
                  <c:v>103.226883871224</c:v>
                </c:pt>
                <c:pt idx="28">
                  <c:v>101.872701043701</c:v>
                </c:pt>
                <c:pt idx="29">
                  <c:v>99.921861505969602</c:v>
                </c:pt>
                <c:pt idx="30">
                  <c:v>100.68765992758399</c:v>
                </c:pt>
                <c:pt idx="31">
                  <c:v>102.330319195122</c:v>
                </c:pt>
                <c:pt idx="32">
                  <c:v>104.560997067713</c:v>
                </c:pt>
                <c:pt idx="33">
                  <c:v>103.941939114178</c:v>
                </c:pt>
                <c:pt idx="34">
                  <c:v>100.806338076552</c:v>
                </c:pt>
                <c:pt idx="35">
                  <c:v>100.785276170236</c:v>
                </c:pt>
                <c:pt idx="36">
                  <c:v>105.79138428587299</c:v>
                </c:pt>
                <c:pt idx="37">
                  <c:v>106.19020702683601</c:v>
                </c:pt>
                <c:pt idx="38">
                  <c:v>106.534353275597</c:v>
                </c:pt>
                <c:pt idx="39">
                  <c:v>104.981750933206</c:v>
                </c:pt>
                <c:pt idx="40">
                  <c:v>105.061492984205</c:v>
                </c:pt>
                <c:pt idx="41">
                  <c:v>105.577389472066</c:v>
                </c:pt>
                <c:pt idx="42">
                  <c:v>108.48175279531</c:v>
                </c:pt>
                <c:pt idx="43">
                  <c:v>107.47267513990001</c:v>
                </c:pt>
                <c:pt idx="44">
                  <c:v>105.601353177533</c:v>
                </c:pt>
                <c:pt idx="45">
                  <c:v>59.720921651884602</c:v>
                </c:pt>
                <c:pt idx="46">
                  <c:v>74.187289970307205</c:v>
                </c:pt>
                <c:pt idx="47">
                  <c:v>83.797317679463504</c:v>
                </c:pt>
                <c:pt idx="48">
                  <c:v>85.728527741321699</c:v>
                </c:pt>
                <c:pt idx="49">
                  <c:v>85.735613138612507</c:v>
                </c:pt>
                <c:pt idx="50">
                  <c:v>85.041929510399299</c:v>
                </c:pt>
                <c:pt idx="51">
                  <c:v>91.930201685191506</c:v>
                </c:pt>
                <c:pt idx="52">
                  <c:v>95.844878919700506</c:v>
                </c:pt>
                <c:pt idx="53">
                  <c:v>101.376817740611</c:v>
                </c:pt>
              </c:numCache>
            </c:numRef>
          </c:val>
          <c:extLst>
            <c:ext xmlns:c16="http://schemas.microsoft.com/office/drawing/2014/chart" uri="{C3380CC4-5D6E-409C-BE32-E72D297353CC}">
              <c16:uniqueId val="{00000000-A949-412B-80F0-1BB2215797B0}"/>
            </c:ext>
          </c:extLst>
        </c:ser>
        <c:dLbls>
          <c:showLegendKey val="0"/>
          <c:showVal val="0"/>
          <c:showCatName val="0"/>
          <c:showSerName val="0"/>
          <c:showPercent val="0"/>
          <c:showBubbleSize val="0"/>
        </c:dLbls>
        <c:gapWidth val="60"/>
        <c:axId val="2080251087"/>
        <c:axId val="1"/>
      </c:barChart>
      <c:lineChart>
        <c:grouping val="standard"/>
        <c:varyColors val="0"/>
        <c:ser>
          <c:idx val="1"/>
          <c:order val="1"/>
          <c:tx>
            <c:v>Serie de Tendencia-Ciclo</c:v>
          </c:tx>
          <c:spPr>
            <a:ln w="15875">
              <a:solidFill>
                <a:schemeClr val="tx2">
                  <a:lumMod val="75000"/>
                </a:schemeClr>
              </a:solidFill>
              <a:prstDash val="solid"/>
            </a:ln>
          </c:spPr>
          <c:marker>
            <c:symbol val="none"/>
          </c:marker>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datos!$M$17:$M$70</c:f>
              <c:numCache>
                <c:formatCode>0.0</c:formatCode>
                <c:ptCount val="54"/>
                <c:pt idx="0">
                  <c:v>90.643685901348704</c:v>
                </c:pt>
                <c:pt idx="1">
                  <c:v>90.231276394921295</c:v>
                </c:pt>
                <c:pt idx="2">
                  <c:v>91.000739574134897</c:v>
                </c:pt>
                <c:pt idx="3">
                  <c:v>91.460732714511707</c:v>
                </c:pt>
                <c:pt idx="4">
                  <c:v>91.321795177763406</c:v>
                </c:pt>
                <c:pt idx="5">
                  <c:v>91.2288640202365</c:v>
                </c:pt>
                <c:pt idx="6">
                  <c:v>90.941263119761501</c:v>
                </c:pt>
                <c:pt idx="7">
                  <c:v>91.301324843798099</c:v>
                </c:pt>
                <c:pt idx="8">
                  <c:v>92.756203405159397</c:v>
                </c:pt>
                <c:pt idx="9">
                  <c:v>94.279510729255804</c:v>
                </c:pt>
                <c:pt idx="10">
                  <c:v>95.307825949452607</c:v>
                </c:pt>
                <c:pt idx="11">
                  <c:v>95.856432832344794</c:v>
                </c:pt>
                <c:pt idx="12">
                  <c:v>96.041706272953505</c:v>
                </c:pt>
                <c:pt idx="13">
                  <c:v>96.467079234210701</c:v>
                </c:pt>
                <c:pt idx="14">
                  <c:v>97.175722076673097</c:v>
                </c:pt>
                <c:pt idx="15">
                  <c:v>97.650610174460994</c:v>
                </c:pt>
                <c:pt idx="16">
                  <c:v>98.415740438219004</c:v>
                </c:pt>
                <c:pt idx="17">
                  <c:v>99.629112778663099</c:v>
                </c:pt>
                <c:pt idx="18">
                  <c:v>100.556142618934</c:v>
                </c:pt>
                <c:pt idx="19">
                  <c:v>100.29716486532099</c:v>
                </c:pt>
                <c:pt idx="20">
                  <c:v>99.455586578743194</c:v>
                </c:pt>
                <c:pt idx="21">
                  <c:v>99.2638301570545</c:v>
                </c:pt>
                <c:pt idx="22">
                  <c:v>99.574821390085006</c:v>
                </c:pt>
                <c:pt idx="23">
                  <c:v>99.391301175124696</c:v>
                </c:pt>
                <c:pt idx="24">
                  <c:v>98.986906262785496</c:v>
                </c:pt>
                <c:pt idx="25">
                  <c:v>99.615577705684302</c:v>
                </c:pt>
                <c:pt idx="26">
                  <c:v>101.586046133663</c:v>
                </c:pt>
                <c:pt idx="27">
                  <c:v>102.857759520172</c:v>
                </c:pt>
                <c:pt idx="28">
                  <c:v>101.80836548988</c:v>
                </c:pt>
                <c:pt idx="29">
                  <c:v>100.300233909615</c:v>
                </c:pt>
                <c:pt idx="30">
                  <c:v>100.573780094285</c:v>
                </c:pt>
                <c:pt idx="31">
                  <c:v>102.561533027278</c:v>
                </c:pt>
                <c:pt idx="32">
                  <c:v>104.284109338211</c:v>
                </c:pt>
                <c:pt idx="33">
                  <c:v>103.505185402504</c:v>
                </c:pt>
                <c:pt idx="34">
                  <c:v>101.376459094987</c:v>
                </c:pt>
                <c:pt idx="35">
                  <c:v>101.57254616879899</c:v>
                </c:pt>
                <c:pt idx="36">
                  <c:v>104.13231374001801</c:v>
                </c:pt>
                <c:pt idx="37">
                  <c:v>106.18761264142501</c:v>
                </c:pt>
                <c:pt idx="38">
                  <c:v>106.24606354240299</c:v>
                </c:pt>
                <c:pt idx="39">
                  <c:v>105.32871226803999</c:v>
                </c:pt>
                <c:pt idx="40">
                  <c:v>104.830309244848</c:v>
                </c:pt>
                <c:pt idx="41">
                  <c:v>106.18346857858199</c:v>
                </c:pt>
                <c:pt idx="42">
                  <c:v>107.794986382022</c:v>
                </c:pt>
                <c:pt idx="43">
                  <c:v>107.400370794455</c:v>
                </c:pt>
                <c:pt idx="44">
                  <c:v>106.123861061076</c:v>
                </c:pt>
                <c:pt idx="45">
                  <c:v>80.142516691676207</c:v>
                </c:pt>
                <c:pt idx="46">
                  <c:v>81.667785238613703</c:v>
                </c:pt>
                <c:pt idx="47">
                  <c:v>83.782747965714407</c:v>
                </c:pt>
                <c:pt idx="48">
                  <c:v>85.391474187110504</c:v>
                </c:pt>
                <c:pt idx="49">
                  <c:v>85.848429072906399</c:v>
                </c:pt>
                <c:pt idx="50">
                  <c:v>87.120341368219997</c:v>
                </c:pt>
                <c:pt idx="51">
                  <c:v>90.7231104637182</c:v>
                </c:pt>
                <c:pt idx="52">
                  <c:v>96.073190160461394</c:v>
                </c:pt>
                <c:pt idx="53">
                  <c:v>100.436342564935</c:v>
                </c:pt>
              </c:numCache>
            </c:numRef>
          </c:val>
          <c:smooth val="0"/>
          <c:extLst>
            <c:ext xmlns:c16="http://schemas.microsoft.com/office/drawing/2014/chart" uri="{C3380CC4-5D6E-409C-BE32-E72D297353CC}">
              <c16:uniqueId val="{00000001-A949-412B-80F0-1BB2215797B0}"/>
            </c:ext>
          </c:extLst>
        </c:ser>
        <c:dLbls>
          <c:showLegendKey val="0"/>
          <c:showVal val="0"/>
          <c:showCatName val="0"/>
          <c:showSerName val="0"/>
          <c:showPercent val="0"/>
          <c:showBubbleSize val="0"/>
        </c:dLbls>
        <c:marker val="1"/>
        <c:smooth val="0"/>
        <c:axId val="2080251087"/>
        <c:axId val="1"/>
      </c:lineChart>
      <c:catAx>
        <c:axId val="2080251087"/>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12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2080251087"/>
        <c:crosses val="autoZero"/>
        <c:crossBetween val="between"/>
      </c:valAx>
      <c:spPr>
        <a:noFill/>
        <a:ln w="12700">
          <a:solidFill>
            <a:schemeClr val="bg1">
              <a:lumMod val="50000"/>
            </a:schemeClr>
          </a:solidFill>
          <a:prstDash val="solid"/>
        </a:ln>
      </c:spPr>
    </c:plotArea>
    <c:legend>
      <c:legendPos val="r"/>
      <c:layout>
        <c:manualLayout>
          <c:xMode val="edge"/>
          <c:yMode val="edge"/>
          <c:x val="4.0044493882091213E-2"/>
          <c:y val="0.92471358428805239"/>
          <c:w val="0.95995550611790881"/>
          <c:h val="5.8919803600654665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463818271328733E-2"/>
          <c:y val="4.1747833893922018E-2"/>
          <c:w val="0.91526018934083397"/>
          <c:h val="0.78347268269097958"/>
        </c:manualLayout>
      </c:layout>
      <c:barChart>
        <c:barDir val="col"/>
        <c:grouping val="clustered"/>
        <c:varyColors val="0"/>
        <c:ser>
          <c:idx val="0"/>
          <c:order val="0"/>
          <c:tx>
            <c:strRef>
              <c:f>datos!$H$4</c:f>
              <c:strCache>
                <c:ptCount val="1"/>
                <c:pt idx="0">
                  <c:v>Serie Desestacionalizada</c:v>
                </c:pt>
              </c:strCache>
            </c:strRef>
          </c:tx>
          <c:spPr>
            <a:solidFill>
              <a:schemeClr val="accent1">
                <a:lumMod val="60000"/>
                <a:lumOff val="40000"/>
              </a:schemeClr>
            </a:solidFill>
            <a:ln w="12700">
              <a:noFill/>
              <a:prstDash val="solid"/>
            </a:ln>
            <a:effectLst>
              <a:outerShdw blurRad="50800" dist="12700" dir="5400000" algn="ctr" rotWithShape="0">
                <a:schemeClr val="bg1">
                  <a:alpha val="43000"/>
                </a:schemeClr>
              </a:outerShdw>
            </a:effectLst>
            <a:scene3d>
              <a:camera prst="orthographicFront"/>
              <a:lightRig rig="threePt" dir="t"/>
            </a:scene3d>
            <a:sp3d/>
          </c:spPr>
          <c:invertIfNegative val="0"/>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datos!$N$17:$N$70</c:f>
              <c:numCache>
                <c:formatCode>0.0</c:formatCode>
                <c:ptCount val="54"/>
                <c:pt idx="0">
                  <c:v>103.159642472404</c:v>
                </c:pt>
                <c:pt idx="1">
                  <c:v>79.904084693741197</c:v>
                </c:pt>
                <c:pt idx="2">
                  <c:v>91.136261106488504</c:v>
                </c:pt>
                <c:pt idx="3">
                  <c:v>90.529592761382602</c:v>
                </c:pt>
                <c:pt idx="4">
                  <c:v>97.358954967523303</c:v>
                </c:pt>
                <c:pt idx="5">
                  <c:v>86.026090683158102</c:v>
                </c:pt>
                <c:pt idx="6">
                  <c:v>90.712966393525406</c:v>
                </c:pt>
                <c:pt idx="7">
                  <c:v>84.436923991091504</c:v>
                </c:pt>
                <c:pt idx="8">
                  <c:v>79.693205909786101</c:v>
                </c:pt>
                <c:pt idx="9">
                  <c:v>80.502254904813995</c:v>
                </c:pt>
                <c:pt idx="10">
                  <c:v>85.602365968508593</c:v>
                </c:pt>
                <c:pt idx="11">
                  <c:v>95.780579570410495</c:v>
                </c:pt>
                <c:pt idx="12">
                  <c:v>91.797355990655305</c:v>
                </c:pt>
                <c:pt idx="13">
                  <c:v>98.210593753542895</c:v>
                </c:pt>
                <c:pt idx="14">
                  <c:v>95.944835783435195</c:v>
                </c:pt>
                <c:pt idx="15">
                  <c:v>90.970404977038996</c:v>
                </c:pt>
                <c:pt idx="16">
                  <c:v>94.843871441186593</c:v>
                </c:pt>
                <c:pt idx="17">
                  <c:v>96.562806331985797</c:v>
                </c:pt>
                <c:pt idx="18">
                  <c:v>103.04065778982201</c:v>
                </c:pt>
                <c:pt idx="19">
                  <c:v>106.60381549685501</c:v>
                </c:pt>
                <c:pt idx="20">
                  <c:v>108.379448195907</c:v>
                </c:pt>
                <c:pt idx="21">
                  <c:v>111.0326266018</c:v>
                </c:pt>
                <c:pt idx="22">
                  <c:v>111.59111224935999</c:v>
                </c:pt>
                <c:pt idx="23">
                  <c:v>117.97070499592699</c:v>
                </c:pt>
                <c:pt idx="24">
                  <c:v>125.53036697461501</c:v>
                </c:pt>
                <c:pt idx="25">
                  <c:v>134.87181596372599</c:v>
                </c:pt>
                <c:pt idx="26">
                  <c:v>141.88630865361799</c:v>
                </c:pt>
                <c:pt idx="27">
                  <c:v>143.45661249702201</c:v>
                </c:pt>
                <c:pt idx="28">
                  <c:v>156.51026952313899</c:v>
                </c:pt>
                <c:pt idx="29">
                  <c:v>167.37773970494399</c:v>
                </c:pt>
                <c:pt idx="30">
                  <c:v>176.13251503453901</c:v>
                </c:pt>
                <c:pt idx="31">
                  <c:v>181.19150718510801</c:v>
                </c:pt>
                <c:pt idx="32">
                  <c:v>183.26231345880601</c:v>
                </c:pt>
                <c:pt idx="33">
                  <c:v>173.59516090393799</c:v>
                </c:pt>
                <c:pt idx="34">
                  <c:v>173.508250375968</c:v>
                </c:pt>
                <c:pt idx="35">
                  <c:v>179.41832500621999</c:v>
                </c:pt>
                <c:pt idx="36">
                  <c:v>177.66888169222699</c:v>
                </c:pt>
                <c:pt idx="37">
                  <c:v>182.99621799446501</c:v>
                </c:pt>
                <c:pt idx="38">
                  <c:v>181.63969636568299</c:v>
                </c:pt>
                <c:pt idx="39">
                  <c:v>188.47577600046799</c:v>
                </c:pt>
                <c:pt idx="40">
                  <c:v>194.78753077924901</c:v>
                </c:pt>
                <c:pt idx="41">
                  <c:v>183.83036371836701</c:v>
                </c:pt>
                <c:pt idx="42">
                  <c:v>190.80085933615101</c:v>
                </c:pt>
                <c:pt idx="43">
                  <c:v>176.41164767063199</c:v>
                </c:pt>
                <c:pt idx="44">
                  <c:v>195.33376599716999</c:v>
                </c:pt>
                <c:pt idx="45">
                  <c:v>20.6107232075165</c:v>
                </c:pt>
                <c:pt idx="46">
                  <c:v>69.7169556452873</c:v>
                </c:pt>
                <c:pt idx="47">
                  <c:v>99.881819783686296</c:v>
                </c:pt>
                <c:pt idx="48">
                  <c:v>96.957374164704902</c:v>
                </c:pt>
                <c:pt idx="49">
                  <c:v>161.45650003420801</c:v>
                </c:pt>
                <c:pt idx="50">
                  <c:v>200.51646141299</c:v>
                </c:pt>
                <c:pt idx="51">
                  <c:v>209.585732073809</c:v>
                </c:pt>
                <c:pt idx="52">
                  <c:v>212.553874749653</c:v>
                </c:pt>
                <c:pt idx="53">
                  <c:v>214.59743559844</c:v>
                </c:pt>
              </c:numCache>
            </c:numRef>
          </c:val>
          <c:extLst>
            <c:ext xmlns:c16="http://schemas.microsoft.com/office/drawing/2014/chart" uri="{C3380CC4-5D6E-409C-BE32-E72D297353CC}">
              <c16:uniqueId val="{00000000-80AC-4D7D-8577-D03962954662}"/>
            </c:ext>
          </c:extLst>
        </c:ser>
        <c:dLbls>
          <c:showLegendKey val="0"/>
          <c:showVal val="0"/>
          <c:showCatName val="0"/>
          <c:showSerName val="0"/>
          <c:showPercent val="0"/>
          <c:showBubbleSize val="0"/>
        </c:dLbls>
        <c:gapWidth val="60"/>
        <c:axId val="2080256495"/>
        <c:axId val="1"/>
      </c:barChart>
      <c:lineChart>
        <c:grouping val="standard"/>
        <c:varyColors val="0"/>
        <c:ser>
          <c:idx val="1"/>
          <c:order val="1"/>
          <c:tx>
            <c:v>Serie de Tendencia-Ciclo</c:v>
          </c:tx>
          <c:spPr>
            <a:ln w="15875">
              <a:solidFill>
                <a:schemeClr val="tx2">
                  <a:lumMod val="75000"/>
                </a:schemeClr>
              </a:solidFill>
              <a:prstDash val="solid"/>
            </a:ln>
          </c:spPr>
          <c:marker>
            <c:symbol val="none"/>
          </c:marker>
          <c:cat>
            <c:multiLvlStrRef>
              <c:f>datos!$B$17:$C$70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datos!$O$17:$O$70</c:f>
              <c:numCache>
                <c:formatCode>0.0</c:formatCode>
                <c:ptCount val="54"/>
                <c:pt idx="0">
                  <c:v>101.326632357051</c:v>
                </c:pt>
                <c:pt idx="1">
                  <c:v>96.600077363375703</c:v>
                </c:pt>
                <c:pt idx="2">
                  <c:v>91.044538544754502</c:v>
                </c:pt>
                <c:pt idx="3">
                  <c:v>91.550761441633796</c:v>
                </c:pt>
                <c:pt idx="4">
                  <c:v>93.075270365653793</c:v>
                </c:pt>
                <c:pt idx="5">
                  <c:v>92.700372138587198</c:v>
                </c:pt>
                <c:pt idx="6">
                  <c:v>89.544784731695898</c:v>
                </c:pt>
                <c:pt idx="7">
                  <c:v>84.673690558359397</c:v>
                </c:pt>
                <c:pt idx="8">
                  <c:v>80.0810559203466</c:v>
                </c:pt>
                <c:pt idx="9">
                  <c:v>80.446857690180906</c:v>
                </c:pt>
                <c:pt idx="10">
                  <c:v>86.672942949744396</c:v>
                </c:pt>
                <c:pt idx="11">
                  <c:v>91.919668844408804</c:v>
                </c:pt>
                <c:pt idx="12">
                  <c:v>94.771658223416196</c:v>
                </c:pt>
                <c:pt idx="13">
                  <c:v>96.545665485755904</c:v>
                </c:pt>
                <c:pt idx="14">
                  <c:v>95.514891195282701</c:v>
                </c:pt>
                <c:pt idx="15">
                  <c:v>92.626834969924403</c:v>
                </c:pt>
                <c:pt idx="16">
                  <c:v>93.528369984299104</c:v>
                </c:pt>
                <c:pt idx="17">
                  <c:v>97.633884050946193</c:v>
                </c:pt>
                <c:pt idx="18">
                  <c:v>102.39444673991299</c:v>
                </c:pt>
                <c:pt idx="19">
                  <c:v>106.490892624785</c:v>
                </c:pt>
                <c:pt idx="20">
                  <c:v>108.79337649234</c:v>
                </c:pt>
                <c:pt idx="21">
                  <c:v>110.23315525644</c:v>
                </c:pt>
                <c:pt idx="22">
                  <c:v>112.51311781652301</c:v>
                </c:pt>
                <c:pt idx="23">
                  <c:v>117.585747413588</c:v>
                </c:pt>
                <c:pt idx="24">
                  <c:v>125.876239991562</c:v>
                </c:pt>
                <c:pt idx="25">
                  <c:v>134.54796694800999</c:v>
                </c:pt>
                <c:pt idx="26">
                  <c:v>141.41867265303699</c:v>
                </c:pt>
                <c:pt idx="27">
                  <c:v>147.61598112578901</c:v>
                </c:pt>
                <c:pt idx="28">
                  <c:v>156.50534888515901</c:v>
                </c:pt>
                <c:pt idx="29">
                  <c:v>167.24833094344899</c:v>
                </c:pt>
                <c:pt idx="30">
                  <c:v>175.964317838006</c:v>
                </c:pt>
                <c:pt idx="31">
                  <c:v>181.88592947647501</c:v>
                </c:pt>
                <c:pt idx="32">
                  <c:v>181.05452517226701</c:v>
                </c:pt>
                <c:pt idx="33">
                  <c:v>175.42358961794801</c:v>
                </c:pt>
                <c:pt idx="34">
                  <c:v>174.247894330197</c:v>
                </c:pt>
                <c:pt idx="35">
                  <c:v>177.33353894355599</c:v>
                </c:pt>
                <c:pt idx="36">
                  <c:v>179.76131399034699</c:v>
                </c:pt>
                <c:pt idx="37">
                  <c:v>180.893494107827</c:v>
                </c:pt>
                <c:pt idx="38">
                  <c:v>183.37207780483499</c:v>
                </c:pt>
                <c:pt idx="39">
                  <c:v>189.06522036461499</c:v>
                </c:pt>
                <c:pt idx="40">
                  <c:v>191.417804535041</c:v>
                </c:pt>
                <c:pt idx="41">
                  <c:v>187.46382094288199</c:v>
                </c:pt>
                <c:pt idx="42">
                  <c:v>180.75430610997799</c:v>
                </c:pt>
                <c:pt idx="43">
                  <c:v>181.659645622471</c:v>
                </c:pt>
                <c:pt idx="44">
                  <c:v>193.12323164829499</c:v>
                </c:pt>
                <c:pt idx="45">
                  <c:v>63.641466389717003</c:v>
                </c:pt>
                <c:pt idx="46">
                  <c:v>71.080029971252003</c:v>
                </c:pt>
                <c:pt idx="47">
                  <c:v>86.950914573470598</c:v>
                </c:pt>
                <c:pt idx="48">
                  <c:v>117.940088788059</c:v>
                </c:pt>
                <c:pt idx="49">
                  <c:v>161.426336013488</c:v>
                </c:pt>
                <c:pt idx="50">
                  <c:v>197.04566039417901</c:v>
                </c:pt>
                <c:pt idx="51">
                  <c:v>210.95976475939099</c:v>
                </c:pt>
                <c:pt idx="52">
                  <c:v>210.46157241457001</c:v>
                </c:pt>
                <c:pt idx="53">
                  <c:v>218.28059359540799</c:v>
                </c:pt>
              </c:numCache>
            </c:numRef>
          </c:val>
          <c:smooth val="0"/>
          <c:extLst>
            <c:ext xmlns:c16="http://schemas.microsoft.com/office/drawing/2014/chart" uri="{C3380CC4-5D6E-409C-BE32-E72D297353CC}">
              <c16:uniqueId val="{00000001-80AC-4D7D-8577-D03962954662}"/>
            </c:ext>
          </c:extLst>
        </c:ser>
        <c:dLbls>
          <c:showLegendKey val="0"/>
          <c:showVal val="0"/>
          <c:showCatName val="0"/>
          <c:showSerName val="0"/>
          <c:showPercent val="0"/>
          <c:showBubbleSize val="0"/>
        </c:dLbls>
        <c:marker val="1"/>
        <c:smooth val="0"/>
        <c:axId val="2080256495"/>
        <c:axId val="1"/>
      </c:lineChart>
      <c:catAx>
        <c:axId val="2080256495"/>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1"/>
        <c:crosses val="autoZero"/>
        <c:auto val="1"/>
        <c:lblAlgn val="ctr"/>
        <c:lblOffset val="0"/>
        <c:tickLblSkip val="1"/>
        <c:tickMarkSkip val="12"/>
        <c:noMultiLvlLbl val="1"/>
      </c:catAx>
      <c:valAx>
        <c:axId val="1"/>
        <c:scaling>
          <c:orientation val="minMax"/>
          <c:max val="250"/>
          <c:min val="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s-MX"/>
          </a:p>
        </c:txPr>
        <c:crossAx val="2080256495"/>
        <c:crosses val="autoZero"/>
        <c:crossBetween val="between"/>
      </c:valAx>
      <c:spPr>
        <a:noFill/>
        <a:ln w="12700">
          <a:solidFill>
            <a:schemeClr val="bg1">
              <a:lumMod val="50000"/>
            </a:schemeClr>
          </a:solidFill>
        </a:ln>
      </c:spPr>
    </c:plotArea>
    <c:legend>
      <c:legendPos val="r"/>
      <c:layout>
        <c:manualLayout>
          <c:xMode val="edge"/>
          <c:yMode val="edge"/>
          <c:x val="7.0133797093343527E-3"/>
          <c:y val="0.92688015140032443"/>
          <c:w val="0.98114792254741745"/>
          <c:h val="5.9779493305588023E-2"/>
        </c:manualLayout>
      </c:layout>
      <c:overlay val="0"/>
      <c:spPr>
        <a:noFill/>
        <a:ln w="25400">
          <a:noFill/>
        </a:ln>
      </c:spPr>
      <c:txPr>
        <a:bodyPr/>
        <a:lstStyle/>
        <a:p>
          <a:pPr>
            <a:defRPr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14CF5-DCBD-4CC3-8A03-2ADBCD0C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8</Pages>
  <Words>1467</Words>
  <Characters>8072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Comunicado de Prensa. Indicadores Trimestrales de la Actividad Turística. Segundo Trimestre de 2022</vt:lpstr>
    </vt:vector>
  </TitlesOfParts>
  <Company>DGCNES y P.  "INEGI"</Company>
  <LinksUpToDate>false</LinksUpToDate>
  <CharactersWithSpaces>9520</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Trimestrales de la Actividad Turística. Segundo Trimestre de 2022</dc:title>
  <dc:creator>Laura Calles</dc:creator>
  <cp:lastModifiedBy>GUILLEN MEDINA MOISES</cp:lastModifiedBy>
  <cp:revision>161</cp:revision>
  <cp:lastPrinted>2022-10-26T15:12:00Z</cp:lastPrinted>
  <dcterms:created xsi:type="dcterms:W3CDTF">2021-11-09T15:00:00Z</dcterms:created>
  <dcterms:modified xsi:type="dcterms:W3CDTF">2022-10-27T19:39:00Z</dcterms:modified>
</cp:coreProperties>
</file>