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F9162" w14:textId="77777777" w:rsidR="00421A91" w:rsidRDefault="00421A91" w:rsidP="00421A91">
      <w:pPr>
        <w:pStyle w:val="Ttulo"/>
        <w:ind w:left="709"/>
        <w:jc w:val="right"/>
        <w:rPr>
          <w:b w:val="0"/>
          <w:bCs/>
          <w:caps/>
          <w:sz w:val="28"/>
          <w:szCs w:val="28"/>
          <w:lang w:val="es-MX"/>
        </w:rPr>
      </w:pPr>
      <w:r>
        <w:rPr>
          <w:noProof/>
          <w:lang w:eastAsia="es-MX"/>
        </w:rPr>
        <mc:AlternateContent>
          <mc:Choice Requires="wps">
            <w:drawing>
              <wp:anchor distT="45720" distB="45720" distL="114300" distR="114300" simplePos="0" relativeHeight="251662336" behindDoc="0" locked="0" layoutInCell="1" allowOverlap="1" wp14:anchorId="7110F48B" wp14:editId="32825A21">
                <wp:simplePos x="0" y="0"/>
                <wp:positionH relativeFrom="column">
                  <wp:posOffset>3084195</wp:posOffset>
                </wp:positionH>
                <wp:positionV relativeFrom="paragraph">
                  <wp:posOffset>0</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15E264D5" w14:textId="77777777" w:rsidR="00421A91" w:rsidRPr="003D4E37" w:rsidRDefault="00421A91" w:rsidP="00421A91">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29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julio</w:t>
                            </w:r>
                            <w:proofErr w:type="spellEnd"/>
                          </w:p>
                          <w:p w14:paraId="2942F328" w14:textId="77777777" w:rsidR="00421A91" w:rsidRPr="003D4E37" w:rsidRDefault="00421A91" w:rsidP="00421A91">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10F48B" id="_x0000_t202" coordsize="21600,21600" o:spt="202" path="m,l,21600r21600,l21600,xe">
                <v:stroke joinstyle="miter"/>
                <v:path gradientshapeok="t" o:connecttype="rect"/>
              </v:shapetype>
              <v:shape id="Cuadro de texto 217" o:spid="_x0000_s1026" type="#_x0000_t202" style="position:absolute;left:0;text-align:left;margin-left:242.85pt;margin-top:0;width:262.7pt;height:2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" stroked="f">
                <v:textbox>
                  <w:txbxContent>
                    <w:p w14:paraId="15E264D5" w14:textId="77777777" w:rsidR="00421A91" w:rsidRPr="003D4E37" w:rsidRDefault="00421A91" w:rsidP="00421A91">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29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julio</w:t>
                      </w:r>
                      <w:proofErr w:type="spellEnd"/>
                    </w:p>
                    <w:p w14:paraId="2942F328" w14:textId="77777777" w:rsidR="00421A91" w:rsidRPr="003D4E37" w:rsidRDefault="00421A91" w:rsidP="00421A91">
                      <w:pPr>
                        <w:jc w:val="right"/>
                      </w:pPr>
                    </w:p>
                  </w:txbxContent>
                </v:textbox>
                <w10:wrap type="square"/>
              </v:shape>
            </w:pict>
          </mc:Fallback>
        </mc:AlternateContent>
      </w:r>
      <w:bookmarkStart w:id="0" w:name="_Hlk61875621"/>
    </w:p>
    <w:p w14:paraId="6DE952B0" w14:textId="77777777" w:rsidR="00421A91" w:rsidRDefault="00421A91" w:rsidP="00421A91">
      <w:pPr>
        <w:pStyle w:val="Ttulo"/>
        <w:widowControl w:val="0"/>
        <w:rPr>
          <w:rFonts w:cs="Arial"/>
          <w:caps/>
          <w:snapToGrid w:val="0"/>
          <w:spacing w:val="20"/>
          <w:sz w:val="28"/>
          <w:lang w:val="es-MX"/>
        </w:rPr>
      </w:pPr>
    </w:p>
    <w:p w14:paraId="2B160DF8" w14:textId="77777777" w:rsidR="00421A91" w:rsidRDefault="00421A91" w:rsidP="00421A91">
      <w:pPr>
        <w:pStyle w:val="Ttulo2"/>
        <w:spacing w:before="0"/>
        <w:rPr>
          <w:rFonts w:cs="Arial"/>
          <w:b w:val="0"/>
          <w:color w:val="auto"/>
          <w:spacing w:val="20"/>
          <w:sz w:val="24"/>
          <w:szCs w:val="24"/>
        </w:rPr>
      </w:pPr>
    </w:p>
    <w:p w14:paraId="0822A975" w14:textId="70B76459" w:rsidR="00421A91" w:rsidRPr="00394E6F" w:rsidRDefault="00421A91" w:rsidP="00421A91">
      <w:pPr>
        <w:pStyle w:val="Ttulo2"/>
        <w:spacing w:before="0"/>
        <w:rPr>
          <w:rFonts w:cs="Arial"/>
          <w:color w:val="auto"/>
          <w:spacing w:val="20"/>
          <w:sz w:val="24"/>
          <w:szCs w:val="24"/>
        </w:rPr>
      </w:pPr>
      <w:bookmarkStart w:id="1" w:name="_GoBack"/>
      <w:bookmarkEnd w:id="1"/>
      <w:r w:rsidRPr="00394E6F">
        <w:rPr>
          <w:rFonts w:cs="Arial"/>
          <w:color w:val="auto"/>
          <w:spacing w:val="20"/>
          <w:sz w:val="24"/>
          <w:szCs w:val="24"/>
        </w:rPr>
        <w:t>ESTIMACIÓN OPORTUNA DEL</w:t>
      </w:r>
    </w:p>
    <w:p w14:paraId="34CB901F" w14:textId="77777777" w:rsidR="00421A91" w:rsidRPr="00394E6F" w:rsidRDefault="00421A91" w:rsidP="00421A91">
      <w:pPr>
        <w:pStyle w:val="Ttulo2"/>
        <w:spacing w:before="0"/>
        <w:rPr>
          <w:rFonts w:cs="Arial"/>
          <w:color w:val="000000" w:themeColor="text1"/>
          <w:sz w:val="24"/>
          <w:szCs w:val="24"/>
        </w:rPr>
      </w:pPr>
      <w:r w:rsidRPr="00394E6F">
        <w:rPr>
          <w:rFonts w:cs="Arial"/>
          <w:color w:val="auto"/>
          <w:spacing w:val="20"/>
          <w:sz w:val="24"/>
          <w:szCs w:val="24"/>
        </w:rPr>
        <w:t xml:space="preserve">PRODUCTO INTERNO </w:t>
      </w:r>
      <w:r w:rsidRPr="00394E6F">
        <w:rPr>
          <w:rFonts w:cs="Arial"/>
          <w:color w:val="000000" w:themeColor="text1"/>
          <w:spacing w:val="20"/>
          <w:sz w:val="24"/>
          <w:szCs w:val="24"/>
        </w:rPr>
        <w:t>BRUTO</w:t>
      </w:r>
      <w:r w:rsidRPr="00394E6F">
        <w:rPr>
          <w:rStyle w:val="Refdenotaalpie"/>
          <w:color w:val="000000" w:themeColor="text1"/>
          <w:sz w:val="24"/>
          <w:szCs w:val="24"/>
        </w:rPr>
        <w:footnoteReference w:id="1"/>
      </w:r>
    </w:p>
    <w:p w14:paraId="0064CBF5" w14:textId="77777777" w:rsidR="00421A91" w:rsidRPr="00394E6F" w:rsidRDefault="00421A91" w:rsidP="00421A91">
      <w:pPr>
        <w:pStyle w:val="Ttulo2"/>
        <w:spacing w:before="0"/>
        <w:rPr>
          <w:rFonts w:cs="Arial"/>
          <w:color w:val="auto"/>
          <w:sz w:val="24"/>
          <w:szCs w:val="24"/>
        </w:rPr>
      </w:pPr>
      <w:r w:rsidRPr="00394E6F">
        <w:rPr>
          <w:rFonts w:cs="Arial"/>
          <w:color w:val="auto"/>
          <w:sz w:val="24"/>
          <w:szCs w:val="24"/>
        </w:rPr>
        <w:t>PRIMER TRIMESTRE DE 2022</w:t>
      </w:r>
    </w:p>
    <w:p w14:paraId="35F12F8D" w14:textId="77777777" w:rsidR="00421A91" w:rsidRPr="008801F1" w:rsidRDefault="00421A91" w:rsidP="00DC6C62">
      <w:pPr>
        <w:pStyle w:val="bullet"/>
        <w:numPr>
          <w:ilvl w:val="0"/>
          <w:numId w:val="0"/>
        </w:numPr>
        <w:ind w:right="49"/>
        <w:rPr>
          <w:rFonts w:cs="Arial"/>
          <w:b w:val="0"/>
          <w:color w:val="auto"/>
          <w:sz w:val="24"/>
          <w:szCs w:val="24"/>
        </w:rPr>
      </w:pPr>
      <w:r w:rsidRPr="008801F1">
        <w:rPr>
          <w:rFonts w:cs="Arial"/>
          <w:b w:val="0"/>
          <w:color w:val="auto"/>
          <w:sz w:val="24"/>
          <w:szCs w:val="24"/>
        </w:rPr>
        <w:t>En el primer trimestre de 2022 y con cifras ajustadas por estacionalidad</w:t>
      </w:r>
      <w:r w:rsidRPr="008801F1">
        <w:rPr>
          <w:rStyle w:val="Refdenotaalpie"/>
          <w:b/>
          <w:color w:val="000000" w:themeColor="text1"/>
          <w:sz w:val="24"/>
          <w:szCs w:val="24"/>
        </w:rPr>
        <w:footnoteReference w:id="2"/>
      </w:r>
      <w:r w:rsidRPr="008801F1">
        <w:rPr>
          <w:rFonts w:cs="Arial"/>
          <w:b w:val="0"/>
          <w:color w:val="auto"/>
          <w:sz w:val="24"/>
          <w:szCs w:val="24"/>
        </w:rPr>
        <w:t>, los resultados de la Estimación Oportuna del Producto Interno Bruto Trimestral</w:t>
      </w:r>
      <w:r w:rsidRPr="008801F1">
        <w:rPr>
          <w:rStyle w:val="Refdenotaalpie"/>
          <w:b/>
          <w:color w:val="000000" w:themeColor="text1"/>
          <w:sz w:val="24"/>
          <w:szCs w:val="24"/>
        </w:rPr>
        <w:footnoteReference w:id="3"/>
      </w:r>
      <w:r w:rsidRPr="008801F1">
        <w:rPr>
          <w:rFonts w:cs="Arial"/>
          <w:b w:val="0"/>
          <w:color w:val="auto"/>
          <w:sz w:val="24"/>
          <w:szCs w:val="24"/>
        </w:rPr>
        <w:t xml:space="preserve"> (EOPIBT) muestran un aumento trimestral en términos reales de 0.9%. </w:t>
      </w:r>
    </w:p>
    <w:p w14:paraId="00B9FAE3" w14:textId="03BDEFB8" w:rsidR="00421A91" w:rsidRPr="008801F1" w:rsidRDefault="00421A91" w:rsidP="00394E6F">
      <w:pPr>
        <w:pStyle w:val="bullet"/>
        <w:numPr>
          <w:ilvl w:val="0"/>
          <w:numId w:val="0"/>
        </w:numPr>
        <w:ind w:right="49"/>
        <w:rPr>
          <w:rFonts w:cs="Arial"/>
          <w:b w:val="0"/>
          <w:color w:val="auto"/>
          <w:sz w:val="24"/>
          <w:szCs w:val="24"/>
        </w:rPr>
      </w:pPr>
      <w:r w:rsidRPr="008801F1">
        <w:rPr>
          <w:rFonts w:cs="Arial"/>
          <w:b w:val="0"/>
          <w:color w:val="auto"/>
          <w:sz w:val="24"/>
          <w:szCs w:val="24"/>
        </w:rPr>
        <w:t xml:space="preserve">A tasa trimestral, el PIB oportuno tanto de las actividades terciarias como el de secundarias avanzó 1.1% y el de las primarias descendió 1.9% en el primer trimestre de 2022. </w:t>
      </w:r>
    </w:p>
    <w:p w14:paraId="28A21C52" w14:textId="77777777" w:rsidR="00394E6F" w:rsidRPr="002424FB" w:rsidRDefault="00394E6F" w:rsidP="00394E6F">
      <w:pPr>
        <w:pStyle w:val="bullet"/>
        <w:numPr>
          <w:ilvl w:val="0"/>
          <w:numId w:val="0"/>
        </w:numPr>
        <w:ind w:right="49"/>
        <w:rPr>
          <w:b w:val="0"/>
          <w:color w:val="auto"/>
          <w:sz w:val="24"/>
          <w:szCs w:val="24"/>
        </w:rPr>
      </w:pPr>
    </w:p>
    <w:p w14:paraId="79DA7CFA" w14:textId="77777777" w:rsidR="00421A91" w:rsidRPr="002424FB" w:rsidRDefault="00421A91" w:rsidP="00421A91">
      <w:pPr>
        <w:pStyle w:val="Textoindependiente"/>
        <w:contextualSpacing/>
        <w:jc w:val="center"/>
        <w:rPr>
          <w:b/>
          <w:smallCaps/>
          <w:color w:val="000000" w:themeColor="text1"/>
          <w:sz w:val="22"/>
          <w:szCs w:val="22"/>
        </w:rPr>
      </w:pPr>
      <w:r w:rsidRPr="002424FB">
        <w:rPr>
          <w:b/>
          <w:smallCaps/>
          <w:color w:val="000000" w:themeColor="text1"/>
          <w:sz w:val="22"/>
          <w:szCs w:val="22"/>
        </w:rPr>
        <w:t xml:space="preserve">Estimación Oportuna del Producto Interno Bruto </w:t>
      </w:r>
    </w:p>
    <w:p w14:paraId="4DF96A99" w14:textId="77777777" w:rsidR="00421A91" w:rsidRPr="002424FB" w:rsidRDefault="00421A91" w:rsidP="00421A91">
      <w:pPr>
        <w:pStyle w:val="Textoindependiente"/>
        <w:contextualSpacing/>
        <w:jc w:val="center"/>
        <w:rPr>
          <w:b/>
          <w:smallCaps/>
          <w:color w:val="000000" w:themeColor="text1"/>
          <w:sz w:val="22"/>
          <w:szCs w:val="22"/>
        </w:rPr>
      </w:pPr>
      <w:r w:rsidRPr="002424FB">
        <w:rPr>
          <w:b/>
          <w:smallCaps/>
          <w:color w:val="000000" w:themeColor="text1"/>
          <w:sz w:val="22"/>
          <w:szCs w:val="22"/>
        </w:rPr>
        <w:t>primer trimestre de 2022</w:t>
      </w:r>
    </w:p>
    <w:p w14:paraId="747B449F" w14:textId="77777777" w:rsidR="00421A91" w:rsidRPr="002424FB" w:rsidRDefault="00421A91" w:rsidP="00421A91">
      <w:pPr>
        <w:pStyle w:val="Textoindependiente"/>
        <w:contextualSpacing/>
        <w:jc w:val="center"/>
        <w:rPr>
          <w:rFonts w:cs="Arial"/>
          <w:b/>
          <w:smallCaps/>
          <w:color w:val="000000" w:themeColor="text1"/>
          <w:sz w:val="22"/>
          <w:szCs w:val="22"/>
        </w:rPr>
      </w:pPr>
      <w:r w:rsidRPr="002424FB">
        <w:rPr>
          <w:b/>
          <w:smallCaps/>
          <w:color w:val="000000" w:themeColor="text1"/>
          <w:sz w:val="22"/>
          <w:szCs w:val="22"/>
        </w:rPr>
        <w:t xml:space="preserve">cifras desestacionalizadas </w:t>
      </w:r>
    </w:p>
    <w:tbl>
      <w:tblPr>
        <w:tblW w:w="5881" w:type="dxa"/>
        <w:jc w:val="center"/>
        <w:tblCellMar>
          <w:left w:w="70" w:type="dxa"/>
          <w:right w:w="70" w:type="dxa"/>
        </w:tblCellMar>
        <w:tblLook w:val="04A0" w:firstRow="1" w:lastRow="0" w:firstColumn="1" w:lastColumn="0" w:noHBand="0" w:noVBand="1"/>
      </w:tblPr>
      <w:tblGrid>
        <w:gridCol w:w="2365"/>
        <w:gridCol w:w="1758"/>
        <w:gridCol w:w="1758"/>
      </w:tblGrid>
      <w:tr w:rsidR="00421A91" w:rsidRPr="004B5894" w14:paraId="2EE7BD7A" w14:textId="77777777" w:rsidTr="00A77451">
        <w:trPr>
          <w:trHeight w:val="344"/>
          <w:jc w:val="center"/>
        </w:trPr>
        <w:tc>
          <w:tcPr>
            <w:tcW w:w="2365" w:type="dxa"/>
            <w:vMerge w:val="restart"/>
            <w:tcBorders>
              <w:top w:val="double" w:sz="4" w:space="0" w:color="auto"/>
              <w:left w:val="double" w:sz="4" w:space="0" w:color="auto"/>
              <w:right w:val="double" w:sz="4" w:space="0" w:color="auto"/>
            </w:tcBorders>
            <w:shd w:val="clear" w:color="auto" w:fill="D6E3BC" w:themeFill="accent3" w:themeFillTint="66"/>
            <w:vAlign w:val="center"/>
            <w:hideMark/>
          </w:tcPr>
          <w:p w14:paraId="38048E2F" w14:textId="77777777" w:rsidR="00421A91" w:rsidRPr="004A352E" w:rsidRDefault="00421A91" w:rsidP="00A77451">
            <w:pPr>
              <w:widowControl/>
              <w:ind w:left="-85"/>
              <w:jc w:val="center"/>
              <w:rPr>
                <w:rFonts w:cs="Arial"/>
                <w:snapToGrid/>
                <w:sz w:val="16"/>
                <w:lang w:val="es-MX" w:eastAsia="es-MX"/>
              </w:rPr>
            </w:pPr>
            <w:r w:rsidRPr="004A352E">
              <w:rPr>
                <w:rFonts w:cs="Arial"/>
                <w:snapToGrid/>
                <w:sz w:val="16"/>
                <w:lang w:val="es-MX" w:eastAsia="es-MX"/>
              </w:rPr>
              <w:t>Concepto</w:t>
            </w:r>
          </w:p>
        </w:tc>
        <w:tc>
          <w:tcPr>
            <w:tcW w:w="3516" w:type="dxa"/>
            <w:gridSpan w:val="2"/>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hideMark/>
          </w:tcPr>
          <w:p w14:paraId="21CF75D2" w14:textId="77777777" w:rsidR="00421A91" w:rsidRPr="004A352E" w:rsidRDefault="00421A91" w:rsidP="00A77451">
            <w:pPr>
              <w:widowControl/>
              <w:jc w:val="center"/>
              <w:rPr>
                <w:rFonts w:cs="Arial"/>
                <w:snapToGrid/>
                <w:sz w:val="16"/>
                <w:lang w:val="es-MX" w:eastAsia="es-MX"/>
              </w:rPr>
            </w:pPr>
            <w:r w:rsidRPr="004A352E">
              <w:rPr>
                <w:rFonts w:cs="Arial"/>
                <w:snapToGrid/>
                <w:sz w:val="16"/>
                <w:lang w:val="es-MX" w:eastAsia="es-MX"/>
              </w:rPr>
              <w:t>Variación % real respecto:</w:t>
            </w:r>
          </w:p>
        </w:tc>
      </w:tr>
      <w:tr w:rsidR="00421A91" w:rsidRPr="004B5894" w14:paraId="2F05FE77" w14:textId="77777777" w:rsidTr="00A77451">
        <w:trPr>
          <w:trHeight w:val="454"/>
          <w:jc w:val="center"/>
        </w:trPr>
        <w:tc>
          <w:tcPr>
            <w:tcW w:w="2365" w:type="dxa"/>
            <w:vMerge/>
            <w:tcBorders>
              <w:left w:val="double" w:sz="4" w:space="0" w:color="auto"/>
              <w:bottom w:val="double" w:sz="4" w:space="0" w:color="auto"/>
              <w:right w:val="double" w:sz="4" w:space="0" w:color="auto"/>
            </w:tcBorders>
            <w:shd w:val="clear" w:color="auto" w:fill="D6E3BC" w:themeFill="accent3" w:themeFillTint="66"/>
            <w:vAlign w:val="center"/>
          </w:tcPr>
          <w:p w14:paraId="0B5CB00A" w14:textId="77777777" w:rsidR="00421A91" w:rsidRPr="004A352E" w:rsidRDefault="00421A91" w:rsidP="00A77451">
            <w:pPr>
              <w:widowControl/>
              <w:ind w:left="-85"/>
              <w:jc w:val="center"/>
              <w:rPr>
                <w:rFonts w:cs="Arial"/>
                <w:snapToGrid/>
                <w:sz w:val="16"/>
                <w:lang w:val="es-MX" w:eastAsia="es-MX"/>
              </w:rPr>
            </w:pPr>
          </w:p>
        </w:tc>
        <w:tc>
          <w:tcPr>
            <w:tcW w:w="1758"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14:paraId="7DDA2461" w14:textId="77777777" w:rsidR="00421A91" w:rsidRPr="004A352E" w:rsidRDefault="00421A91" w:rsidP="00A77451">
            <w:pPr>
              <w:widowControl/>
              <w:jc w:val="center"/>
              <w:rPr>
                <w:rFonts w:cs="Arial"/>
                <w:snapToGrid/>
                <w:sz w:val="16"/>
                <w:lang w:val="es-MX" w:eastAsia="es-MX"/>
              </w:rPr>
            </w:pPr>
            <w:r w:rsidRPr="004A352E">
              <w:rPr>
                <w:rFonts w:cs="Arial"/>
                <w:snapToGrid/>
                <w:sz w:val="16"/>
                <w:lang w:val="es-MX" w:eastAsia="es-MX"/>
              </w:rPr>
              <w:t>Al trimestre previo</w:t>
            </w:r>
          </w:p>
        </w:tc>
        <w:tc>
          <w:tcPr>
            <w:tcW w:w="1758"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14:paraId="34B298A5" w14:textId="77777777" w:rsidR="00421A91" w:rsidRPr="004A352E" w:rsidRDefault="00421A91" w:rsidP="00A77451">
            <w:pPr>
              <w:widowControl/>
              <w:jc w:val="center"/>
              <w:rPr>
                <w:rFonts w:cs="Arial"/>
                <w:snapToGrid/>
                <w:sz w:val="16"/>
                <w:lang w:val="es-MX" w:eastAsia="es-MX"/>
              </w:rPr>
            </w:pPr>
            <w:r w:rsidRPr="004A352E">
              <w:rPr>
                <w:rFonts w:cs="Arial"/>
                <w:snapToGrid/>
                <w:sz w:val="16"/>
                <w:lang w:val="es-MX" w:eastAsia="es-MX"/>
              </w:rPr>
              <w:t xml:space="preserve">A igual trimestre </w:t>
            </w:r>
          </w:p>
          <w:p w14:paraId="4296D213" w14:textId="77777777" w:rsidR="00421A91" w:rsidRPr="004A352E" w:rsidRDefault="00421A91" w:rsidP="00A77451">
            <w:pPr>
              <w:widowControl/>
              <w:jc w:val="center"/>
              <w:rPr>
                <w:rFonts w:cs="Arial"/>
                <w:snapToGrid/>
                <w:sz w:val="16"/>
                <w:lang w:val="es-MX" w:eastAsia="es-MX"/>
              </w:rPr>
            </w:pPr>
            <w:r w:rsidRPr="004A352E">
              <w:rPr>
                <w:rFonts w:cs="Arial"/>
                <w:snapToGrid/>
                <w:sz w:val="16"/>
                <w:lang w:val="es-MX" w:eastAsia="es-MX"/>
              </w:rPr>
              <w:t>de 2021</w:t>
            </w:r>
          </w:p>
        </w:tc>
      </w:tr>
      <w:tr w:rsidR="00421A91" w:rsidRPr="004B5894" w14:paraId="4C1B714D" w14:textId="77777777" w:rsidTr="00A77451">
        <w:trPr>
          <w:trHeight w:val="283"/>
          <w:jc w:val="center"/>
        </w:trPr>
        <w:tc>
          <w:tcPr>
            <w:tcW w:w="2365" w:type="dxa"/>
            <w:tcBorders>
              <w:top w:val="double" w:sz="4" w:space="0" w:color="auto"/>
              <w:left w:val="double" w:sz="4" w:space="0" w:color="auto"/>
              <w:bottom w:val="nil"/>
              <w:right w:val="double" w:sz="4" w:space="0" w:color="auto"/>
            </w:tcBorders>
            <w:shd w:val="clear" w:color="auto" w:fill="auto"/>
            <w:vAlign w:val="center"/>
            <w:hideMark/>
          </w:tcPr>
          <w:p w14:paraId="13FFF3B9" w14:textId="77777777" w:rsidR="00421A91" w:rsidRPr="00294709" w:rsidRDefault="00421A91" w:rsidP="00A77451">
            <w:pPr>
              <w:widowControl/>
              <w:rPr>
                <w:rFonts w:cs="Arial"/>
                <w:b/>
                <w:bCs/>
                <w:snapToGrid/>
                <w:color w:val="000000"/>
                <w:sz w:val="16"/>
                <w:lang w:val="es-MX" w:eastAsia="es-MX"/>
              </w:rPr>
            </w:pPr>
            <w:r w:rsidRPr="00294709">
              <w:rPr>
                <w:rFonts w:cs="Arial"/>
                <w:b/>
                <w:bCs/>
                <w:snapToGrid/>
                <w:color w:val="000000"/>
                <w:sz w:val="16"/>
                <w:lang w:val="es-MX" w:eastAsia="es-MX"/>
              </w:rPr>
              <w:t xml:space="preserve">PIB </w:t>
            </w:r>
            <w:r>
              <w:rPr>
                <w:rFonts w:cs="Arial"/>
                <w:b/>
                <w:bCs/>
                <w:snapToGrid/>
                <w:color w:val="000000"/>
                <w:sz w:val="16"/>
                <w:lang w:val="es-MX" w:eastAsia="es-MX"/>
              </w:rPr>
              <w:t>oportuno</w:t>
            </w:r>
          </w:p>
        </w:tc>
        <w:tc>
          <w:tcPr>
            <w:tcW w:w="1758" w:type="dxa"/>
            <w:tcBorders>
              <w:top w:val="double" w:sz="4" w:space="0" w:color="auto"/>
              <w:left w:val="double" w:sz="4" w:space="0" w:color="auto"/>
              <w:bottom w:val="nil"/>
              <w:right w:val="double" w:sz="4" w:space="0" w:color="auto"/>
            </w:tcBorders>
            <w:shd w:val="clear" w:color="auto" w:fill="auto"/>
            <w:vAlign w:val="center"/>
            <w:hideMark/>
          </w:tcPr>
          <w:p w14:paraId="5D35C78A" w14:textId="77777777" w:rsidR="00421A91" w:rsidRPr="006055B7" w:rsidRDefault="00421A91" w:rsidP="00A77451">
            <w:pPr>
              <w:widowControl/>
              <w:ind w:right="680"/>
              <w:jc w:val="right"/>
              <w:rPr>
                <w:rFonts w:cs="Arial"/>
                <w:b/>
                <w:snapToGrid/>
                <w:color w:val="000000"/>
                <w:sz w:val="16"/>
                <w:szCs w:val="15"/>
                <w:lang w:val="es-MX" w:eastAsia="es-MX"/>
              </w:rPr>
            </w:pPr>
            <w:r w:rsidRPr="006055B7">
              <w:rPr>
                <w:rFonts w:cs="Arial"/>
                <w:b/>
                <w:snapToGrid/>
                <w:color w:val="000000"/>
                <w:sz w:val="16"/>
                <w:szCs w:val="15"/>
                <w:lang w:val="es-MX" w:eastAsia="es-MX"/>
              </w:rPr>
              <w:t>0.9</w:t>
            </w:r>
          </w:p>
        </w:tc>
        <w:tc>
          <w:tcPr>
            <w:tcW w:w="1758" w:type="dxa"/>
            <w:tcBorders>
              <w:top w:val="double" w:sz="4" w:space="0" w:color="auto"/>
              <w:left w:val="double" w:sz="4" w:space="0" w:color="auto"/>
              <w:bottom w:val="nil"/>
              <w:right w:val="double" w:sz="4" w:space="0" w:color="auto"/>
            </w:tcBorders>
            <w:shd w:val="clear" w:color="auto" w:fill="auto"/>
            <w:vAlign w:val="center"/>
            <w:hideMark/>
          </w:tcPr>
          <w:p w14:paraId="7334CFF9" w14:textId="77777777" w:rsidR="00421A91" w:rsidRPr="006055B7" w:rsidRDefault="00421A91" w:rsidP="00A77451">
            <w:pPr>
              <w:widowControl/>
              <w:ind w:right="680"/>
              <w:jc w:val="right"/>
              <w:rPr>
                <w:rFonts w:cs="Arial"/>
                <w:b/>
                <w:snapToGrid/>
                <w:color w:val="000000"/>
                <w:sz w:val="16"/>
                <w:szCs w:val="15"/>
                <w:lang w:val="es-MX" w:eastAsia="es-MX"/>
              </w:rPr>
            </w:pPr>
            <w:r w:rsidRPr="006055B7">
              <w:rPr>
                <w:rFonts w:cs="Arial"/>
                <w:b/>
                <w:snapToGrid/>
                <w:color w:val="000000"/>
                <w:sz w:val="16"/>
                <w:szCs w:val="15"/>
                <w:lang w:val="es-MX" w:eastAsia="es-MX"/>
              </w:rPr>
              <w:t>1.6</w:t>
            </w:r>
          </w:p>
        </w:tc>
      </w:tr>
      <w:tr w:rsidR="00421A91" w:rsidRPr="004B5894" w14:paraId="250E4DAD" w14:textId="77777777" w:rsidTr="00A77451">
        <w:trPr>
          <w:trHeight w:val="283"/>
          <w:jc w:val="center"/>
        </w:trPr>
        <w:tc>
          <w:tcPr>
            <w:tcW w:w="2365" w:type="dxa"/>
            <w:tcBorders>
              <w:top w:val="nil"/>
              <w:left w:val="double" w:sz="4" w:space="0" w:color="auto"/>
              <w:bottom w:val="nil"/>
              <w:right w:val="double" w:sz="4" w:space="0" w:color="auto"/>
            </w:tcBorders>
            <w:shd w:val="clear" w:color="auto" w:fill="auto"/>
            <w:vAlign w:val="center"/>
            <w:hideMark/>
          </w:tcPr>
          <w:p w14:paraId="53D67BE6" w14:textId="77777777" w:rsidR="00421A91" w:rsidRPr="00294709" w:rsidRDefault="00421A91" w:rsidP="00A77451">
            <w:pPr>
              <w:widowControl/>
              <w:rPr>
                <w:rFonts w:cs="Arial"/>
                <w:snapToGrid/>
                <w:color w:val="000000"/>
                <w:sz w:val="16"/>
                <w:lang w:val="es-MX" w:eastAsia="es-MX"/>
              </w:rPr>
            </w:pPr>
            <w:r w:rsidRPr="00294709">
              <w:rPr>
                <w:rFonts w:cs="Arial"/>
                <w:snapToGrid/>
                <w:color w:val="000000"/>
                <w:sz w:val="16"/>
                <w:lang w:val="es-MX" w:eastAsia="es-MX"/>
              </w:rPr>
              <w:t xml:space="preserve">     Actividades </w:t>
            </w:r>
            <w:r>
              <w:rPr>
                <w:rFonts w:cs="Arial"/>
                <w:snapToGrid/>
                <w:color w:val="000000"/>
                <w:sz w:val="16"/>
                <w:lang w:val="es-MX" w:eastAsia="es-MX"/>
              </w:rPr>
              <w:t>p</w:t>
            </w:r>
            <w:r w:rsidRPr="00294709">
              <w:rPr>
                <w:rFonts w:cs="Arial"/>
                <w:snapToGrid/>
                <w:color w:val="000000"/>
                <w:sz w:val="16"/>
                <w:lang w:val="es-MX" w:eastAsia="es-MX"/>
              </w:rPr>
              <w:t xml:space="preserve">rimarias </w:t>
            </w:r>
          </w:p>
        </w:tc>
        <w:tc>
          <w:tcPr>
            <w:tcW w:w="1758" w:type="dxa"/>
            <w:tcBorders>
              <w:top w:val="nil"/>
              <w:left w:val="double" w:sz="4" w:space="0" w:color="auto"/>
              <w:bottom w:val="nil"/>
              <w:right w:val="double" w:sz="4" w:space="0" w:color="auto"/>
            </w:tcBorders>
            <w:shd w:val="clear" w:color="auto" w:fill="auto"/>
            <w:vAlign w:val="center"/>
            <w:hideMark/>
          </w:tcPr>
          <w:p w14:paraId="665C1A18" w14:textId="77777777" w:rsidR="00421A91" w:rsidRPr="006055B7" w:rsidRDefault="00421A91" w:rsidP="00A77451">
            <w:pPr>
              <w:widowControl/>
              <w:ind w:right="680"/>
              <w:jc w:val="right"/>
              <w:rPr>
                <w:rFonts w:cs="Arial"/>
                <w:snapToGrid/>
                <w:color w:val="000000"/>
                <w:sz w:val="16"/>
                <w:szCs w:val="15"/>
                <w:lang w:val="es-MX" w:eastAsia="es-MX"/>
              </w:rPr>
            </w:pPr>
            <w:r w:rsidRPr="006055B7">
              <w:rPr>
                <w:rFonts w:cs="Arial"/>
                <w:snapToGrid/>
                <w:color w:val="000000"/>
                <w:sz w:val="16"/>
                <w:szCs w:val="15"/>
                <w:lang w:val="es-MX" w:eastAsia="es-MX"/>
              </w:rPr>
              <w:t>-1.9</w:t>
            </w:r>
          </w:p>
        </w:tc>
        <w:tc>
          <w:tcPr>
            <w:tcW w:w="1758" w:type="dxa"/>
            <w:tcBorders>
              <w:top w:val="nil"/>
              <w:left w:val="double" w:sz="4" w:space="0" w:color="auto"/>
              <w:bottom w:val="nil"/>
              <w:right w:val="double" w:sz="4" w:space="0" w:color="auto"/>
            </w:tcBorders>
            <w:shd w:val="clear" w:color="auto" w:fill="auto"/>
            <w:vAlign w:val="center"/>
            <w:hideMark/>
          </w:tcPr>
          <w:p w14:paraId="7661E800" w14:textId="77777777" w:rsidR="00421A91" w:rsidRPr="006055B7" w:rsidRDefault="00421A91" w:rsidP="00A77451">
            <w:pPr>
              <w:widowControl/>
              <w:ind w:right="680"/>
              <w:jc w:val="right"/>
              <w:rPr>
                <w:rFonts w:cs="Arial"/>
                <w:snapToGrid/>
                <w:color w:val="000000"/>
                <w:sz w:val="16"/>
                <w:szCs w:val="15"/>
                <w:lang w:val="es-MX" w:eastAsia="es-MX"/>
              </w:rPr>
            </w:pPr>
            <w:r w:rsidRPr="006055B7">
              <w:rPr>
                <w:rFonts w:cs="Arial"/>
                <w:snapToGrid/>
                <w:color w:val="000000"/>
                <w:sz w:val="16"/>
                <w:szCs w:val="15"/>
                <w:lang w:val="es-MX" w:eastAsia="es-MX"/>
              </w:rPr>
              <w:t>2.1</w:t>
            </w:r>
          </w:p>
        </w:tc>
      </w:tr>
      <w:tr w:rsidR="00421A91" w:rsidRPr="004B5894" w14:paraId="04679717" w14:textId="77777777" w:rsidTr="00A77451">
        <w:trPr>
          <w:trHeight w:val="283"/>
          <w:jc w:val="center"/>
        </w:trPr>
        <w:tc>
          <w:tcPr>
            <w:tcW w:w="2365" w:type="dxa"/>
            <w:tcBorders>
              <w:top w:val="nil"/>
              <w:left w:val="double" w:sz="4" w:space="0" w:color="auto"/>
              <w:bottom w:val="nil"/>
              <w:right w:val="double" w:sz="4" w:space="0" w:color="auto"/>
            </w:tcBorders>
            <w:shd w:val="clear" w:color="auto" w:fill="auto"/>
            <w:vAlign w:val="center"/>
            <w:hideMark/>
          </w:tcPr>
          <w:p w14:paraId="30C69B1F" w14:textId="77777777" w:rsidR="00421A91" w:rsidRPr="00294709" w:rsidRDefault="00421A91" w:rsidP="00A77451">
            <w:pPr>
              <w:widowControl/>
              <w:rPr>
                <w:rFonts w:cs="Arial"/>
                <w:snapToGrid/>
                <w:color w:val="000000"/>
                <w:sz w:val="16"/>
                <w:lang w:val="es-MX" w:eastAsia="es-MX"/>
              </w:rPr>
            </w:pPr>
            <w:r w:rsidRPr="00294709">
              <w:rPr>
                <w:rFonts w:cs="Arial"/>
                <w:snapToGrid/>
                <w:color w:val="000000"/>
                <w:sz w:val="16"/>
                <w:lang w:val="es-MX" w:eastAsia="es-MX"/>
              </w:rPr>
              <w:t xml:space="preserve">     Actividades </w:t>
            </w:r>
            <w:r>
              <w:rPr>
                <w:rFonts w:cs="Arial"/>
                <w:snapToGrid/>
                <w:color w:val="000000"/>
                <w:sz w:val="16"/>
                <w:lang w:val="es-MX" w:eastAsia="es-MX"/>
              </w:rPr>
              <w:t>s</w:t>
            </w:r>
            <w:r w:rsidRPr="00294709">
              <w:rPr>
                <w:rFonts w:cs="Arial"/>
                <w:snapToGrid/>
                <w:color w:val="000000"/>
                <w:sz w:val="16"/>
                <w:lang w:val="es-MX" w:eastAsia="es-MX"/>
              </w:rPr>
              <w:t xml:space="preserve">ecundarias </w:t>
            </w:r>
          </w:p>
        </w:tc>
        <w:tc>
          <w:tcPr>
            <w:tcW w:w="1758" w:type="dxa"/>
            <w:tcBorders>
              <w:top w:val="nil"/>
              <w:left w:val="double" w:sz="4" w:space="0" w:color="auto"/>
              <w:bottom w:val="nil"/>
              <w:right w:val="double" w:sz="4" w:space="0" w:color="auto"/>
            </w:tcBorders>
            <w:shd w:val="clear" w:color="auto" w:fill="auto"/>
            <w:vAlign w:val="center"/>
            <w:hideMark/>
          </w:tcPr>
          <w:p w14:paraId="4E39D3B8" w14:textId="77777777" w:rsidR="00421A91" w:rsidRPr="006055B7" w:rsidRDefault="00421A91" w:rsidP="00A77451">
            <w:pPr>
              <w:widowControl/>
              <w:ind w:right="680"/>
              <w:jc w:val="right"/>
              <w:rPr>
                <w:rFonts w:cs="Arial"/>
                <w:snapToGrid/>
                <w:color w:val="000000"/>
                <w:sz w:val="16"/>
                <w:szCs w:val="15"/>
                <w:lang w:val="es-MX" w:eastAsia="es-MX"/>
              </w:rPr>
            </w:pPr>
            <w:r w:rsidRPr="006055B7">
              <w:rPr>
                <w:rFonts w:cs="Arial"/>
                <w:snapToGrid/>
                <w:color w:val="000000"/>
                <w:sz w:val="16"/>
                <w:szCs w:val="15"/>
                <w:lang w:val="es-MX" w:eastAsia="es-MX"/>
              </w:rPr>
              <w:t>1.1</w:t>
            </w:r>
          </w:p>
        </w:tc>
        <w:tc>
          <w:tcPr>
            <w:tcW w:w="1758" w:type="dxa"/>
            <w:tcBorders>
              <w:top w:val="nil"/>
              <w:left w:val="double" w:sz="4" w:space="0" w:color="auto"/>
              <w:bottom w:val="nil"/>
              <w:right w:val="double" w:sz="4" w:space="0" w:color="auto"/>
            </w:tcBorders>
            <w:shd w:val="clear" w:color="auto" w:fill="auto"/>
            <w:vAlign w:val="center"/>
            <w:hideMark/>
          </w:tcPr>
          <w:p w14:paraId="1B7C236C" w14:textId="77777777" w:rsidR="00421A91" w:rsidRPr="006055B7" w:rsidRDefault="00421A91" w:rsidP="00A77451">
            <w:pPr>
              <w:widowControl/>
              <w:ind w:right="680"/>
              <w:jc w:val="right"/>
              <w:rPr>
                <w:rFonts w:cs="Arial"/>
                <w:snapToGrid/>
                <w:color w:val="000000"/>
                <w:sz w:val="16"/>
                <w:szCs w:val="15"/>
                <w:lang w:val="es-MX" w:eastAsia="es-MX"/>
              </w:rPr>
            </w:pPr>
            <w:r w:rsidRPr="006055B7">
              <w:rPr>
                <w:rFonts w:cs="Arial"/>
                <w:snapToGrid/>
                <w:color w:val="000000"/>
                <w:sz w:val="16"/>
                <w:szCs w:val="15"/>
                <w:lang w:val="es-MX" w:eastAsia="es-MX"/>
              </w:rPr>
              <w:t>2.8</w:t>
            </w:r>
          </w:p>
        </w:tc>
      </w:tr>
      <w:tr w:rsidR="00421A91" w:rsidRPr="004B5894" w14:paraId="21839472" w14:textId="77777777" w:rsidTr="00A77451">
        <w:trPr>
          <w:trHeight w:val="283"/>
          <w:jc w:val="center"/>
        </w:trPr>
        <w:tc>
          <w:tcPr>
            <w:tcW w:w="2365" w:type="dxa"/>
            <w:tcBorders>
              <w:top w:val="nil"/>
              <w:left w:val="double" w:sz="4" w:space="0" w:color="auto"/>
              <w:bottom w:val="double" w:sz="4" w:space="0" w:color="auto"/>
              <w:right w:val="double" w:sz="4" w:space="0" w:color="auto"/>
            </w:tcBorders>
            <w:shd w:val="clear" w:color="auto" w:fill="auto"/>
            <w:vAlign w:val="center"/>
            <w:hideMark/>
          </w:tcPr>
          <w:p w14:paraId="151C1152" w14:textId="77777777" w:rsidR="00421A91" w:rsidRPr="00294709" w:rsidRDefault="00421A91" w:rsidP="00A77451">
            <w:pPr>
              <w:widowControl/>
              <w:rPr>
                <w:rFonts w:cs="Arial"/>
                <w:snapToGrid/>
                <w:color w:val="000000"/>
                <w:sz w:val="16"/>
                <w:lang w:val="es-MX" w:eastAsia="es-MX"/>
              </w:rPr>
            </w:pPr>
            <w:r w:rsidRPr="00294709">
              <w:rPr>
                <w:rFonts w:cs="Arial"/>
                <w:snapToGrid/>
                <w:color w:val="000000"/>
                <w:sz w:val="16"/>
                <w:lang w:val="es-MX" w:eastAsia="es-MX"/>
              </w:rPr>
              <w:t xml:space="preserve">     Actividades </w:t>
            </w:r>
            <w:r>
              <w:rPr>
                <w:rFonts w:cs="Arial"/>
                <w:snapToGrid/>
                <w:color w:val="000000"/>
                <w:sz w:val="16"/>
                <w:lang w:val="es-MX" w:eastAsia="es-MX"/>
              </w:rPr>
              <w:t>t</w:t>
            </w:r>
            <w:r w:rsidRPr="00294709">
              <w:rPr>
                <w:rFonts w:cs="Arial"/>
                <w:snapToGrid/>
                <w:color w:val="000000"/>
                <w:sz w:val="16"/>
                <w:lang w:val="es-MX" w:eastAsia="es-MX"/>
              </w:rPr>
              <w:t xml:space="preserve">erciarias </w:t>
            </w:r>
          </w:p>
        </w:tc>
        <w:tc>
          <w:tcPr>
            <w:tcW w:w="1758" w:type="dxa"/>
            <w:tcBorders>
              <w:top w:val="nil"/>
              <w:left w:val="double" w:sz="4" w:space="0" w:color="auto"/>
              <w:bottom w:val="double" w:sz="4" w:space="0" w:color="auto"/>
              <w:right w:val="double" w:sz="4" w:space="0" w:color="auto"/>
            </w:tcBorders>
            <w:shd w:val="clear" w:color="auto" w:fill="auto"/>
            <w:vAlign w:val="center"/>
            <w:hideMark/>
          </w:tcPr>
          <w:p w14:paraId="70D12099" w14:textId="77777777" w:rsidR="00421A91" w:rsidRPr="006055B7" w:rsidRDefault="00421A91" w:rsidP="00A77451">
            <w:pPr>
              <w:widowControl/>
              <w:ind w:right="680"/>
              <w:jc w:val="right"/>
              <w:rPr>
                <w:rFonts w:cs="Arial"/>
                <w:snapToGrid/>
                <w:color w:val="000000"/>
                <w:sz w:val="16"/>
                <w:szCs w:val="15"/>
                <w:lang w:val="es-MX" w:eastAsia="es-MX"/>
              </w:rPr>
            </w:pPr>
            <w:r w:rsidRPr="006055B7">
              <w:rPr>
                <w:rFonts w:cs="Arial"/>
                <w:snapToGrid/>
                <w:color w:val="000000"/>
                <w:sz w:val="16"/>
                <w:szCs w:val="15"/>
                <w:lang w:val="es-MX" w:eastAsia="es-MX"/>
              </w:rPr>
              <w:t>1.1</w:t>
            </w:r>
          </w:p>
        </w:tc>
        <w:tc>
          <w:tcPr>
            <w:tcW w:w="1758" w:type="dxa"/>
            <w:tcBorders>
              <w:top w:val="nil"/>
              <w:left w:val="double" w:sz="4" w:space="0" w:color="auto"/>
              <w:bottom w:val="double" w:sz="4" w:space="0" w:color="auto"/>
              <w:right w:val="double" w:sz="4" w:space="0" w:color="auto"/>
            </w:tcBorders>
            <w:shd w:val="clear" w:color="auto" w:fill="auto"/>
            <w:vAlign w:val="center"/>
            <w:hideMark/>
          </w:tcPr>
          <w:p w14:paraId="21DC750F" w14:textId="77777777" w:rsidR="00421A91" w:rsidRPr="006055B7" w:rsidRDefault="00421A91" w:rsidP="00A77451">
            <w:pPr>
              <w:widowControl/>
              <w:ind w:right="680"/>
              <w:jc w:val="right"/>
              <w:rPr>
                <w:rFonts w:cs="Arial"/>
                <w:snapToGrid/>
                <w:color w:val="000000"/>
                <w:sz w:val="16"/>
                <w:szCs w:val="15"/>
                <w:lang w:val="es-MX" w:eastAsia="es-MX"/>
              </w:rPr>
            </w:pPr>
            <w:r w:rsidRPr="006055B7">
              <w:rPr>
                <w:rFonts w:cs="Arial"/>
                <w:snapToGrid/>
                <w:color w:val="000000"/>
                <w:sz w:val="16"/>
                <w:szCs w:val="15"/>
                <w:lang w:val="es-MX" w:eastAsia="es-MX"/>
              </w:rPr>
              <w:t>0.6</w:t>
            </w:r>
          </w:p>
        </w:tc>
      </w:tr>
    </w:tbl>
    <w:p w14:paraId="4FE2A4A4" w14:textId="77777777" w:rsidR="00421A91" w:rsidRDefault="00421A91" w:rsidP="00C539C7">
      <w:pPr>
        <w:pStyle w:val="bullet"/>
        <w:numPr>
          <w:ilvl w:val="0"/>
          <w:numId w:val="0"/>
        </w:numPr>
        <w:spacing w:before="0"/>
        <w:ind w:left="2127" w:right="2034"/>
        <w:contextualSpacing/>
        <w:rPr>
          <w:rFonts w:cs="Arial"/>
          <w:b w:val="0"/>
          <w:color w:val="000000" w:themeColor="text1"/>
          <w:sz w:val="16"/>
          <w:szCs w:val="16"/>
          <w:lang w:val="es-MX"/>
        </w:rPr>
      </w:pPr>
      <w:r w:rsidRPr="00A0204E">
        <w:rPr>
          <w:rFonts w:cs="Arial"/>
          <w:b w:val="0"/>
          <w:color w:val="000000" w:themeColor="text1"/>
          <w:sz w:val="16"/>
          <w:szCs w:val="16"/>
          <w:lang w:val="es-MX"/>
        </w:rPr>
        <w:t xml:space="preserve">Notas: Cifras </w:t>
      </w:r>
      <w:r>
        <w:rPr>
          <w:rFonts w:cs="Arial"/>
          <w:b w:val="0"/>
          <w:color w:val="000000" w:themeColor="text1"/>
          <w:sz w:val="16"/>
          <w:szCs w:val="16"/>
          <w:lang w:val="es-MX"/>
        </w:rPr>
        <w:t>o</w:t>
      </w:r>
      <w:r w:rsidRPr="00A0204E">
        <w:rPr>
          <w:rFonts w:cs="Arial"/>
          <w:b w:val="0"/>
          <w:color w:val="000000" w:themeColor="text1"/>
          <w:sz w:val="16"/>
          <w:szCs w:val="16"/>
          <w:lang w:val="es-MX"/>
        </w:rPr>
        <w:t>portunas. La estimación oportuna no re</w:t>
      </w:r>
      <w:r>
        <w:rPr>
          <w:rFonts w:cs="Arial"/>
          <w:b w:val="0"/>
          <w:color w:val="000000" w:themeColor="text1"/>
          <w:sz w:val="16"/>
          <w:szCs w:val="16"/>
          <w:lang w:val="es-MX"/>
        </w:rPr>
        <w:t>e</w:t>
      </w:r>
      <w:r w:rsidRPr="00A0204E">
        <w:rPr>
          <w:rFonts w:cs="Arial"/>
          <w:b w:val="0"/>
          <w:color w:val="000000" w:themeColor="text1"/>
          <w:sz w:val="16"/>
          <w:szCs w:val="16"/>
          <w:lang w:val="es-MX"/>
        </w:rPr>
        <w:t>mplaza a la estimación</w:t>
      </w:r>
      <w:r>
        <w:rPr>
          <w:rFonts w:cs="Arial"/>
          <w:b w:val="0"/>
          <w:color w:val="000000" w:themeColor="text1"/>
          <w:sz w:val="16"/>
          <w:szCs w:val="16"/>
          <w:lang w:val="es-MX"/>
        </w:rPr>
        <w:t xml:space="preserve"> </w:t>
      </w:r>
      <w:r w:rsidRPr="00A0204E">
        <w:rPr>
          <w:rFonts w:cs="Arial"/>
          <w:b w:val="0"/>
          <w:color w:val="000000" w:themeColor="text1"/>
          <w:sz w:val="16"/>
          <w:szCs w:val="16"/>
          <w:lang w:val="es-MX"/>
        </w:rPr>
        <w:t>tradicional.</w:t>
      </w:r>
    </w:p>
    <w:p w14:paraId="44D30F81" w14:textId="77777777" w:rsidR="00421A91" w:rsidRDefault="00421A91" w:rsidP="00C539C7">
      <w:pPr>
        <w:pStyle w:val="bullet"/>
        <w:numPr>
          <w:ilvl w:val="0"/>
          <w:numId w:val="0"/>
        </w:numPr>
        <w:spacing w:before="0"/>
        <w:ind w:left="2127" w:right="2034"/>
        <w:contextualSpacing/>
        <w:rPr>
          <w:rFonts w:cs="Arial"/>
          <w:b w:val="0"/>
          <w:color w:val="auto"/>
          <w:sz w:val="16"/>
        </w:rPr>
      </w:pPr>
      <w:r w:rsidRPr="009570BB">
        <w:rPr>
          <w:rFonts w:cs="Arial"/>
          <w:b w:val="0"/>
          <w:color w:val="auto"/>
          <w:sz w:val="16"/>
        </w:rPr>
        <w:t>La serie desestacionalizada de</w:t>
      </w:r>
      <w:r>
        <w:rPr>
          <w:rFonts w:cs="Arial"/>
          <w:b w:val="0"/>
          <w:color w:val="auto"/>
          <w:sz w:val="16"/>
        </w:rPr>
        <w:t>l</w:t>
      </w:r>
      <w:r w:rsidRPr="009570BB">
        <w:rPr>
          <w:rFonts w:cs="Arial"/>
          <w:b w:val="0"/>
          <w:color w:val="auto"/>
          <w:sz w:val="16"/>
        </w:rPr>
        <w:t xml:space="preserve"> </w:t>
      </w:r>
      <w:r>
        <w:rPr>
          <w:rFonts w:cs="Arial"/>
          <w:b w:val="0"/>
          <w:color w:val="auto"/>
          <w:sz w:val="16"/>
        </w:rPr>
        <w:t>agregado</w:t>
      </w:r>
      <w:r w:rsidRPr="009570BB">
        <w:rPr>
          <w:rFonts w:cs="Arial"/>
          <w:b w:val="0"/>
          <w:color w:val="auto"/>
          <w:sz w:val="16"/>
        </w:rPr>
        <w:t xml:space="preserve"> se calcula de manera independiente a la de sus</w:t>
      </w:r>
      <w:r>
        <w:rPr>
          <w:rFonts w:cs="Arial"/>
          <w:b w:val="0"/>
          <w:color w:val="auto"/>
          <w:sz w:val="16"/>
        </w:rPr>
        <w:t xml:space="preserve"> </w:t>
      </w:r>
      <w:r w:rsidRPr="009570BB">
        <w:rPr>
          <w:rFonts w:cs="Arial"/>
          <w:b w:val="0"/>
          <w:color w:val="auto"/>
          <w:sz w:val="16"/>
        </w:rPr>
        <w:t>componentes.</w:t>
      </w:r>
    </w:p>
    <w:p w14:paraId="70069F3A" w14:textId="77777777" w:rsidR="00421A91" w:rsidRPr="002424FB" w:rsidRDefault="00421A91" w:rsidP="00394E6F">
      <w:pPr>
        <w:pStyle w:val="bullet"/>
        <w:numPr>
          <w:ilvl w:val="0"/>
          <w:numId w:val="0"/>
        </w:numPr>
        <w:spacing w:before="0"/>
        <w:ind w:left="2127" w:right="2175"/>
        <w:contextualSpacing/>
        <w:rPr>
          <w:rFonts w:cs="Arial"/>
          <w:b w:val="0"/>
          <w:color w:val="000000" w:themeColor="text1"/>
          <w:sz w:val="16"/>
          <w:szCs w:val="16"/>
        </w:rPr>
      </w:pPr>
      <w:r w:rsidRPr="002424FB">
        <w:rPr>
          <w:rFonts w:cs="Arial"/>
          <w:b w:val="0"/>
          <w:color w:val="000000" w:themeColor="text1"/>
          <w:sz w:val="16"/>
          <w:szCs w:val="16"/>
        </w:rPr>
        <w:t>Fuente: INEGI.</w:t>
      </w:r>
    </w:p>
    <w:p w14:paraId="49176C54" w14:textId="77777777" w:rsidR="00421A91" w:rsidRDefault="00421A91" w:rsidP="00394E6F">
      <w:pPr>
        <w:pStyle w:val="bullet"/>
        <w:numPr>
          <w:ilvl w:val="0"/>
          <w:numId w:val="0"/>
        </w:numPr>
        <w:spacing w:before="0"/>
        <w:ind w:right="49"/>
        <w:rPr>
          <w:b w:val="0"/>
          <w:color w:val="auto"/>
          <w:szCs w:val="24"/>
        </w:rPr>
      </w:pPr>
    </w:p>
    <w:p w14:paraId="22A3C0E3" w14:textId="77777777" w:rsidR="00421A91" w:rsidRPr="00394E6F" w:rsidRDefault="00421A91" w:rsidP="00394E6F">
      <w:pPr>
        <w:pStyle w:val="bullet"/>
        <w:numPr>
          <w:ilvl w:val="0"/>
          <w:numId w:val="0"/>
        </w:numPr>
        <w:spacing w:before="360"/>
        <w:ind w:right="49"/>
        <w:rPr>
          <w:rFonts w:cs="Arial"/>
          <w:b w:val="0"/>
          <w:color w:val="auto"/>
          <w:sz w:val="24"/>
          <w:szCs w:val="24"/>
        </w:rPr>
      </w:pPr>
      <w:r w:rsidRPr="00394E6F">
        <w:rPr>
          <w:rFonts w:cs="Arial"/>
          <w:b w:val="0"/>
          <w:color w:val="auto"/>
          <w:sz w:val="24"/>
          <w:szCs w:val="24"/>
        </w:rPr>
        <w:t>En el trimestre enero-marzo de 2022, a tasa anual y con series ajustadas estacionalmente la Estimación Oportuna del Producto Interno Bruto mostró un crecimiento real de 1.6%. Por actividad económica, los incrementos fueron de 2.1% en las actividades primarias, 2.8% en las secundarias y 0.6% en las actividades terciarias.</w:t>
      </w:r>
    </w:p>
    <w:p w14:paraId="7F2B8D4B" w14:textId="77777777" w:rsidR="00421A91" w:rsidRDefault="00421A91" w:rsidP="00394E6F">
      <w:pPr>
        <w:pStyle w:val="bullet"/>
        <w:numPr>
          <w:ilvl w:val="0"/>
          <w:numId w:val="0"/>
        </w:numPr>
        <w:spacing w:before="120"/>
        <w:ind w:right="49"/>
        <w:rPr>
          <w:color w:val="auto"/>
        </w:rPr>
      </w:pPr>
    </w:p>
    <w:p w14:paraId="44D8655D" w14:textId="77777777" w:rsidR="00421A91" w:rsidRPr="008963D8" w:rsidRDefault="00421A91" w:rsidP="00421A91">
      <w:pPr>
        <w:pStyle w:val="bullet"/>
        <w:spacing w:before="0"/>
        <w:ind w:left="-284" w:right="-567" w:firstLine="0"/>
        <w:rPr>
          <w:b w:val="0"/>
          <w:color w:val="auto"/>
          <w:sz w:val="4"/>
          <w:szCs w:val="4"/>
        </w:rPr>
      </w:pPr>
    </w:p>
    <w:p w14:paraId="3D3E4F27" w14:textId="77777777" w:rsidR="008920D0" w:rsidRDefault="008920D0">
      <w:pPr>
        <w:widowControl/>
        <w:rPr>
          <w:rFonts w:cs="Arial"/>
          <w:color w:val="000000" w:themeColor="text1"/>
          <w:szCs w:val="24"/>
        </w:rPr>
      </w:pPr>
      <w:r>
        <w:rPr>
          <w:rFonts w:cs="Arial"/>
          <w:b/>
          <w:color w:val="000000" w:themeColor="text1"/>
          <w:szCs w:val="24"/>
        </w:rPr>
        <w:br w:type="page"/>
      </w:r>
    </w:p>
    <w:p w14:paraId="3CB58903" w14:textId="20DC448B" w:rsidR="00421A91" w:rsidRPr="00394E6F" w:rsidRDefault="00421A91" w:rsidP="00394E6F">
      <w:pPr>
        <w:pStyle w:val="bullet"/>
        <w:numPr>
          <w:ilvl w:val="0"/>
          <w:numId w:val="0"/>
        </w:numPr>
        <w:shd w:val="clear" w:color="auto" w:fill="FFFFFF" w:themeFill="background1"/>
        <w:spacing w:before="100" w:beforeAutospacing="1" w:after="480"/>
        <w:ind w:right="49"/>
        <w:rPr>
          <w:rFonts w:cs="Arial"/>
          <w:b w:val="0"/>
          <w:color w:val="000000" w:themeColor="text1"/>
          <w:sz w:val="24"/>
          <w:szCs w:val="24"/>
        </w:rPr>
      </w:pPr>
      <w:r w:rsidRPr="00394E6F">
        <w:rPr>
          <w:rFonts w:cs="Arial"/>
          <w:b w:val="0"/>
          <w:color w:val="000000" w:themeColor="text1"/>
          <w:sz w:val="24"/>
          <w:szCs w:val="24"/>
        </w:rPr>
        <w:lastRenderedPageBreak/>
        <w:t xml:space="preserve">Cabe señalar que las estimaciones oportunas proporcionadas en este comunicado podrían cambiar respecto a las cifras generadas para el PIB trimestral tradicional, las cuales se </w:t>
      </w:r>
      <w:r w:rsidRPr="00394E6F">
        <w:rPr>
          <w:rFonts w:cs="Arial"/>
          <w:b w:val="0"/>
          <w:color w:val="000000" w:themeColor="text1"/>
          <w:sz w:val="24"/>
          <w:szCs w:val="24"/>
          <w:shd w:val="clear" w:color="auto" w:fill="FFFFFF" w:themeFill="background1"/>
        </w:rPr>
        <w:t>publicarán el próximo 25 de mayo de 2022.</w:t>
      </w:r>
    </w:p>
    <w:bookmarkEnd w:id="0"/>
    <w:p w14:paraId="1B5604F8" w14:textId="77777777" w:rsidR="00421A91" w:rsidRPr="00B12BAF" w:rsidRDefault="00421A91" w:rsidP="00421A91">
      <w:pPr>
        <w:pStyle w:val="Ttulo4"/>
        <w:keepNext w:val="0"/>
        <w:keepLines w:val="0"/>
        <w:widowControl w:val="0"/>
        <w:spacing w:before="0"/>
        <w:jc w:val="center"/>
        <w:rPr>
          <w:rFonts w:ascii="Arial" w:eastAsia="Times New Roman" w:hAnsi="Arial" w:cs="Arial"/>
          <w:b/>
          <w:i w:val="0"/>
          <w:iCs w:val="0"/>
          <w:smallCaps/>
          <w:snapToGrid w:val="0"/>
          <w:color w:val="auto"/>
          <w:sz w:val="16"/>
          <w:szCs w:val="16"/>
          <w:lang w:val="es-MX"/>
        </w:rPr>
      </w:pPr>
    </w:p>
    <w:p w14:paraId="4E095F81" w14:textId="77777777" w:rsidR="00421A91" w:rsidRPr="007422D5" w:rsidRDefault="00421A91" w:rsidP="00421A91">
      <w:pPr>
        <w:pStyle w:val="bulnot"/>
        <w:widowControl w:val="0"/>
        <w:tabs>
          <w:tab w:val="clear" w:pos="851"/>
        </w:tabs>
        <w:spacing w:before="0"/>
        <w:ind w:left="1276" w:right="952" w:firstLine="0"/>
        <w:rPr>
          <w:sz w:val="4"/>
          <w:szCs w:val="4"/>
        </w:rPr>
      </w:pPr>
    </w:p>
    <w:p w14:paraId="58A1C7A8" w14:textId="77777777" w:rsidR="00421A91" w:rsidRPr="002424FB" w:rsidRDefault="00421A91" w:rsidP="00421A91">
      <w:pPr>
        <w:pStyle w:val="p0"/>
        <w:spacing w:before="180"/>
        <w:rPr>
          <w:rFonts w:cs="Arial"/>
          <w:b/>
          <w:i/>
          <w:smallCaps/>
          <w:color w:val="auto"/>
          <w:szCs w:val="24"/>
        </w:rPr>
      </w:pPr>
      <w:r w:rsidRPr="002424FB">
        <w:rPr>
          <w:rFonts w:cs="Arial"/>
          <w:b/>
          <w:i/>
          <w:smallCaps/>
          <w:color w:val="auto"/>
          <w:szCs w:val="24"/>
        </w:rPr>
        <w:t>Nota al usuario</w:t>
      </w:r>
    </w:p>
    <w:p w14:paraId="5175522B" w14:textId="77777777" w:rsidR="00421A91" w:rsidRPr="008D416C" w:rsidRDefault="00421A91" w:rsidP="00421A91">
      <w:pPr>
        <w:pStyle w:val="p0"/>
        <w:rPr>
          <w:color w:val="auto"/>
        </w:rPr>
      </w:pPr>
      <w:r w:rsidRPr="008D416C">
        <w:rPr>
          <w:color w:val="auto"/>
        </w:rPr>
        <w:t>En los meses de enero y febrero de 2022, la tasa de no respuesta en la captación de las encuestas económicas que se consideraron para la Estimación Oportuna del PIB Trimestral</w:t>
      </w:r>
      <w:r w:rsidRPr="003711A0">
        <w:rPr>
          <w:bCs/>
          <w:smallCaps/>
          <w:color w:val="auto"/>
          <w:vertAlign w:val="superscript"/>
        </w:rPr>
        <w:footnoteReference w:id="4"/>
      </w:r>
      <w:r w:rsidRPr="003711A0">
        <w:rPr>
          <w:bCs/>
          <w:color w:val="auto"/>
        </w:rPr>
        <w:t xml:space="preserve"> </w:t>
      </w:r>
      <w:r w:rsidRPr="008D416C">
        <w:rPr>
          <w:color w:val="auto"/>
        </w:rPr>
        <w:t>registró porcentajes apropiados de acuerdo con el diseño estadístico de las muestras. Asimismo, la captación de estadísticas, de los registros administrativos y los datos primarios que divulga el Instituto permitió la generación de estadísticas con niveles altos de cobertura y precisión estadística, para la generación de los modelos de estimación del mes de marzo de 2022.</w:t>
      </w:r>
    </w:p>
    <w:p w14:paraId="1CDE292B" w14:textId="77777777" w:rsidR="00421A91" w:rsidRPr="004209C7" w:rsidRDefault="00421A91" w:rsidP="00421A91">
      <w:pPr>
        <w:pStyle w:val="p0"/>
        <w:rPr>
          <w:color w:val="auto"/>
        </w:rPr>
      </w:pPr>
      <w:r w:rsidRPr="008D416C">
        <w:rPr>
          <w:color w:val="auto"/>
        </w:rPr>
        <w:t>Para las actividades agropecuarias, de servicios financieros y del gobierno se incluyeron los registros administrativos provenientes de las empresas y Unidades del Estado que se recibieron oportunamente vía correo electrónico y captación por internet.</w:t>
      </w:r>
    </w:p>
    <w:p w14:paraId="11DE1F88" w14:textId="77777777" w:rsidR="00421A91" w:rsidRDefault="00421A91" w:rsidP="00421A91">
      <w:pPr>
        <w:spacing w:before="240"/>
        <w:jc w:val="center"/>
        <w:rPr>
          <w:sz w:val="20"/>
        </w:rPr>
      </w:pPr>
    </w:p>
    <w:p w14:paraId="116C4DC5" w14:textId="77777777" w:rsidR="00421A91" w:rsidRDefault="00421A91" w:rsidP="00421A91">
      <w:pPr>
        <w:spacing w:before="240"/>
        <w:jc w:val="center"/>
        <w:rPr>
          <w:sz w:val="20"/>
        </w:rPr>
      </w:pPr>
    </w:p>
    <w:p w14:paraId="02F03C3D" w14:textId="77777777" w:rsidR="00421A91" w:rsidRDefault="00421A91" w:rsidP="00421A91">
      <w:pPr>
        <w:spacing w:before="240"/>
        <w:jc w:val="center"/>
        <w:rPr>
          <w:sz w:val="20"/>
        </w:rPr>
      </w:pPr>
    </w:p>
    <w:p w14:paraId="55439014" w14:textId="77777777" w:rsidR="00421A91" w:rsidRDefault="00421A91" w:rsidP="00421A91">
      <w:pPr>
        <w:spacing w:before="240"/>
        <w:jc w:val="center"/>
        <w:rPr>
          <w:sz w:val="20"/>
        </w:rPr>
      </w:pPr>
    </w:p>
    <w:p w14:paraId="1BFB37A5" w14:textId="77777777" w:rsidR="00421A91" w:rsidRDefault="00421A91" w:rsidP="00421A91">
      <w:pPr>
        <w:spacing w:before="240"/>
        <w:jc w:val="center"/>
        <w:rPr>
          <w:sz w:val="20"/>
        </w:rPr>
      </w:pPr>
    </w:p>
    <w:p w14:paraId="0254792A" w14:textId="77777777" w:rsidR="00421A91" w:rsidRPr="008801F1" w:rsidRDefault="00421A91" w:rsidP="00421A91">
      <w:pPr>
        <w:spacing w:before="240"/>
        <w:jc w:val="center"/>
        <w:rPr>
          <w:rFonts w:cs="Arial"/>
          <w:sz w:val="22"/>
          <w:szCs w:val="22"/>
        </w:rPr>
      </w:pPr>
      <w:r w:rsidRPr="008801F1">
        <w:rPr>
          <w:rFonts w:cs="Arial"/>
          <w:sz w:val="22"/>
          <w:szCs w:val="22"/>
        </w:rPr>
        <w:t xml:space="preserve">Para consultas de medios y periodistas, contactar a: </w:t>
      </w:r>
      <w:hyperlink r:id="rId8" w:history="1">
        <w:r w:rsidRPr="008801F1">
          <w:rPr>
            <w:rStyle w:val="Hipervnculo"/>
            <w:rFonts w:cs="Arial"/>
            <w:sz w:val="22"/>
            <w:szCs w:val="22"/>
          </w:rPr>
          <w:t>comunicacionsocial@inegi.org.mx</w:t>
        </w:r>
      </w:hyperlink>
    </w:p>
    <w:p w14:paraId="7DB8E4E5" w14:textId="77777777" w:rsidR="00421A91" w:rsidRPr="008801F1" w:rsidRDefault="00421A91" w:rsidP="00421A91">
      <w:pPr>
        <w:pStyle w:val="NormalWeb"/>
        <w:spacing w:before="0" w:beforeAutospacing="0" w:after="0" w:afterAutospacing="0"/>
        <w:ind w:left="-426" w:right="-518"/>
        <w:contextualSpacing/>
        <w:jc w:val="center"/>
        <w:rPr>
          <w:sz w:val="22"/>
          <w:szCs w:val="22"/>
        </w:rPr>
      </w:pPr>
      <w:r w:rsidRPr="008801F1">
        <w:rPr>
          <w:sz w:val="22"/>
          <w:szCs w:val="22"/>
        </w:rPr>
        <w:t xml:space="preserve">o llamar al teléfono (55) 52-78-10-00, </w:t>
      </w:r>
      <w:proofErr w:type="spellStart"/>
      <w:r w:rsidRPr="008801F1">
        <w:rPr>
          <w:sz w:val="22"/>
          <w:szCs w:val="22"/>
        </w:rPr>
        <w:t>exts</w:t>
      </w:r>
      <w:proofErr w:type="spellEnd"/>
      <w:r w:rsidRPr="008801F1">
        <w:rPr>
          <w:sz w:val="22"/>
          <w:szCs w:val="22"/>
        </w:rPr>
        <w:t>. 1134, 1260 y 1241.</w:t>
      </w:r>
    </w:p>
    <w:p w14:paraId="39321E94" w14:textId="77777777" w:rsidR="00421A91" w:rsidRPr="008801F1" w:rsidRDefault="00421A91" w:rsidP="00421A91">
      <w:pPr>
        <w:pStyle w:val="NormalWeb"/>
        <w:spacing w:before="0" w:beforeAutospacing="0" w:after="0" w:afterAutospacing="0"/>
        <w:ind w:left="-426" w:right="-518"/>
        <w:contextualSpacing/>
        <w:jc w:val="center"/>
        <w:rPr>
          <w:sz w:val="22"/>
          <w:szCs w:val="22"/>
        </w:rPr>
      </w:pPr>
    </w:p>
    <w:p w14:paraId="52CBE836" w14:textId="77777777" w:rsidR="00421A91" w:rsidRPr="008801F1" w:rsidRDefault="00421A91" w:rsidP="00421A91">
      <w:pPr>
        <w:pStyle w:val="NormalWeb"/>
        <w:spacing w:before="720" w:beforeAutospacing="0" w:after="0" w:afterAutospacing="0"/>
        <w:ind w:left="-426" w:right="-518"/>
        <w:contextualSpacing/>
        <w:jc w:val="center"/>
        <w:rPr>
          <w:sz w:val="22"/>
          <w:szCs w:val="22"/>
        </w:rPr>
      </w:pPr>
      <w:r w:rsidRPr="008801F1">
        <w:rPr>
          <w:sz w:val="22"/>
          <w:szCs w:val="22"/>
        </w:rPr>
        <w:t>Dirección de Atención a Medios / Dirección General Adjunta de Comunicación</w:t>
      </w:r>
    </w:p>
    <w:p w14:paraId="73982E4A" w14:textId="77777777" w:rsidR="00421A91" w:rsidRDefault="00421A91" w:rsidP="00421A91">
      <w:pPr>
        <w:spacing w:before="120"/>
        <w:ind w:left="-425" w:right="-516"/>
        <w:contextualSpacing/>
        <w:jc w:val="center"/>
        <w:rPr>
          <w:noProof/>
          <w:lang w:eastAsia="es-MX"/>
        </w:rPr>
        <w:sectPr w:rsidR="00421A91" w:rsidSect="007D6C17">
          <w:headerReference w:type="default" r:id="rId9"/>
          <w:footerReference w:type="default" r:id="rId10"/>
          <w:pgSz w:w="12240" w:h="15840"/>
          <w:pgMar w:top="1418" w:right="1134" w:bottom="1276" w:left="1134" w:header="709" w:footer="709" w:gutter="0"/>
          <w:cols w:space="708"/>
          <w:docGrid w:linePitch="360"/>
        </w:sectPr>
      </w:pPr>
      <w:r w:rsidRPr="00FF1218">
        <w:rPr>
          <w:noProof/>
          <w:lang w:val="es-MX" w:eastAsia="es-MX"/>
        </w:rPr>
        <w:drawing>
          <wp:inline distT="0" distB="0" distL="0" distR="0" wp14:anchorId="4DC8718A" wp14:editId="1DB894E6">
            <wp:extent cx="274320" cy="365760"/>
            <wp:effectExtent l="0" t="0" r="0" b="0"/>
            <wp:docPr id="25" name="Imagen 25" descr="C:\Users\saladeprensa\Desktop\NVOS LOGOS\F.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D350642" wp14:editId="063DEF7E">
            <wp:extent cx="365760" cy="365760"/>
            <wp:effectExtent l="0" t="0" r="0" b="0"/>
            <wp:docPr id="27" name="Imagen 27" descr="C:\Users\saladeprensa\Desktop\NVOS LOGOS\I.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1195C44" wp14:editId="14F5459E">
            <wp:extent cx="365760" cy="365760"/>
            <wp:effectExtent l="0" t="0" r="0" b="0"/>
            <wp:docPr id="28" name="Imagen 28" descr="C:\Users\saladeprensa\Desktop\NVOS LOGOS\T.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07C789F" wp14:editId="622C2468">
            <wp:extent cx="365760" cy="365760"/>
            <wp:effectExtent l="0" t="0" r="0" b="0"/>
            <wp:docPr id="29" name="Imagen 29" descr="C:\Users\saladeprensa\Desktop\NVOS LOGOS\Y.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527D8FE8" wp14:editId="3606A73A">
            <wp:extent cx="2286000" cy="274320"/>
            <wp:effectExtent l="0" t="0" r="0" b="0"/>
            <wp:docPr id="30" name="Imagen 30">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3034C272" w14:textId="77777777" w:rsidR="00421A91" w:rsidRPr="002A470D" w:rsidRDefault="00421A91" w:rsidP="00421A91">
      <w:pPr>
        <w:pStyle w:val="Profesin"/>
        <w:outlineLvl w:val="0"/>
        <w:rPr>
          <w:sz w:val="24"/>
          <w:szCs w:val="24"/>
          <w:lang w:val="es-MX"/>
        </w:rPr>
      </w:pPr>
      <w:r w:rsidRPr="002A470D">
        <w:rPr>
          <w:sz w:val="24"/>
          <w:szCs w:val="24"/>
          <w:lang w:val="es-MX"/>
        </w:rPr>
        <w:lastRenderedPageBreak/>
        <w:t>ANEXO</w:t>
      </w:r>
    </w:p>
    <w:p w14:paraId="7314691A" w14:textId="77777777" w:rsidR="00421A91" w:rsidRPr="002A470D" w:rsidRDefault="00421A91" w:rsidP="00421A91">
      <w:pPr>
        <w:pStyle w:val="Profesin"/>
        <w:spacing w:before="240"/>
        <w:outlineLvl w:val="0"/>
        <w:rPr>
          <w:sz w:val="24"/>
          <w:szCs w:val="24"/>
          <w:lang w:val="es-MX"/>
        </w:rPr>
      </w:pPr>
      <w:r w:rsidRPr="002A470D">
        <w:rPr>
          <w:sz w:val="24"/>
          <w:szCs w:val="24"/>
          <w:lang w:val="es-MX"/>
        </w:rPr>
        <w:t>Nota técnica</w:t>
      </w:r>
    </w:p>
    <w:p w14:paraId="3526793C" w14:textId="032AF35E" w:rsidR="00454C88" w:rsidRDefault="00454C88" w:rsidP="00C73678">
      <w:pPr>
        <w:pStyle w:val="bullet"/>
        <w:numPr>
          <w:ilvl w:val="0"/>
          <w:numId w:val="0"/>
        </w:numPr>
        <w:spacing w:before="120"/>
        <w:ind w:left="851" w:right="851"/>
        <w:rPr>
          <w:color w:val="auto"/>
        </w:rPr>
      </w:pPr>
    </w:p>
    <w:p w14:paraId="6DF2CFDE" w14:textId="77777777" w:rsidR="00B35528" w:rsidRPr="00D13A19" w:rsidRDefault="00B35528" w:rsidP="00981D4C">
      <w:pPr>
        <w:pStyle w:val="bullet"/>
        <w:numPr>
          <w:ilvl w:val="0"/>
          <w:numId w:val="0"/>
        </w:numPr>
        <w:spacing w:before="360"/>
        <w:ind w:right="902"/>
        <w:rPr>
          <w:i/>
          <w:color w:val="auto"/>
        </w:rPr>
      </w:pPr>
      <w:r w:rsidRPr="00D13A19">
        <w:rPr>
          <w:i/>
          <w:color w:val="auto"/>
        </w:rPr>
        <w:t>Principales resultados</w:t>
      </w:r>
    </w:p>
    <w:p w14:paraId="4B95F909" w14:textId="55550897" w:rsidR="004316A6" w:rsidRPr="004316A6" w:rsidRDefault="004316A6" w:rsidP="004316A6">
      <w:pPr>
        <w:pStyle w:val="bullet"/>
        <w:numPr>
          <w:ilvl w:val="0"/>
          <w:numId w:val="0"/>
        </w:numPr>
        <w:ind w:left="284" w:right="902"/>
        <w:rPr>
          <w:i/>
          <w:color w:val="auto"/>
        </w:rPr>
      </w:pPr>
      <w:r w:rsidRPr="00650C57">
        <w:rPr>
          <w:i/>
          <w:color w:val="auto"/>
        </w:rPr>
        <w:t xml:space="preserve">Cifras </w:t>
      </w:r>
      <w:r w:rsidRPr="004316A6">
        <w:rPr>
          <w:i/>
          <w:color w:val="auto"/>
        </w:rPr>
        <w:t>desestacionalizadas</w:t>
      </w:r>
    </w:p>
    <w:p w14:paraId="171D57A2" w14:textId="5F0C85CF" w:rsidR="001A191D" w:rsidRDefault="0020043A" w:rsidP="0017503B">
      <w:pPr>
        <w:widowControl/>
        <w:spacing w:before="240"/>
        <w:jc w:val="both"/>
      </w:pPr>
      <w:r>
        <w:t>En</w:t>
      </w:r>
      <w:r w:rsidRPr="00D836E5">
        <w:t xml:space="preserve"> el </w:t>
      </w:r>
      <w:r w:rsidR="00C73678">
        <w:t>primer</w:t>
      </w:r>
      <w:r>
        <w:t xml:space="preserve"> trimestre de 202</w:t>
      </w:r>
      <w:r w:rsidR="00C73678">
        <w:t>2</w:t>
      </w:r>
      <w:r w:rsidRPr="00D836E5">
        <w:t xml:space="preserve"> </w:t>
      </w:r>
      <w:r>
        <w:t>y c</w:t>
      </w:r>
      <w:r w:rsidR="00D836E5" w:rsidRPr="00D836E5">
        <w:t>on datos desestacionalizados</w:t>
      </w:r>
      <w:r w:rsidR="00682DD9">
        <w:t>,</w:t>
      </w:r>
      <w:r w:rsidR="00D836E5" w:rsidRPr="00D836E5">
        <w:t xml:space="preserve"> la </w:t>
      </w:r>
      <w:r w:rsidR="00D24701">
        <w:t>E</w:t>
      </w:r>
      <w:r w:rsidR="00D836E5" w:rsidRPr="00D836E5">
        <w:t xml:space="preserve">stimación </w:t>
      </w:r>
      <w:r w:rsidR="004316A6">
        <w:t>O</w:t>
      </w:r>
      <w:r w:rsidR="00D836E5" w:rsidRPr="00D836E5">
        <w:t xml:space="preserve">portuna del Producto Interno Bruto Trimestral </w:t>
      </w:r>
      <w:r w:rsidR="0017471D">
        <w:t>(</w:t>
      </w:r>
      <w:r w:rsidR="0017471D" w:rsidRPr="004209C7">
        <w:t>EOPIBT)</w:t>
      </w:r>
      <w:r w:rsidR="0017471D" w:rsidRPr="00D836E5">
        <w:t xml:space="preserve"> </w:t>
      </w:r>
      <w:r w:rsidR="002C7CEE">
        <w:t xml:space="preserve">reportó </w:t>
      </w:r>
      <w:r w:rsidR="006437D1">
        <w:t xml:space="preserve">un </w:t>
      </w:r>
      <w:r w:rsidR="007F1BF0">
        <w:t>aumento</w:t>
      </w:r>
      <w:r w:rsidR="00492760">
        <w:t xml:space="preserve"> trimestral </w:t>
      </w:r>
      <w:r w:rsidR="002C7CEE">
        <w:t xml:space="preserve">de </w:t>
      </w:r>
      <w:r w:rsidR="003754DF">
        <w:t>0.</w:t>
      </w:r>
      <w:r w:rsidR="007F1BF0">
        <w:t>9</w:t>
      </w:r>
      <w:r w:rsidR="002C7CEE">
        <w:t>%</w:t>
      </w:r>
      <w:r w:rsidR="00D836E5" w:rsidRPr="00D836E5">
        <w:t>.</w:t>
      </w:r>
      <w:r w:rsidR="004C4ABF" w:rsidRPr="004C4ABF">
        <w:t xml:space="preserve"> </w:t>
      </w:r>
    </w:p>
    <w:p w14:paraId="3428958F" w14:textId="5DA198FF" w:rsidR="00D836E5" w:rsidRPr="00BF4D2A" w:rsidRDefault="00DB1330" w:rsidP="006B2A22">
      <w:pPr>
        <w:widowControl/>
        <w:spacing w:before="240"/>
        <w:jc w:val="both"/>
      </w:pPr>
      <w:r w:rsidRPr="007F1BF0">
        <w:t>Por componente</w:t>
      </w:r>
      <w:r w:rsidR="00EB656C" w:rsidRPr="007F1BF0">
        <w:t xml:space="preserve"> y a tasa trimestral</w:t>
      </w:r>
      <w:r w:rsidR="009226DC" w:rsidRPr="007F1BF0">
        <w:t xml:space="preserve">, </w:t>
      </w:r>
      <w:r w:rsidR="00BF4D2A" w:rsidRPr="00BF4D2A">
        <w:t>el PIB oportuno tanto de las actividades terciarias como el de secundarias avanzó 1.1% y el de las primarias descendió 1.9% en el primer trimestre de 2022.</w:t>
      </w:r>
    </w:p>
    <w:p w14:paraId="13FE6D36" w14:textId="328F0FE6" w:rsidR="00574E79" w:rsidRDefault="00463454" w:rsidP="00F77197">
      <w:pPr>
        <w:widowControl/>
        <w:spacing w:before="240"/>
        <w:jc w:val="both"/>
      </w:pPr>
      <w:r>
        <w:t>A tasa anual</w:t>
      </w:r>
      <w:r w:rsidRPr="00463454">
        <w:t xml:space="preserve"> </w:t>
      </w:r>
      <w:r>
        <w:t>y con series desestacionalizadas</w:t>
      </w:r>
      <w:r w:rsidR="00574E79" w:rsidRPr="00A82556">
        <w:t xml:space="preserve">, </w:t>
      </w:r>
      <w:r w:rsidR="006B2A22" w:rsidRPr="00B834C7">
        <w:t xml:space="preserve">la Estimación </w:t>
      </w:r>
      <w:r w:rsidR="004316A6">
        <w:t>O</w:t>
      </w:r>
      <w:r w:rsidR="006B2A22" w:rsidRPr="00B834C7">
        <w:t xml:space="preserve">portuna del Producto Interno Bruto </w:t>
      </w:r>
      <w:r w:rsidR="006B2A22">
        <w:t xml:space="preserve">mostró </w:t>
      </w:r>
      <w:r w:rsidR="006B2A22" w:rsidRPr="00B834C7">
        <w:t xml:space="preserve">un </w:t>
      </w:r>
      <w:r w:rsidR="00D45717">
        <w:t>aumento</w:t>
      </w:r>
      <w:r w:rsidR="006B2A22" w:rsidRPr="00B834C7">
        <w:t xml:space="preserve"> </w:t>
      </w:r>
      <w:r w:rsidR="006B2A22">
        <w:t xml:space="preserve">real </w:t>
      </w:r>
      <w:r w:rsidR="006B2A22" w:rsidRPr="00B834C7">
        <w:t xml:space="preserve">de </w:t>
      </w:r>
      <w:r w:rsidR="00D45717">
        <w:t>1</w:t>
      </w:r>
      <w:r w:rsidR="00174CBB">
        <w:t>.6</w:t>
      </w:r>
      <w:r w:rsidR="006B2A22" w:rsidRPr="00B834C7">
        <w:t xml:space="preserve">% en el </w:t>
      </w:r>
      <w:r w:rsidR="00C73678">
        <w:t>primer</w:t>
      </w:r>
      <w:r w:rsidR="00D45717">
        <w:t xml:space="preserve"> trimestre de 202</w:t>
      </w:r>
      <w:r w:rsidR="00EB656C">
        <w:t>2</w:t>
      </w:r>
      <w:r w:rsidR="006B2A22" w:rsidRPr="00B834C7">
        <w:t xml:space="preserve">. Por actividad económica, </w:t>
      </w:r>
      <w:r w:rsidR="006B2A22">
        <w:t xml:space="preserve">los incrementos fueron de </w:t>
      </w:r>
      <w:r w:rsidR="00174CBB">
        <w:t>2.1</w:t>
      </w:r>
      <w:r w:rsidR="006B2A22">
        <w:t xml:space="preserve">% </w:t>
      </w:r>
      <w:r w:rsidR="00695E68">
        <w:t>en</w:t>
      </w:r>
      <w:r w:rsidR="006B2A22" w:rsidRPr="00B834C7">
        <w:t xml:space="preserve"> las </w:t>
      </w:r>
      <w:r w:rsidR="00BF08AB">
        <w:t>a</w:t>
      </w:r>
      <w:r w:rsidR="006B2A22">
        <w:t xml:space="preserve">ctividades </w:t>
      </w:r>
      <w:r w:rsidR="00D45717">
        <w:t>primarias</w:t>
      </w:r>
      <w:r w:rsidR="006B2A22">
        <w:t xml:space="preserve">, </w:t>
      </w:r>
      <w:r w:rsidR="006055B7">
        <w:t xml:space="preserve">de </w:t>
      </w:r>
      <w:r w:rsidR="00174CBB">
        <w:t>2.8</w:t>
      </w:r>
      <w:r w:rsidR="00121D6C">
        <w:t>%</w:t>
      </w:r>
      <w:r w:rsidR="006B2A22">
        <w:t xml:space="preserve"> </w:t>
      </w:r>
      <w:r w:rsidR="00695E68">
        <w:t>en</w:t>
      </w:r>
      <w:r w:rsidR="006B2A22">
        <w:t xml:space="preserve"> las</w:t>
      </w:r>
      <w:r w:rsidR="006B2A22" w:rsidRPr="00701AC8">
        <w:t xml:space="preserve"> </w:t>
      </w:r>
      <w:r w:rsidR="00D45717">
        <w:t>secundarias</w:t>
      </w:r>
      <w:r w:rsidR="006B2A22">
        <w:t xml:space="preserve"> y </w:t>
      </w:r>
      <w:r w:rsidR="006055B7">
        <w:t xml:space="preserve">de </w:t>
      </w:r>
      <w:r w:rsidR="00304EEF">
        <w:t>0.</w:t>
      </w:r>
      <w:r w:rsidR="00174CBB">
        <w:t>6</w:t>
      </w:r>
      <w:r w:rsidR="006B2A22">
        <w:t xml:space="preserve">% </w:t>
      </w:r>
      <w:r w:rsidR="00695E68">
        <w:t>en</w:t>
      </w:r>
      <w:r w:rsidR="006B2A22">
        <w:t xml:space="preserve"> las </w:t>
      </w:r>
      <w:r w:rsidR="00BF08AB">
        <w:t>a</w:t>
      </w:r>
      <w:r w:rsidR="006B2A22">
        <w:t xml:space="preserve">ctividades </w:t>
      </w:r>
      <w:r w:rsidR="00D45717">
        <w:t>terciarias</w:t>
      </w:r>
      <w:r w:rsidR="006B2A22" w:rsidRPr="00B834C7">
        <w:t>.</w:t>
      </w:r>
    </w:p>
    <w:p w14:paraId="74313080" w14:textId="77777777" w:rsidR="00463454" w:rsidRPr="00463454" w:rsidRDefault="00463454" w:rsidP="002B4D2B">
      <w:pPr>
        <w:pStyle w:val="Textoindependiente"/>
        <w:spacing w:before="240"/>
        <w:jc w:val="center"/>
        <w:rPr>
          <w:bCs/>
          <w:sz w:val="20"/>
        </w:rPr>
      </w:pPr>
      <w:r w:rsidRPr="00463454">
        <w:rPr>
          <w:bCs/>
          <w:sz w:val="20"/>
        </w:rPr>
        <w:t>Cuadro 1</w:t>
      </w:r>
    </w:p>
    <w:p w14:paraId="7739A50E" w14:textId="577665EE" w:rsidR="002B4D2B" w:rsidRPr="00230D75" w:rsidRDefault="002B4D2B" w:rsidP="00463454">
      <w:pPr>
        <w:pStyle w:val="Textoindependiente"/>
        <w:jc w:val="center"/>
        <w:rPr>
          <w:b/>
          <w:smallCaps/>
          <w:sz w:val="22"/>
          <w:szCs w:val="22"/>
        </w:rPr>
      </w:pPr>
      <w:r w:rsidRPr="00230D75">
        <w:rPr>
          <w:b/>
          <w:smallCaps/>
          <w:sz w:val="22"/>
          <w:szCs w:val="22"/>
        </w:rPr>
        <w:t xml:space="preserve">Estimación Oportuna del Producto Interno Bruto </w:t>
      </w:r>
    </w:p>
    <w:p w14:paraId="797E0484" w14:textId="450CD9CA" w:rsidR="002B4D2B" w:rsidRPr="00230D75" w:rsidRDefault="00E00166" w:rsidP="002B4D2B">
      <w:pPr>
        <w:pStyle w:val="Textoindependiente"/>
        <w:jc w:val="center"/>
        <w:rPr>
          <w:b/>
          <w:smallCaps/>
          <w:sz w:val="22"/>
          <w:szCs w:val="22"/>
        </w:rPr>
      </w:pPr>
      <w:r>
        <w:rPr>
          <w:b/>
          <w:smallCaps/>
          <w:sz w:val="22"/>
          <w:szCs w:val="22"/>
        </w:rPr>
        <w:t>primer</w:t>
      </w:r>
      <w:r w:rsidR="002B4D2B" w:rsidRPr="00230D75">
        <w:rPr>
          <w:b/>
          <w:smallCaps/>
          <w:sz w:val="22"/>
          <w:szCs w:val="22"/>
        </w:rPr>
        <w:t xml:space="preserve"> trimestre de 20</w:t>
      </w:r>
      <w:r w:rsidR="005755AA" w:rsidRPr="00230D75">
        <w:rPr>
          <w:b/>
          <w:smallCaps/>
          <w:sz w:val="22"/>
          <w:szCs w:val="22"/>
        </w:rPr>
        <w:t>2</w:t>
      </w:r>
      <w:r w:rsidR="002D5EDB">
        <w:rPr>
          <w:b/>
          <w:smallCaps/>
          <w:sz w:val="22"/>
          <w:szCs w:val="22"/>
        </w:rPr>
        <w:t>2</w:t>
      </w:r>
    </w:p>
    <w:p w14:paraId="781F24A5" w14:textId="4801B402" w:rsidR="00AB2E3E" w:rsidRDefault="00CC0580" w:rsidP="00AB2E3E">
      <w:pPr>
        <w:pStyle w:val="Textoindependiente"/>
        <w:jc w:val="center"/>
        <w:rPr>
          <w:rFonts w:cs="Arial"/>
          <w:b/>
          <w:smallCaps/>
          <w:color w:val="auto"/>
          <w:sz w:val="22"/>
          <w:szCs w:val="22"/>
        </w:rPr>
      </w:pPr>
      <w:r w:rsidRPr="00230D75">
        <w:rPr>
          <w:b/>
          <w:smallCaps/>
          <w:sz w:val="22"/>
          <w:szCs w:val="22"/>
        </w:rPr>
        <w:t xml:space="preserve">cifras desestacionalizadas </w:t>
      </w:r>
    </w:p>
    <w:tbl>
      <w:tblPr>
        <w:tblW w:w="5881" w:type="dxa"/>
        <w:jc w:val="center"/>
        <w:tblCellMar>
          <w:left w:w="70" w:type="dxa"/>
          <w:right w:w="70" w:type="dxa"/>
        </w:tblCellMar>
        <w:tblLook w:val="04A0" w:firstRow="1" w:lastRow="0" w:firstColumn="1" w:lastColumn="0" w:noHBand="0" w:noVBand="1"/>
      </w:tblPr>
      <w:tblGrid>
        <w:gridCol w:w="2365"/>
        <w:gridCol w:w="1758"/>
        <w:gridCol w:w="1758"/>
      </w:tblGrid>
      <w:tr w:rsidR="00E00166" w:rsidRPr="004B5894" w14:paraId="4B42C524" w14:textId="77777777" w:rsidTr="00E00166">
        <w:trPr>
          <w:trHeight w:val="344"/>
          <w:jc w:val="center"/>
        </w:trPr>
        <w:tc>
          <w:tcPr>
            <w:tcW w:w="2365" w:type="dxa"/>
            <w:vMerge w:val="restart"/>
            <w:tcBorders>
              <w:top w:val="double" w:sz="4" w:space="0" w:color="auto"/>
              <w:left w:val="double" w:sz="4" w:space="0" w:color="auto"/>
              <w:right w:val="double" w:sz="4" w:space="0" w:color="auto"/>
            </w:tcBorders>
            <w:shd w:val="clear" w:color="auto" w:fill="D6E3BC" w:themeFill="accent3" w:themeFillTint="66"/>
            <w:vAlign w:val="center"/>
            <w:hideMark/>
          </w:tcPr>
          <w:p w14:paraId="5DCDBE1C" w14:textId="77777777" w:rsidR="00E00166" w:rsidRPr="004A352E" w:rsidRDefault="00E00166" w:rsidP="004C2884">
            <w:pPr>
              <w:widowControl/>
              <w:ind w:left="-85"/>
              <w:jc w:val="center"/>
              <w:rPr>
                <w:rFonts w:cs="Arial"/>
                <w:snapToGrid/>
                <w:sz w:val="16"/>
                <w:lang w:val="es-MX" w:eastAsia="es-MX"/>
              </w:rPr>
            </w:pPr>
            <w:r w:rsidRPr="004A352E">
              <w:rPr>
                <w:rFonts w:cs="Arial"/>
                <w:snapToGrid/>
                <w:sz w:val="16"/>
                <w:lang w:val="es-MX" w:eastAsia="es-MX"/>
              </w:rPr>
              <w:t>Concepto</w:t>
            </w:r>
          </w:p>
        </w:tc>
        <w:tc>
          <w:tcPr>
            <w:tcW w:w="3516" w:type="dxa"/>
            <w:gridSpan w:val="2"/>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hideMark/>
          </w:tcPr>
          <w:p w14:paraId="28B9D32F" w14:textId="20C2DCC5" w:rsidR="00E00166" w:rsidRPr="004A352E" w:rsidRDefault="00E00166" w:rsidP="00D778BD">
            <w:pPr>
              <w:widowControl/>
              <w:jc w:val="center"/>
              <w:rPr>
                <w:rFonts w:cs="Arial"/>
                <w:snapToGrid/>
                <w:sz w:val="16"/>
                <w:lang w:val="es-MX" w:eastAsia="es-MX"/>
              </w:rPr>
            </w:pPr>
            <w:r w:rsidRPr="004A352E">
              <w:rPr>
                <w:rFonts w:cs="Arial"/>
                <w:snapToGrid/>
                <w:sz w:val="16"/>
                <w:lang w:val="es-MX" w:eastAsia="es-MX"/>
              </w:rPr>
              <w:t>Variación % real respecto:</w:t>
            </w:r>
          </w:p>
        </w:tc>
      </w:tr>
      <w:tr w:rsidR="00E00166" w:rsidRPr="004B5894" w14:paraId="0D7DA3D2" w14:textId="77777777" w:rsidTr="00CC0580">
        <w:trPr>
          <w:trHeight w:val="454"/>
          <w:jc w:val="center"/>
        </w:trPr>
        <w:tc>
          <w:tcPr>
            <w:tcW w:w="2365" w:type="dxa"/>
            <w:vMerge/>
            <w:tcBorders>
              <w:left w:val="double" w:sz="4" w:space="0" w:color="auto"/>
              <w:bottom w:val="double" w:sz="4" w:space="0" w:color="auto"/>
              <w:right w:val="double" w:sz="4" w:space="0" w:color="auto"/>
            </w:tcBorders>
            <w:shd w:val="clear" w:color="auto" w:fill="D6E3BC" w:themeFill="accent3" w:themeFillTint="66"/>
            <w:vAlign w:val="center"/>
          </w:tcPr>
          <w:p w14:paraId="3926324F" w14:textId="77777777" w:rsidR="00E00166" w:rsidRPr="004A352E" w:rsidRDefault="00E00166" w:rsidP="004C2884">
            <w:pPr>
              <w:widowControl/>
              <w:ind w:left="-85"/>
              <w:jc w:val="center"/>
              <w:rPr>
                <w:rFonts w:cs="Arial"/>
                <w:snapToGrid/>
                <w:sz w:val="16"/>
                <w:lang w:val="es-MX" w:eastAsia="es-MX"/>
              </w:rPr>
            </w:pPr>
          </w:p>
        </w:tc>
        <w:tc>
          <w:tcPr>
            <w:tcW w:w="1758"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14:paraId="0964C423" w14:textId="0A4E0F1F" w:rsidR="00E00166" w:rsidRPr="004A352E" w:rsidRDefault="00E00166" w:rsidP="004C2884">
            <w:pPr>
              <w:widowControl/>
              <w:jc w:val="center"/>
              <w:rPr>
                <w:rFonts w:cs="Arial"/>
                <w:snapToGrid/>
                <w:sz w:val="16"/>
                <w:lang w:val="es-MX" w:eastAsia="es-MX"/>
              </w:rPr>
            </w:pPr>
            <w:r w:rsidRPr="004A352E">
              <w:rPr>
                <w:rFonts w:cs="Arial"/>
                <w:snapToGrid/>
                <w:sz w:val="16"/>
                <w:lang w:val="es-MX" w:eastAsia="es-MX"/>
              </w:rPr>
              <w:t>Al trimestre previo</w:t>
            </w:r>
          </w:p>
        </w:tc>
        <w:tc>
          <w:tcPr>
            <w:tcW w:w="1758"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14:paraId="23503DD9" w14:textId="77777777" w:rsidR="00E00166" w:rsidRPr="004A352E" w:rsidRDefault="00E00166" w:rsidP="004C2884">
            <w:pPr>
              <w:widowControl/>
              <w:jc w:val="center"/>
              <w:rPr>
                <w:rFonts w:cs="Arial"/>
                <w:snapToGrid/>
                <w:sz w:val="16"/>
                <w:lang w:val="es-MX" w:eastAsia="es-MX"/>
              </w:rPr>
            </w:pPr>
            <w:r w:rsidRPr="004A352E">
              <w:rPr>
                <w:rFonts w:cs="Arial"/>
                <w:snapToGrid/>
                <w:sz w:val="16"/>
                <w:lang w:val="es-MX" w:eastAsia="es-MX"/>
              </w:rPr>
              <w:t xml:space="preserve">A igual trimestre </w:t>
            </w:r>
          </w:p>
          <w:p w14:paraId="79C53878" w14:textId="2EC178A0" w:rsidR="00E00166" w:rsidRPr="004A352E" w:rsidRDefault="00E00166" w:rsidP="004C2884">
            <w:pPr>
              <w:widowControl/>
              <w:jc w:val="center"/>
              <w:rPr>
                <w:rFonts w:cs="Arial"/>
                <w:snapToGrid/>
                <w:sz w:val="16"/>
                <w:lang w:val="es-MX" w:eastAsia="es-MX"/>
              </w:rPr>
            </w:pPr>
            <w:r w:rsidRPr="004A352E">
              <w:rPr>
                <w:rFonts w:cs="Arial"/>
                <w:snapToGrid/>
                <w:sz w:val="16"/>
                <w:lang w:val="es-MX" w:eastAsia="es-MX"/>
              </w:rPr>
              <w:t>de 2021</w:t>
            </w:r>
          </w:p>
        </w:tc>
      </w:tr>
      <w:tr w:rsidR="00E00166" w:rsidRPr="004B5894" w14:paraId="00F8ECCE" w14:textId="77777777" w:rsidTr="00302B98">
        <w:trPr>
          <w:trHeight w:val="283"/>
          <w:jc w:val="center"/>
        </w:trPr>
        <w:tc>
          <w:tcPr>
            <w:tcW w:w="2365" w:type="dxa"/>
            <w:tcBorders>
              <w:top w:val="double" w:sz="4" w:space="0" w:color="auto"/>
              <w:left w:val="double" w:sz="4" w:space="0" w:color="auto"/>
              <w:bottom w:val="nil"/>
              <w:right w:val="double" w:sz="4" w:space="0" w:color="auto"/>
            </w:tcBorders>
            <w:shd w:val="clear" w:color="auto" w:fill="auto"/>
            <w:vAlign w:val="center"/>
            <w:hideMark/>
          </w:tcPr>
          <w:p w14:paraId="5B91E2A6" w14:textId="3668E193" w:rsidR="00E00166" w:rsidRPr="00294709" w:rsidRDefault="00E00166" w:rsidP="004C2884">
            <w:pPr>
              <w:widowControl/>
              <w:rPr>
                <w:rFonts w:cs="Arial"/>
                <w:b/>
                <w:bCs/>
                <w:snapToGrid/>
                <w:color w:val="000000"/>
                <w:sz w:val="16"/>
                <w:lang w:val="es-MX" w:eastAsia="es-MX"/>
              </w:rPr>
            </w:pPr>
            <w:r w:rsidRPr="00294709">
              <w:rPr>
                <w:rFonts w:cs="Arial"/>
                <w:b/>
                <w:bCs/>
                <w:snapToGrid/>
                <w:color w:val="000000"/>
                <w:sz w:val="16"/>
                <w:lang w:val="es-MX" w:eastAsia="es-MX"/>
              </w:rPr>
              <w:t xml:space="preserve">PIB </w:t>
            </w:r>
            <w:r>
              <w:rPr>
                <w:rFonts w:cs="Arial"/>
                <w:b/>
                <w:bCs/>
                <w:snapToGrid/>
                <w:color w:val="000000"/>
                <w:sz w:val="16"/>
                <w:lang w:val="es-MX" w:eastAsia="es-MX"/>
              </w:rPr>
              <w:t>oportuno</w:t>
            </w:r>
          </w:p>
        </w:tc>
        <w:tc>
          <w:tcPr>
            <w:tcW w:w="1758" w:type="dxa"/>
            <w:tcBorders>
              <w:top w:val="double" w:sz="4" w:space="0" w:color="auto"/>
              <w:left w:val="double" w:sz="4" w:space="0" w:color="auto"/>
              <w:bottom w:val="nil"/>
              <w:right w:val="double" w:sz="4" w:space="0" w:color="auto"/>
            </w:tcBorders>
            <w:shd w:val="clear" w:color="auto" w:fill="auto"/>
            <w:vAlign w:val="center"/>
            <w:hideMark/>
          </w:tcPr>
          <w:p w14:paraId="06B0DBB7" w14:textId="758617C0" w:rsidR="00E00166" w:rsidRPr="006055B7" w:rsidRDefault="00174CBB" w:rsidP="00231C99">
            <w:pPr>
              <w:widowControl/>
              <w:ind w:right="680"/>
              <w:jc w:val="right"/>
              <w:rPr>
                <w:rFonts w:cs="Arial"/>
                <w:b/>
                <w:snapToGrid/>
                <w:color w:val="000000"/>
                <w:sz w:val="16"/>
                <w:szCs w:val="15"/>
                <w:lang w:val="es-MX" w:eastAsia="es-MX"/>
              </w:rPr>
            </w:pPr>
            <w:r w:rsidRPr="006055B7">
              <w:rPr>
                <w:rFonts w:cs="Arial"/>
                <w:b/>
                <w:snapToGrid/>
                <w:color w:val="000000"/>
                <w:sz w:val="16"/>
                <w:szCs w:val="15"/>
                <w:lang w:val="es-MX" w:eastAsia="es-MX"/>
              </w:rPr>
              <w:t>0.9</w:t>
            </w:r>
          </w:p>
        </w:tc>
        <w:tc>
          <w:tcPr>
            <w:tcW w:w="1758" w:type="dxa"/>
            <w:tcBorders>
              <w:top w:val="double" w:sz="4" w:space="0" w:color="auto"/>
              <w:left w:val="double" w:sz="4" w:space="0" w:color="auto"/>
              <w:bottom w:val="nil"/>
              <w:right w:val="double" w:sz="4" w:space="0" w:color="auto"/>
            </w:tcBorders>
            <w:shd w:val="clear" w:color="auto" w:fill="auto"/>
            <w:vAlign w:val="center"/>
            <w:hideMark/>
          </w:tcPr>
          <w:p w14:paraId="49E9B40D" w14:textId="7DF8AB8B" w:rsidR="00E00166" w:rsidRPr="006055B7" w:rsidRDefault="00E00166" w:rsidP="00231C99">
            <w:pPr>
              <w:widowControl/>
              <w:ind w:right="680"/>
              <w:jc w:val="right"/>
              <w:rPr>
                <w:rFonts w:cs="Arial"/>
                <w:b/>
                <w:snapToGrid/>
                <w:color w:val="000000"/>
                <w:sz w:val="16"/>
                <w:szCs w:val="15"/>
                <w:lang w:val="es-MX" w:eastAsia="es-MX"/>
              </w:rPr>
            </w:pPr>
            <w:r w:rsidRPr="006055B7">
              <w:rPr>
                <w:rFonts w:cs="Arial"/>
                <w:b/>
                <w:snapToGrid/>
                <w:color w:val="000000"/>
                <w:sz w:val="16"/>
                <w:szCs w:val="15"/>
                <w:lang w:val="es-MX" w:eastAsia="es-MX"/>
              </w:rPr>
              <w:t>1.</w:t>
            </w:r>
            <w:r w:rsidR="00174CBB" w:rsidRPr="006055B7">
              <w:rPr>
                <w:rFonts w:cs="Arial"/>
                <w:b/>
                <w:snapToGrid/>
                <w:color w:val="000000"/>
                <w:sz w:val="16"/>
                <w:szCs w:val="15"/>
                <w:lang w:val="es-MX" w:eastAsia="es-MX"/>
              </w:rPr>
              <w:t>6</w:t>
            </w:r>
          </w:p>
        </w:tc>
      </w:tr>
      <w:tr w:rsidR="00E00166" w:rsidRPr="004B5894" w14:paraId="16D85A8C" w14:textId="77777777" w:rsidTr="00302B98">
        <w:trPr>
          <w:trHeight w:val="283"/>
          <w:jc w:val="center"/>
        </w:trPr>
        <w:tc>
          <w:tcPr>
            <w:tcW w:w="2365" w:type="dxa"/>
            <w:tcBorders>
              <w:top w:val="nil"/>
              <w:left w:val="double" w:sz="4" w:space="0" w:color="auto"/>
              <w:bottom w:val="nil"/>
              <w:right w:val="double" w:sz="4" w:space="0" w:color="auto"/>
            </w:tcBorders>
            <w:shd w:val="clear" w:color="auto" w:fill="auto"/>
            <w:vAlign w:val="center"/>
            <w:hideMark/>
          </w:tcPr>
          <w:p w14:paraId="68A15C2C" w14:textId="2938E6B9" w:rsidR="00E00166" w:rsidRPr="00294709" w:rsidRDefault="00E00166" w:rsidP="004C2884">
            <w:pPr>
              <w:widowControl/>
              <w:rPr>
                <w:rFonts w:cs="Arial"/>
                <w:snapToGrid/>
                <w:color w:val="000000"/>
                <w:sz w:val="16"/>
                <w:lang w:val="es-MX" w:eastAsia="es-MX"/>
              </w:rPr>
            </w:pPr>
            <w:r w:rsidRPr="00294709">
              <w:rPr>
                <w:rFonts w:cs="Arial"/>
                <w:snapToGrid/>
                <w:color w:val="000000"/>
                <w:sz w:val="16"/>
                <w:lang w:val="es-MX" w:eastAsia="es-MX"/>
              </w:rPr>
              <w:t xml:space="preserve">     Actividades </w:t>
            </w:r>
            <w:r>
              <w:rPr>
                <w:rFonts w:cs="Arial"/>
                <w:snapToGrid/>
                <w:color w:val="000000"/>
                <w:sz w:val="16"/>
                <w:lang w:val="es-MX" w:eastAsia="es-MX"/>
              </w:rPr>
              <w:t>p</w:t>
            </w:r>
            <w:r w:rsidRPr="00294709">
              <w:rPr>
                <w:rFonts w:cs="Arial"/>
                <w:snapToGrid/>
                <w:color w:val="000000"/>
                <w:sz w:val="16"/>
                <w:lang w:val="es-MX" w:eastAsia="es-MX"/>
              </w:rPr>
              <w:t xml:space="preserve">rimarias </w:t>
            </w:r>
          </w:p>
        </w:tc>
        <w:tc>
          <w:tcPr>
            <w:tcW w:w="1758" w:type="dxa"/>
            <w:tcBorders>
              <w:top w:val="nil"/>
              <w:left w:val="double" w:sz="4" w:space="0" w:color="auto"/>
              <w:bottom w:val="nil"/>
              <w:right w:val="double" w:sz="4" w:space="0" w:color="auto"/>
            </w:tcBorders>
            <w:shd w:val="clear" w:color="auto" w:fill="auto"/>
            <w:vAlign w:val="center"/>
            <w:hideMark/>
          </w:tcPr>
          <w:p w14:paraId="1159ECD0" w14:textId="562AB945" w:rsidR="00E00166" w:rsidRPr="006055B7" w:rsidRDefault="00174CBB" w:rsidP="00231C99">
            <w:pPr>
              <w:widowControl/>
              <w:ind w:right="680"/>
              <w:jc w:val="right"/>
              <w:rPr>
                <w:rFonts w:cs="Arial"/>
                <w:snapToGrid/>
                <w:color w:val="000000"/>
                <w:sz w:val="16"/>
                <w:szCs w:val="15"/>
                <w:lang w:val="es-MX" w:eastAsia="es-MX"/>
              </w:rPr>
            </w:pPr>
            <w:r w:rsidRPr="006055B7">
              <w:rPr>
                <w:rFonts w:cs="Arial"/>
                <w:snapToGrid/>
                <w:color w:val="000000"/>
                <w:sz w:val="16"/>
                <w:szCs w:val="15"/>
                <w:lang w:val="es-MX" w:eastAsia="es-MX"/>
              </w:rPr>
              <w:t>-1.9</w:t>
            </w:r>
          </w:p>
        </w:tc>
        <w:tc>
          <w:tcPr>
            <w:tcW w:w="1758" w:type="dxa"/>
            <w:tcBorders>
              <w:top w:val="nil"/>
              <w:left w:val="double" w:sz="4" w:space="0" w:color="auto"/>
              <w:bottom w:val="nil"/>
              <w:right w:val="double" w:sz="4" w:space="0" w:color="auto"/>
            </w:tcBorders>
            <w:shd w:val="clear" w:color="auto" w:fill="auto"/>
            <w:vAlign w:val="center"/>
            <w:hideMark/>
          </w:tcPr>
          <w:p w14:paraId="41DEAAEC" w14:textId="43C008E9" w:rsidR="00E00166" w:rsidRPr="006055B7" w:rsidRDefault="00174CBB" w:rsidP="00231C99">
            <w:pPr>
              <w:widowControl/>
              <w:ind w:right="680"/>
              <w:jc w:val="right"/>
              <w:rPr>
                <w:rFonts w:cs="Arial"/>
                <w:snapToGrid/>
                <w:color w:val="000000"/>
                <w:sz w:val="16"/>
                <w:szCs w:val="15"/>
                <w:lang w:val="es-MX" w:eastAsia="es-MX"/>
              </w:rPr>
            </w:pPr>
            <w:r w:rsidRPr="006055B7">
              <w:rPr>
                <w:rFonts w:cs="Arial"/>
                <w:snapToGrid/>
                <w:color w:val="000000"/>
                <w:sz w:val="16"/>
                <w:szCs w:val="15"/>
                <w:lang w:val="es-MX" w:eastAsia="es-MX"/>
              </w:rPr>
              <w:t>2.1</w:t>
            </w:r>
          </w:p>
        </w:tc>
      </w:tr>
      <w:tr w:rsidR="00E00166" w:rsidRPr="004B5894" w14:paraId="3B062EED" w14:textId="77777777" w:rsidTr="00302B98">
        <w:trPr>
          <w:trHeight w:val="283"/>
          <w:jc w:val="center"/>
        </w:trPr>
        <w:tc>
          <w:tcPr>
            <w:tcW w:w="2365" w:type="dxa"/>
            <w:tcBorders>
              <w:top w:val="nil"/>
              <w:left w:val="double" w:sz="4" w:space="0" w:color="auto"/>
              <w:bottom w:val="nil"/>
              <w:right w:val="double" w:sz="4" w:space="0" w:color="auto"/>
            </w:tcBorders>
            <w:shd w:val="clear" w:color="auto" w:fill="auto"/>
            <w:vAlign w:val="center"/>
            <w:hideMark/>
          </w:tcPr>
          <w:p w14:paraId="05167DC9" w14:textId="76A8AB95" w:rsidR="00E00166" w:rsidRPr="00294709" w:rsidRDefault="00E00166" w:rsidP="004C2884">
            <w:pPr>
              <w:widowControl/>
              <w:rPr>
                <w:rFonts w:cs="Arial"/>
                <w:snapToGrid/>
                <w:color w:val="000000"/>
                <w:sz w:val="16"/>
                <w:lang w:val="es-MX" w:eastAsia="es-MX"/>
              </w:rPr>
            </w:pPr>
            <w:r w:rsidRPr="00294709">
              <w:rPr>
                <w:rFonts w:cs="Arial"/>
                <w:snapToGrid/>
                <w:color w:val="000000"/>
                <w:sz w:val="16"/>
                <w:lang w:val="es-MX" w:eastAsia="es-MX"/>
              </w:rPr>
              <w:t xml:space="preserve">     Actividades </w:t>
            </w:r>
            <w:r>
              <w:rPr>
                <w:rFonts w:cs="Arial"/>
                <w:snapToGrid/>
                <w:color w:val="000000"/>
                <w:sz w:val="16"/>
                <w:lang w:val="es-MX" w:eastAsia="es-MX"/>
              </w:rPr>
              <w:t>s</w:t>
            </w:r>
            <w:r w:rsidRPr="00294709">
              <w:rPr>
                <w:rFonts w:cs="Arial"/>
                <w:snapToGrid/>
                <w:color w:val="000000"/>
                <w:sz w:val="16"/>
                <w:lang w:val="es-MX" w:eastAsia="es-MX"/>
              </w:rPr>
              <w:t xml:space="preserve">ecundarias </w:t>
            </w:r>
          </w:p>
        </w:tc>
        <w:tc>
          <w:tcPr>
            <w:tcW w:w="1758" w:type="dxa"/>
            <w:tcBorders>
              <w:top w:val="nil"/>
              <w:left w:val="double" w:sz="4" w:space="0" w:color="auto"/>
              <w:bottom w:val="nil"/>
              <w:right w:val="double" w:sz="4" w:space="0" w:color="auto"/>
            </w:tcBorders>
            <w:shd w:val="clear" w:color="auto" w:fill="auto"/>
            <w:vAlign w:val="center"/>
            <w:hideMark/>
          </w:tcPr>
          <w:p w14:paraId="4AE44217" w14:textId="0536F445" w:rsidR="00E00166" w:rsidRPr="006055B7" w:rsidRDefault="00174CBB" w:rsidP="00231C99">
            <w:pPr>
              <w:widowControl/>
              <w:ind w:right="680"/>
              <w:jc w:val="right"/>
              <w:rPr>
                <w:rFonts w:cs="Arial"/>
                <w:snapToGrid/>
                <w:color w:val="000000"/>
                <w:sz w:val="16"/>
                <w:szCs w:val="15"/>
                <w:lang w:val="es-MX" w:eastAsia="es-MX"/>
              </w:rPr>
            </w:pPr>
            <w:r w:rsidRPr="006055B7">
              <w:rPr>
                <w:rFonts w:cs="Arial"/>
                <w:snapToGrid/>
                <w:color w:val="000000"/>
                <w:sz w:val="16"/>
                <w:szCs w:val="15"/>
                <w:lang w:val="es-MX" w:eastAsia="es-MX"/>
              </w:rPr>
              <w:t>1.1</w:t>
            </w:r>
          </w:p>
        </w:tc>
        <w:tc>
          <w:tcPr>
            <w:tcW w:w="1758" w:type="dxa"/>
            <w:tcBorders>
              <w:top w:val="nil"/>
              <w:left w:val="double" w:sz="4" w:space="0" w:color="auto"/>
              <w:bottom w:val="nil"/>
              <w:right w:val="double" w:sz="4" w:space="0" w:color="auto"/>
            </w:tcBorders>
            <w:shd w:val="clear" w:color="auto" w:fill="auto"/>
            <w:vAlign w:val="center"/>
            <w:hideMark/>
          </w:tcPr>
          <w:p w14:paraId="31C83D6E" w14:textId="6A983123" w:rsidR="00E00166" w:rsidRPr="006055B7" w:rsidRDefault="00174CBB" w:rsidP="00231C99">
            <w:pPr>
              <w:widowControl/>
              <w:ind w:right="680"/>
              <w:jc w:val="right"/>
              <w:rPr>
                <w:rFonts w:cs="Arial"/>
                <w:snapToGrid/>
                <w:color w:val="000000"/>
                <w:sz w:val="16"/>
                <w:szCs w:val="15"/>
                <w:lang w:val="es-MX" w:eastAsia="es-MX"/>
              </w:rPr>
            </w:pPr>
            <w:r w:rsidRPr="006055B7">
              <w:rPr>
                <w:rFonts w:cs="Arial"/>
                <w:snapToGrid/>
                <w:color w:val="000000"/>
                <w:sz w:val="16"/>
                <w:szCs w:val="15"/>
                <w:lang w:val="es-MX" w:eastAsia="es-MX"/>
              </w:rPr>
              <w:t>2.8</w:t>
            </w:r>
          </w:p>
        </w:tc>
      </w:tr>
      <w:tr w:rsidR="00E00166" w:rsidRPr="004B5894" w14:paraId="666A2949" w14:textId="77777777" w:rsidTr="00302B98">
        <w:trPr>
          <w:trHeight w:val="283"/>
          <w:jc w:val="center"/>
        </w:trPr>
        <w:tc>
          <w:tcPr>
            <w:tcW w:w="2365" w:type="dxa"/>
            <w:tcBorders>
              <w:top w:val="nil"/>
              <w:left w:val="double" w:sz="4" w:space="0" w:color="auto"/>
              <w:bottom w:val="double" w:sz="4" w:space="0" w:color="auto"/>
              <w:right w:val="double" w:sz="4" w:space="0" w:color="auto"/>
            </w:tcBorders>
            <w:shd w:val="clear" w:color="auto" w:fill="auto"/>
            <w:vAlign w:val="center"/>
            <w:hideMark/>
          </w:tcPr>
          <w:p w14:paraId="774302DA" w14:textId="799326F4" w:rsidR="00E00166" w:rsidRPr="00294709" w:rsidRDefault="00E00166" w:rsidP="004C2884">
            <w:pPr>
              <w:widowControl/>
              <w:rPr>
                <w:rFonts w:cs="Arial"/>
                <w:snapToGrid/>
                <w:color w:val="000000"/>
                <w:sz w:val="16"/>
                <w:lang w:val="es-MX" w:eastAsia="es-MX"/>
              </w:rPr>
            </w:pPr>
            <w:r w:rsidRPr="00294709">
              <w:rPr>
                <w:rFonts w:cs="Arial"/>
                <w:snapToGrid/>
                <w:color w:val="000000"/>
                <w:sz w:val="16"/>
                <w:lang w:val="es-MX" w:eastAsia="es-MX"/>
              </w:rPr>
              <w:t xml:space="preserve">     Actividades </w:t>
            </w:r>
            <w:r>
              <w:rPr>
                <w:rFonts w:cs="Arial"/>
                <w:snapToGrid/>
                <w:color w:val="000000"/>
                <w:sz w:val="16"/>
                <w:lang w:val="es-MX" w:eastAsia="es-MX"/>
              </w:rPr>
              <w:t>t</w:t>
            </w:r>
            <w:r w:rsidRPr="00294709">
              <w:rPr>
                <w:rFonts w:cs="Arial"/>
                <w:snapToGrid/>
                <w:color w:val="000000"/>
                <w:sz w:val="16"/>
                <w:lang w:val="es-MX" w:eastAsia="es-MX"/>
              </w:rPr>
              <w:t xml:space="preserve">erciarias </w:t>
            </w:r>
          </w:p>
        </w:tc>
        <w:tc>
          <w:tcPr>
            <w:tcW w:w="1758" w:type="dxa"/>
            <w:tcBorders>
              <w:top w:val="nil"/>
              <w:left w:val="double" w:sz="4" w:space="0" w:color="auto"/>
              <w:bottom w:val="double" w:sz="4" w:space="0" w:color="auto"/>
              <w:right w:val="double" w:sz="4" w:space="0" w:color="auto"/>
            </w:tcBorders>
            <w:shd w:val="clear" w:color="auto" w:fill="auto"/>
            <w:vAlign w:val="center"/>
            <w:hideMark/>
          </w:tcPr>
          <w:p w14:paraId="60D14D58" w14:textId="5B6CEB48" w:rsidR="00E00166" w:rsidRPr="006055B7" w:rsidRDefault="00174CBB" w:rsidP="00231C99">
            <w:pPr>
              <w:widowControl/>
              <w:ind w:right="680"/>
              <w:jc w:val="right"/>
              <w:rPr>
                <w:rFonts w:cs="Arial"/>
                <w:snapToGrid/>
                <w:color w:val="000000"/>
                <w:sz w:val="16"/>
                <w:szCs w:val="15"/>
                <w:lang w:val="es-MX" w:eastAsia="es-MX"/>
              </w:rPr>
            </w:pPr>
            <w:r w:rsidRPr="006055B7">
              <w:rPr>
                <w:rFonts w:cs="Arial"/>
                <w:snapToGrid/>
                <w:color w:val="000000"/>
                <w:sz w:val="16"/>
                <w:szCs w:val="15"/>
                <w:lang w:val="es-MX" w:eastAsia="es-MX"/>
              </w:rPr>
              <w:t>1.1</w:t>
            </w:r>
          </w:p>
        </w:tc>
        <w:tc>
          <w:tcPr>
            <w:tcW w:w="1758" w:type="dxa"/>
            <w:tcBorders>
              <w:top w:val="nil"/>
              <w:left w:val="double" w:sz="4" w:space="0" w:color="auto"/>
              <w:bottom w:val="double" w:sz="4" w:space="0" w:color="auto"/>
              <w:right w:val="double" w:sz="4" w:space="0" w:color="auto"/>
            </w:tcBorders>
            <w:shd w:val="clear" w:color="auto" w:fill="auto"/>
            <w:vAlign w:val="center"/>
            <w:hideMark/>
          </w:tcPr>
          <w:p w14:paraId="58911564" w14:textId="326607C8" w:rsidR="00E00166" w:rsidRPr="006055B7" w:rsidRDefault="00E00166" w:rsidP="00231C99">
            <w:pPr>
              <w:widowControl/>
              <w:ind w:right="680"/>
              <w:jc w:val="right"/>
              <w:rPr>
                <w:rFonts w:cs="Arial"/>
                <w:snapToGrid/>
                <w:color w:val="000000"/>
                <w:sz w:val="16"/>
                <w:szCs w:val="15"/>
                <w:lang w:val="es-MX" w:eastAsia="es-MX"/>
              </w:rPr>
            </w:pPr>
            <w:r w:rsidRPr="006055B7">
              <w:rPr>
                <w:rFonts w:cs="Arial"/>
                <w:snapToGrid/>
                <w:color w:val="000000"/>
                <w:sz w:val="16"/>
                <w:szCs w:val="15"/>
                <w:lang w:val="es-MX" w:eastAsia="es-MX"/>
              </w:rPr>
              <w:t>0.</w:t>
            </w:r>
            <w:r w:rsidR="009F00AF" w:rsidRPr="006055B7">
              <w:rPr>
                <w:rFonts w:cs="Arial"/>
                <w:snapToGrid/>
                <w:color w:val="000000"/>
                <w:sz w:val="16"/>
                <w:szCs w:val="15"/>
                <w:lang w:val="es-MX" w:eastAsia="es-MX"/>
              </w:rPr>
              <w:t>6</w:t>
            </w:r>
          </w:p>
        </w:tc>
      </w:tr>
    </w:tbl>
    <w:p w14:paraId="0C3A892A" w14:textId="46A452FB" w:rsidR="00A82556" w:rsidRDefault="00A82556" w:rsidP="00E00166">
      <w:pPr>
        <w:pStyle w:val="bullet"/>
        <w:numPr>
          <w:ilvl w:val="0"/>
          <w:numId w:val="0"/>
        </w:numPr>
        <w:spacing w:before="0"/>
        <w:ind w:left="1560" w:right="1469"/>
        <w:rPr>
          <w:rFonts w:cs="Arial"/>
          <w:b w:val="0"/>
          <w:color w:val="000000" w:themeColor="text1"/>
          <w:sz w:val="16"/>
          <w:szCs w:val="16"/>
          <w:lang w:val="es-MX"/>
        </w:rPr>
      </w:pPr>
      <w:r w:rsidRPr="00A0204E">
        <w:rPr>
          <w:rFonts w:cs="Arial"/>
          <w:b w:val="0"/>
          <w:color w:val="000000" w:themeColor="text1"/>
          <w:sz w:val="16"/>
          <w:szCs w:val="16"/>
          <w:lang w:val="es-MX"/>
        </w:rPr>
        <w:t xml:space="preserve">Notas: Cifras </w:t>
      </w:r>
      <w:r w:rsidR="009E01F5">
        <w:rPr>
          <w:rFonts w:cs="Arial"/>
          <w:b w:val="0"/>
          <w:color w:val="000000" w:themeColor="text1"/>
          <w:sz w:val="16"/>
          <w:szCs w:val="16"/>
          <w:lang w:val="es-MX"/>
        </w:rPr>
        <w:t>o</w:t>
      </w:r>
      <w:r w:rsidRPr="00A0204E">
        <w:rPr>
          <w:rFonts w:cs="Arial"/>
          <w:b w:val="0"/>
          <w:color w:val="000000" w:themeColor="text1"/>
          <w:sz w:val="16"/>
          <w:szCs w:val="16"/>
          <w:lang w:val="es-MX"/>
        </w:rPr>
        <w:t>portunas. La estimación oportuna no re</w:t>
      </w:r>
      <w:r>
        <w:rPr>
          <w:rFonts w:cs="Arial"/>
          <w:b w:val="0"/>
          <w:color w:val="000000" w:themeColor="text1"/>
          <w:sz w:val="16"/>
          <w:szCs w:val="16"/>
          <w:lang w:val="es-MX"/>
        </w:rPr>
        <w:t>e</w:t>
      </w:r>
      <w:r w:rsidRPr="00A0204E">
        <w:rPr>
          <w:rFonts w:cs="Arial"/>
          <w:b w:val="0"/>
          <w:color w:val="000000" w:themeColor="text1"/>
          <w:sz w:val="16"/>
          <w:szCs w:val="16"/>
          <w:lang w:val="es-MX"/>
        </w:rPr>
        <w:t>mplaza a la estimación</w:t>
      </w:r>
      <w:r w:rsidR="00045F5B">
        <w:rPr>
          <w:rFonts w:cs="Arial"/>
          <w:b w:val="0"/>
          <w:color w:val="000000" w:themeColor="text1"/>
          <w:sz w:val="16"/>
          <w:szCs w:val="16"/>
          <w:lang w:val="es-MX"/>
        </w:rPr>
        <w:t xml:space="preserve"> </w:t>
      </w:r>
      <w:r w:rsidRPr="00A0204E">
        <w:rPr>
          <w:rFonts w:cs="Arial"/>
          <w:b w:val="0"/>
          <w:color w:val="000000" w:themeColor="text1"/>
          <w:sz w:val="16"/>
          <w:szCs w:val="16"/>
          <w:lang w:val="es-MX"/>
        </w:rPr>
        <w:t>tradicional.</w:t>
      </w:r>
    </w:p>
    <w:p w14:paraId="3CACC11D" w14:textId="141BD80D" w:rsidR="00A82556" w:rsidRDefault="00A82556" w:rsidP="00E00166">
      <w:pPr>
        <w:pStyle w:val="bullet"/>
        <w:numPr>
          <w:ilvl w:val="0"/>
          <w:numId w:val="0"/>
        </w:numPr>
        <w:spacing w:before="0"/>
        <w:ind w:left="1560" w:right="1469"/>
        <w:rPr>
          <w:rFonts w:cs="Arial"/>
          <w:b w:val="0"/>
          <w:color w:val="auto"/>
          <w:sz w:val="16"/>
        </w:rPr>
      </w:pPr>
      <w:r w:rsidRPr="009570BB">
        <w:rPr>
          <w:rFonts w:cs="Arial"/>
          <w:b w:val="0"/>
          <w:color w:val="auto"/>
          <w:sz w:val="16"/>
        </w:rPr>
        <w:t>La serie desestacionalizada de</w:t>
      </w:r>
      <w:r>
        <w:rPr>
          <w:rFonts w:cs="Arial"/>
          <w:b w:val="0"/>
          <w:color w:val="auto"/>
          <w:sz w:val="16"/>
        </w:rPr>
        <w:t>l</w:t>
      </w:r>
      <w:r w:rsidRPr="009570BB">
        <w:rPr>
          <w:rFonts w:cs="Arial"/>
          <w:b w:val="0"/>
          <w:color w:val="auto"/>
          <w:sz w:val="16"/>
        </w:rPr>
        <w:t xml:space="preserve"> </w:t>
      </w:r>
      <w:r>
        <w:rPr>
          <w:rFonts w:cs="Arial"/>
          <w:b w:val="0"/>
          <w:color w:val="auto"/>
          <w:sz w:val="16"/>
        </w:rPr>
        <w:t>agregado</w:t>
      </w:r>
      <w:r w:rsidRPr="009570BB">
        <w:rPr>
          <w:rFonts w:cs="Arial"/>
          <w:b w:val="0"/>
          <w:color w:val="auto"/>
          <w:sz w:val="16"/>
        </w:rPr>
        <w:t xml:space="preserve"> se calcula de manera independiente a la de sus</w:t>
      </w:r>
      <w:r w:rsidR="006B2A22">
        <w:rPr>
          <w:rFonts w:cs="Arial"/>
          <w:b w:val="0"/>
          <w:color w:val="auto"/>
          <w:sz w:val="16"/>
        </w:rPr>
        <w:t xml:space="preserve"> </w:t>
      </w:r>
      <w:r w:rsidRPr="009570BB">
        <w:rPr>
          <w:rFonts w:cs="Arial"/>
          <w:b w:val="0"/>
          <w:color w:val="auto"/>
          <w:sz w:val="16"/>
        </w:rPr>
        <w:t>componentes.</w:t>
      </w:r>
    </w:p>
    <w:p w14:paraId="4A79397F" w14:textId="77777777" w:rsidR="00A82556" w:rsidRDefault="00A82556" w:rsidP="00E00166">
      <w:pPr>
        <w:widowControl/>
        <w:ind w:left="1560" w:right="1610"/>
        <w:jc w:val="both"/>
        <w:rPr>
          <w:rFonts w:cs="Arial"/>
          <w:color w:val="000000" w:themeColor="text1"/>
          <w:sz w:val="16"/>
          <w:szCs w:val="16"/>
        </w:rPr>
      </w:pPr>
      <w:r w:rsidRPr="004C5D14">
        <w:rPr>
          <w:rFonts w:cs="Arial"/>
          <w:color w:val="000000" w:themeColor="text1"/>
          <w:sz w:val="16"/>
          <w:szCs w:val="16"/>
        </w:rPr>
        <w:t>Fuente: INEGI.</w:t>
      </w:r>
    </w:p>
    <w:p w14:paraId="07DF478A" w14:textId="77777777" w:rsidR="00421A91" w:rsidRDefault="00421A91" w:rsidP="004316A6">
      <w:pPr>
        <w:pStyle w:val="bullet"/>
        <w:numPr>
          <w:ilvl w:val="0"/>
          <w:numId w:val="0"/>
        </w:numPr>
        <w:ind w:left="284" w:right="902"/>
        <w:rPr>
          <w:i/>
          <w:color w:val="auto"/>
        </w:rPr>
      </w:pPr>
    </w:p>
    <w:p w14:paraId="67EE7F27" w14:textId="77777777" w:rsidR="00421A91" w:rsidRDefault="00421A91" w:rsidP="004316A6">
      <w:pPr>
        <w:pStyle w:val="bullet"/>
        <w:numPr>
          <w:ilvl w:val="0"/>
          <w:numId w:val="0"/>
        </w:numPr>
        <w:ind w:left="284" w:right="902"/>
        <w:rPr>
          <w:i/>
          <w:color w:val="auto"/>
        </w:rPr>
      </w:pPr>
    </w:p>
    <w:p w14:paraId="2BC3404A" w14:textId="77777777" w:rsidR="00421A91" w:rsidRDefault="00421A91" w:rsidP="004316A6">
      <w:pPr>
        <w:pStyle w:val="bullet"/>
        <w:numPr>
          <w:ilvl w:val="0"/>
          <w:numId w:val="0"/>
        </w:numPr>
        <w:ind w:left="284" w:right="902"/>
        <w:rPr>
          <w:i/>
          <w:color w:val="auto"/>
        </w:rPr>
      </w:pPr>
    </w:p>
    <w:p w14:paraId="4089D797" w14:textId="77777777" w:rsidR="00421A91" w:rsidRDefault="00421A91" w:rsidP="004316A6">
      <w:pPr>
        <w:pStyle w:val="bullet"/>
        <w:numPr>
          <w:ilvl w:val="0"/>
          <w:numId w:val="0"/>
        </w:numPr>
        <w:ind w:left="284" w:right="902"/>
        <w:rPr>
          <w:i/>
          <w:color w:val="auto"/>
        </w:rPr>
      </w:pPr>
    </w:p>
    <w:p w14:paraId="2EFCF72D" w14:textId="7C862016" w:rsidR="005E3FC4" w:rsidRPr="00650C57" w:rsidRDefault="005E3FC4" w:rsidP="004316A6">
      <w:pPr>
        <w:pStyle w:val="bullet"/>
        <w:numPr>
          <w:ilvl w:val="0"/>
          <w:numId w:val="0"/>
        </w:numPr>
        <w:ind w:left="284" w:right="902"/>
        <w:rPr>
          <w:i/>
          <w:color w:val="auto"/>
        </w:rPr>
      </w:pPr>
      <w:r w:rsidRPr="00650C57">
        <w:rPr>
          <w:i/>
          <w:color w:val="auto"/>
        </w:rPr>
        <w:lastRenderedPageBreak/>
        <w:t>Cifras originales</w:t>
      </w:r>
    </w:p>
    <w:p w14:paraId="39A34D45" w14:textId="45D88493" w:rsidR="005E3FC4" w:rsidRPr="00DC6F94" w:rsidRDefault="005E3FC4" w:rsidP="003078AC">
      <w:pPr>
        <w:pStyle w:val="bullet"/>
        <w:numPr>
          <w:ilvl w:val="0"/>
          <w:numId w:val="0"/>
        </w:numPr>
        <w:ind w:right="-91"/>
        <w:rPr>
          <w:b w:val="0"/>
          <w:i/>
          <w:color w:val="auto"/>
          <w:sz w:val="24"/>
          <w:szCs w:val="24"/>
        </w:rPr>
      </w:pPr>
      <w:r w:rsidRPr="005E3FC4">
        <w:rPr>
          <w:b w:val="0"/>
          <w:color w:val="auto"/>
          <w:sz w:val="24"/>
        </w:rPr>
        <w:t xml:space="preserve">En el siguiente cuadro </w:t>
      </w:r>
      <w:r w:rsidR="0046476B">
        <w:rPr>
          <w:b w:val="0"/>
          <w:color w:val="auto"/>
          <w:sz w:val="24"/>
        </w:rPr>
        <w:t>se muestran</w:t>
      </w:r>
      <w:r w:rsidRPr="005E3FC4">
        <w:rPr>
          <w:b w:val="0"/>
          <w:color w:val="auto"/>
          <w:sz w:val="24"/>
        </w:rPr>
        <w:t xml:space="preserve"> los resultados originales de la Estimación Oportuna del PIB trimestral por actividad:</w:t>
      </w:r>
    </w:p>
    <w:p w14:paraId="067C7991" w14:textId="3185C699" w:rsidR="00230D75" w:rsidRPr="00230D75" w:rsidRDefault="00230D75" w:rsidP="00E52A87">
      <w:pPr>
        <w:pStyle w:val="bullet"/>
        <w:numPr>
          <w:ilvl w:val="0"/>
          <w:numId w:val="0"/>
        </w:numPr>
        <w:ind w:right="0"/>
        <w:jc w:val="center"/>
        <w:rPr>
          <w:b w:val="0"/>
          <w:bCs/>
          <w:color w:val="auto"/>
          <w:sz w:val="20"/>
        </w:rPr>
      </w:pPr>
      <w:r w:rsidRPr="00230D75">
        <w:rPr>
          <w:b w:val="0"/>
          <w:bCs/>
          <w:color w:val="auto"/>
          <w:sz w:val="20"/>
        </w:rPr>
        <w:t>Cuadro 2</w:t>
      </w:r>
    </w:p>
    <w:p w14:paraId="59C67B17" w14:textId="50A41C83" w:rsidR="00EF4CD3" w:rsidRPr="00BB1B5E" w:rsidRDefault="00EF4CD3" w:rsidP="00230D75">
      <w:pPr>
        <w:pStyle w:val="bullet"/>
        <w:numPr>
          <w:ilvl w:val="0"/>
          <w:numId w:val="0"/>
        </w:numPr>
        <w:spacing w:before="0"/>
        <w:ind w:right="0"/>
        <w:jc w:val="center"/>
        <w:rPr>
          <w:rFonts w:cs="Arial"/>
          <w:smallCaps/>
          <w:color w:val="auto"/>
          <w:szCs w:val="22"/>
        </w:rPr>
      </w:pPr>
      <w:r w:rsidRPr="00BB1B5E">
        <w:rPr>
          <w:rFonts w:cs="Arial"/>
          <w:smallCaps/>
          <w:color w:val="auto"/>
          <w:szCs w:val="22"/>
        </w:rPr>
        <w:t>Producto Interno Bruto</w:t>
      </w:r>
    </w:p>
    <w:p w14:paraId="2E6D1738" w14:textId="7E19DD30" w:rsidR="00EF4CD3" w:rsidRPr="00BB1B5E" w:rsidRDefault="002D5EDB" w:rsidP="00EF4CD3">
      <w:pPr>
        <w:pStyle w:val="bullet"/>
        <w:numPr>
          <w:ilvl w:val="0"/>
          <w:numId w:val="0"/>
        </w:numPr>
        <w:spacing w:before="0"/>
        <w:ind w:right="0"/>
        <w:jc w:val="center"/>
        <w:rPr>
          <w:rFonts w:cs="Arial"/>
          <w:smallCaps/>
          <w:color w:val="auto"/>
          <w:szCs w:val="22"/>
        </w:rPr>
      </w:pPr>
      <w:r>
        <w:rPr>
          <w:rFonts w:cs="Arial"/>
          <w:smallCaps/>
          <w:color w:val="auto"/>
          <w:szCs w:val="22"/>
        </w:rPr>
        <w:t>primer</w:t>
      </w:r>
      <w:r w:rsidR="00EF4CD3" w:rsidRPr="00BB1B5E">
        <w:rPr>
          <w:rFonts w:cs="Arial"/>
          <w:smallCaps/>
          <w:color w:val="auto"/>
          <w:szCs w:val="22"/>
        </w:rPr>
        <w:t xml:space="preserve"> trimestre de 202</w:t>
      </w:r>
      <w:r>
        <w:rPr>
          <w:rFonts w:cs="Arial"/>
          <w:smallCaps/>
          <w:color w:val="auto"/>
          <w:szCs w:val="22"/>
        </w:rPr>
        <w:t>2</w:t>
      </w:r>
    </w:p>
    <w:p w14:paraId="2A208E78" w14:textId="7C9DB61F" w:rsidR="00EF4CD3" w:rsidRDefault="00EF4CD3" w:rsidP="00EF4CD3">
      <w:pPr>
        <w:pStyle w:val="bullet"/>
        <w:numPr>
          <w:ilvl w:val="0"/>
          <w:numId w:val="0"/>
        </w:numPr>
        <w:spacing w:before="0"/>
        <w:ind w:right="0"/>
        <w:jc w:val="center"/>
        <w:rPr>
          <w:rFonts w:cs="Arial"/>
          <w:b w:val="0"/>
          <w:bCs/>
          <w:snapToGrid/>
          <w:color w:val="000000" w:themeColor="text1"/>
          <w:sz w:val="18"/>
          <w:lang w:val="es-MX" w:eastAsia="es-MX"/>
        </w:rPr>
      </w:pPr>
      <w:r>
        <w:rPr>
          <w:rFonts w:cs="Arial"/>
          <w:b w:val="0"/>
          <w:bCs/>
          <w:snapToGrid/>
          <w:color w:val="000000" w:themeColor="text1"/>
          <w:sz w:val="18"/>
          <w:lang w:val="es-MX" w:eastAsia="es-MX"/>
        </w:rPr>
        <w:t>(</w:t>
      </w:r>
      <w:r w:rsidRPr="00752485">
        <w:rPr>
          <w:rFonts w:cs="Arial"/>
          <w:b w:val="0"/>
          <w:bCs/>
          <w:snapToGrid/>
          <w:color w:val="000000" w:themeColor="text1"/>
          <w:sz w:val="18"/>
          <w:lang w:val="es-MX" w:eastAsia="es-MX"/>
        </w:rPr>
        <w:t xml:space="preserve">Variación </w:t>
      </w:r>
      <w:r w:rsidR="004316A6">
        <w:rPr>
          <w:rFonts w:cs="Arial"/>
          <w:b w:val="0"/>
          <w:bCs/>
          <w:snapToGrid/>
          <w:color w:val="000000" w:themeColor="text1"/>
          <w:sz w:val="18"/>
          <w:lang w:val="es-MX" w:eastAsia="es-MX"/>
        </w:rPr>
        <w:t>porcentual anual</w:t>
      </w:r>
      <w:r>
        <w:rPr>
          <w:rFonts w:cs="Arial"/>
          <w:b w:val="0"/>
          <w:bCs/>
          <w:snapToGrid/>
          <w:color w:val="000000" w:themeColor="text1"/>
          <w:sz w:val="18"/>
          <w:lang w:val="es-MX" w:eastAsia="es-MX"/>
        </w:rPr>
        <w:t>)</w:t>
      </w:r>
    </w:p>
    <w:tbl>
      <w:tblPr>
        <w:tblStyle w:val="Tablaconcuadrcula"/>
        <w:tblW w:w="6805" w:type="dxa"/>
        <w:jc w:val="center"/>
        <w:tblBorders>
          <w:top w:val="double" w:sz="4" w:space="0" w:color="000000"/>
          <w:left w:val="double" w:sz="4" w:space="0" w:color="000000"/>
          <w:bottom w:val="double" w:sz="4" w:space="0" w:color="000000"/>
          <w:right w:val="double" w:sz="4" w:space="0" w:color="000000"/>
          <w:insideH w:val="none" w:sz="0" w:space="0" w:color="auto"/>
          <w:insideV w:val="none" w:sz="0" w:space="0" w:color="auto"/>
        </w:tblBorders>
        <w:tblLook w:val="04A0" w:firstRow="1" w:lastRow="0" w:firstColumn="1" w:lastColumn="0" w:noHBand="0" w:noVBand="1"/>
      </w:tblPr>
      <w:tblGrid>
        <w:gridCol w:w="2050"/>
        <w:gridCol w:w="768"/>
        <w:gridCol w:w="727"/>
        <w:gridCol w:w="764"/>
        <w:gridCol w:w="798"/>
        <w:gridCol w:w="768"/>
        <w:gridCol w:w="930"/>
      </w:tblGrid>
      <w:tr w:rsidR="007F2F67" w:rsidRPr="007F656F" w14:paraId="141AF94E" w14:textId="34D252D0" w:rsidTr="006055B7">
        <w:trPr>
          <w:trHeight w:val="179"/>
          <w:jc w:val="center"/>
        </w:trPr>
        <w:tc>
          <w:tcPr>
            <w:tcW w:w="2050" w:type="dxa"/>
            <w:vMerge w:val="restart"/>
            <w:tcBorders>
              <w:top w:val="double" w:sz="4" w:space="0" w:color="000000"/>
              <w:bottom w:val="nil"/>
              <w:right w:val="double" w:sz="4" w:space="0" w:color="000000"/>
            </w:tcBorders>
            <w:shd w:val="clear" w:color="auto" w:fill="D6E3BC" w:themeFill="accent3" w:themeFillTint="66"/>
            <w:vAlign w:val="center"/>
          </w:tcPr>
          <w:p w14:paraId="3E06643D" w14:textId="77777777" w:rsidR="007F2F67" w:rsidRPr="004A352E" w:rsidRDefault="007F2F67" w:rsidP="008F5D0F">
            <w:pPr>
              <w:widowControl/>
              <w:jc w:val="center"/>
              <w:rPr>
                <w:rFonts w:cs="Arial"/>
                <w:snapToGrid/>
                <w:sz w:val="16"/>
                <w:szCs w:val="14"/>
                <w:lang w:val="es-MX" w:eastAsia="es-MX"/>
              </w:rPr>
            </w:pPr>
            <w:r w:rsidRPr="004A352E">
              <w:rPr>
                <w:rFonts w:cs="Arial"/>
                <w:snapToGrid/>
                <w:sz w:val="16"/>
                <w:szCs w:val="14"/>
                <w:lang w:val="es-MX" w:eastAsia="es-MX"/>
              </w:rPr>
              <w:t>Concepto</w:t>
            </w:r>
          </w:p>
        </w:tc>
        <w:tc>
          <w:tcPr>
            <w:tcW w:w="3825" w:type="dxa"/>
            <w:gridSpan w:val="5"/>
            <w:tcBorders>
              <w:top w:val="double" w:sz="4" w:space="0" w:color="000000"/>
              <w:left w:val="double" w:sz="4" w:space="0" w:color="000000"/>
              <w:bottom w:val="double" w:sz="4" w:space="0" w:color="000000"/>
            </w:tcBorders>
            <w:shd w:val="clear" w:color="auto" w:fill="D6E3BC" w:themeFill="accent3" w:themeFillTint="66"/>
            <w:vAlign w:val="center"/>
          </w:tcPr>
          <w:p w14:paraId="600C32C5" w14:textId="2FA1D645" w:rsidR="007F2F67" w:rsidRPr="004A352E" w:rsidRDefault="007F2F67" w:rsidP="002D5EDB">
            <w:pPr>
              <w:widowControl/>
              <w:spacing w:before="60" w:after="60"/>
              <w:jc w:val="center"/>
              <w:rPr>
                <w:rFonts w:cs="Arial"/>
                <w:snapToGrid/>
                <w:sz w:val="16"/>
                <w:szCs w:val="14"/>
                <w:lang w:val="es-MX" w:eastAsia="es-MX"/>
              </w:rPr>
            </w:pPr>
            <w:r w:rsidRPr="004A352E">
              <w:rPr>
                <w:rFonts w:cs="Arial"/>
                <w:snapToGrid/>
                <w:sz w:val="16"/>
                <w:szCs w:val="14"/>
                <w:lang w:val="es-MX" w:eastAsia="es-MX"/>
              </w:rPr>
              <w:t>2021</w:t>
            </w:r>
            <w:r w:rsidRPr="004A352E">
              <w:rPr>
                <w:rFonts w:cs="Arial"/>
                <w:snapToGrid/>
                <w:sz w:val="16"/>
                <w:szCs w:val="14"/>
                <w:vertAlign w:val="superscript"/>
                <w:lang w:val="es-MX" w:eastAsia="es-MX"/>
              </w:rPr>
              <w:t>P/</w:t>
            </w:r>
          </w:p>
        </w:tc>
        <w:tc>
          <w:tcPr>
            <w:tcW w:w="930" w:type="dxa"/>
            <w:tcBorders>
              <w:top w:val="double" w:sz="4" w:space="0" w:color="000000"/>
              <w:left w:val="double" w:sz="4" w:space="0" w:color="000000"/>
              <w:bottom w:val="double" w:sz="4" w:space="0" w:color="000000"/>
            </w:tcBorders>
            <w:shd w:val="clear" w:color="auto" w:fill="D6E3BC" w:themeFill="accent3" w:themeFillTint="66"/>
            <w:vAlign w:val="center"/>
          </w:tcPr>
          <w:p w14:paraId="03BFB87A" w14:textId="4188D685" w:rsidR="007F2F67" w:rsidRPr="004A352E" w:rsidRDefault="007F2F67" w:rsidP="002D5EDB">
            <w:pPr>
              <w:widowControl/>
              <w:spacing w:before="60" w:after="60"/>
              <w:jc w:val="center"/>
              <w:rPr>
                <w:rFonts w:cs="Arial"/>
                <w:snapToGrid/>
                <w:sz w:val="16"/>
                <w:szCs w:val="14"/>
                <w:lang w:val="es-MX" w:eastAsia="es-MX"/>
              </w:rPr>
            </w:pPr>
            <w:r w:rsidRPr="004A352E">
              <w:rPr>
                <w:rFonts w:cs="Arial"/>
                <w:snapToGrid/>
                <w:sz w:val="16"/>
                <w:szCs w:val="14"/>
                <w:lang w:val="es-MX" w:eastAsia="es-MX"/>
              </w:rPr>
              <w:t>2022</w:t>
            </w:r>
          </w:p>
        </w:tc>
      </w:tr>
      <w:tr w:rsidR="007F2F67" w:rsidRPr="007F2F67" w14:paraId="23C23FF1" w14:textId="6D14DBA9" w:rsidTr="006055B7">
        <w:trPr>
          <w:trHeight w:val="283"/>
          <w:jc w:val="center"/>
        </w:trPr>
        <w:tc>
          <w:tcPr>
            <w:tcW w:w="2050" w:type="dxa"/>
            <w:vMerge/>
            <w:tcBorders>
              <w:top w:val="nil"/>
              <w:bottom w:val="double" w:sz="4" w:space="0" w:color="000000"/>
              <w:right w:val="double" w:sz="4" w:space="0" w:color="000000"/>
            </w:tcBorders>
            <w:shd w:val="clear" w:color="auto" w:fill="D6E3BC" w:themeFill="accent3" w:themeFillTint="66"/>
          </w:tcPr>
          <w:p w14:paraId="69DAE9E5" w14:textId="77777777" w:rsidR="007F2F67" w:rsidRPr="004A352E" w:rsidRDefault="007F2F67" w:rsidP="008F5D0F">
            <w:pPr>
              <w:pStyle w:val="p0"/>
              <w:rPr>
                <w:sz w:val="16"/>
                <w:szCs w:val="14"/>
              </w:rPr>
            </w:pPr>
          </w:p>
        </w:tc>
        <w:tc>
          <w:tcPr>
            <w:tcW w:w="768" w:type="dxa"/>
            <w:tcBorders>
              <w:top w:val="double" w:sz="4" w:space="0" w:color="000000"/>
              <w:left w:val="double" w:sz="4" w:space="0" w:color="000000"/>
              <w:bottom w:val="double" w:sz="4" w:space="0" w:color="000000"/>
            </w:tcBorders>
            <w:shd w:val="clear" w:color="auto" w:fill="D6E3BC" w:themeFill="accent3" w:themeFillTint="66"/>
            <w:vAlign w:val="center"/>
          </w:tcPr>
          <w:p w14:paraId="5FF9BA8C" w14:textId="53BCE5DD" w:rsidR="007F2F67" w:rsidRPr="004A352E" w:rsidRDefault="007F2F67" w:rsidP="00F76FAC">
            <w:pPr>
              <w:pStyle w:val="p0"/>
              <w:spacing w:before="20"/>
              <w:jc w:val="center"/>
              <w:rPr>
                <w:color w:val="auto"/>
                <w:sz w:val="16"/>
                <w:szCs w:val="14"/>
              </w:rPr>
            </w:pPr>
            <w:r w:rsidRPr="004A352E">
              <w:rPr>
                <w:color w:val="auto"/>
                <w:sz w:val="16"/>
                <w:szCs w:val="14"/>
              </w:rPr>
              <w:t>I</w:t>
            </w:r>
          </w:p>
        </w:tc>
        <w:tc>
          <w:tcPr>
            <w:tcW w:w="727" w:type="dxa"/>
            <w:tcBorders>
              <w:top w:val="double" w:sz="4" w:space="0" w:color="000000"/>
              <w:left w:val="double" w:sz="4" w:space="0" w:color="000000"/>
              <w:bottom w:val="double" w:sz="4" w:space="0" w:color="000000"/>
            </w:tcBorders>
            <w:shd w:val="clear" w:color="auto" w:fill="D6E3BC" w:themeFill="accent3" w:themeFillTint="66"/>
            <w:vAlign w:val="center"/>
          </w:tcPr>
          <w:p w14:paraId="46A9DB0A" w14:textId="0CC2FC10" w:rsidR="007F2F67" w:rsidRPr="004A352E" w:rsidRDefault="007F2F67" w:rsidP="00F76FAC">
            <w:pPr>
              <w:pStyle w:val="p0"/>
              <w:spacing w:before="20"/>
              <w:jc w:val="center"/>
              <w:rPr>
                <w:color w:val="auto"/>
                <w:sz w:val="16"/>
                <w:szCs w:val="14"/>
              </w:rPr>
            </w:pPr>
            <w:r w:rsidRPr="004A352E">
              <w:rPr>
                <w:color w:val="auto"/>
                <w:sz w:val="16"/>
                <w:szCs w:val="14"/>
              </w:rPr>
              <w:t>II</w:t>
            </w:r>
          </w:p>
        </w:tc>
        <w:tc>
          <w:tcPr>
            <w:tcW w:w="764" w:type="dxa"/>
            <w:tcBorders>
              <w:top w:val="double" w:sz="4" w:space="0" w:color="000000"/>
              <w:left w:val="double" w:sz="4" w:space="0" w:color="000000"/>
              <w:bottom w:val="double" w:sz="4" w:space="0" w:color="000000"/>
              <w:right w:val="double" w:sz="4" w:space="0" w:color="000000"/>
            </w:tcBorders>
            <w:shd w:val="clear" w:color="auto" w:fill="D6E3BC" w:themeFill="accent3" w:themeFillTint="66"/>
            <w:vAlign w:val="center"/>
          </w:tcPr>
          <w:p w14:paraId="5E78E5E6" w14:textId="05B8EB0F" w:rsidR="007F2F67" w:rsidRPr="004A352E" w:rsidRDefault="007F2F67" w:rsidP="00613BA4">
            <w:pPr>
              <w:pStyle w:val="p0"/>
              <w:spacing w:before="20"/>
              <w:jc w:val="center"/>
              <w:rPr>
                <w:color w:val="auto"/>
                <w:sz w:val="16"/>
                <w:szCs w:val="14"/>
              </w:rPr>
            </w:pPr>
            <w:r w:rsidRPr="004A352E">
              <w:rPr>
                <w:color w:val="auto"/>
                <w:sz w:val="16"/>
                <w:szCs w:val="14"/>
              </w:rPr>
              <w:t>III</w:t>
            </w:r>
          </w:p>
        </w:tc>
        <w:tc>
          <w:tcPr>
            <w:tcW w:w="798" w:type="dxa"/>
            <w:tcBorders>
              <w:top w:val="double" w:sz="4" w:space="0" w:color="000000"/>
              <w:left w:val="double" w:sz="4" w:space="0" w:color="000000"/>
              <w:bottom w:val="double" w:sz="4" w:space="0" w:color="000000"/>
              <w:right w:val="double" w:sz="4" w:space="0" w:color="000000"/>
            </w:tcBorders>
            <w:shd w:val="clear" w:color="auto" w:fill="D6E3BC" w:themeFill="accent3" w:themeFillTint="66"/>
            <w:vAlign w:val="center"/>
          </w:tcPr>
          <w:p w14:paraId="41D78861" w14:textId="04637D75" w:rsidR="007F2F67" w:rsidRPr="004A352E" w:rsidRDefault="007F2F67" w:rsidP="00CC0580">
            <w:pPr>
              <w:pStyle w:val="p0"/>
              <w:spacing w:before="20"/>
              <w:jc w:val="center"/>
              <w:rPr>
                <w:color w:val="auto"/>
                <w:sz w:val="16"/>
                <w:szCs w:val="14"/>
              </w:rPr>
            </w:pPr>
            <w:r w:rsidRPr="004A352E">
              <w:rPr>
                <w:color w:val="auto"/>
                <w:sz w:val="16"/>
                <w:szCs w:val="14"/>
              </w:rPr>
              <w:t>IV</w:t>
            </w:r>
          </w:p>
        </w:tc>
        <w:tc>
          <w:tcPr>
            <w:tcW w:w="768" w:type="dxa"/>
            <w:tcBorders>
              <w:top w:val="double" w:sz="4" w:space="0" w:color="000000"/>
              <w:left w:val="double" w:sz="4" w:space="0" w:color="000000"/>
              <w:bottom w:val="double" w:sz="4" w:space="0" w:color="000000"/>
            </w:tcBorders>
            <w:shd w:val="clear" w:color="auto" w:fill="D6E3BC" w:themeFill="accent3" w:themeFillTint="66"/>
            <w:vAlign w:val="center"/>
          </w:tcPr>
          <w:p w14:paraId="7FBB828C" w14:textId="77D0A4FA" w:rsidR="007F2F67" w:rsidRPr="004A352E" w:rsidRDefault="007F2F67" w:rsidP="00F76FAC">
            <w:pPr>
              <w:pStyle w:val="p0"/>
              <w:spacing w:before="20"/>
              <w:jc w:val="center"/>
              <w:rPr>
                <w:color w:val="auto"/>
                <w:sz w:val="16"/>
                <w:szCs w:val="14"/>
              </w:rPr>
            </w:pPr>
            <w:r w:rsidRPr="004A352E">
              <w:rPr>
                <w:color w:val="auto"/>
                <w:sz w:val="16"/>
                <w:szCs w:val="14"/>
              </w:rPr>
              <w:t>Anual</w:t>
            </w:r>
          </w:p>
        </w:tc>
        <w:tc>
          <w:tcPr>
            <w:tcW w:w="930" w:type="dxa"/>
            <w:tcBorders>
              <w:top w:val="double" w:sz="4" w:space="0" w:color="000000"/>
              <w:left w:val="double" w:sz="4" w:space="0" w:color="000000"/>
              <w:bottom w:val="double" w:sz="4" w:space="0" w:color="000000"/>
            </w:tcBorders>
            <w:shd w:val="clear" w:color="auto" w:fill="D6E3BC" w:themeFill="accent3" w:themeFillTint="66"/>
            <w:vAlign w:val="center"/>
          </w:tcPr>
          <w:p w14:paraId="543BDD33" w14:textId="1A5602DC" w:rsidR="007F2F67" w:rsidRPr="004A352E" w:rsidRDefault="007F2F67" w:rsidP="00CC0580">
            <w:pPr>
              <w:pStyle w:val="p0"/>
              <w:spacing w:before="20"/>
              <w:jc w:val="center"/>
              <w:rPr>
                <w:color w:val="auto"/>
                <w:sz w:val="16"/>
                <w:szCs w:val="14"/>
              </w:rPr>
            </w:pPr>
            <w:r w:rsidRPr="004A352E">
              <w:rPr>
                <w:color w:val="auto"/>
                <w:sz w:val="16"/>
                <w:szCs w:val="14"/>
              </w:rPr>
              <w:t>I</w:t>
            </w:r>
            <w:r w:rsidR="00CC0580" w:rsidRPr="004A352E">
              <w:rPr>
                <w:color w:val="auto"/>
                <w:sz w:val="16"/>
                <w:szCs w:val="14"/>
              </w:rPr>
              <w:t>*</w:t>
            </w:r>
          </w:p>
        </w:tc>
      </w:tr>
      <w:tr w:rsidR="007F2F67" w:rsidRPr="007F2F67" w14:paraId="55A04732" w14:textId="17A1E2A5" w:rsidTr="006055B7">
        <w:trPr>
          <w:trHeight w:val="312"/>
          <w:jc w:val="center"/>
        </w:trPr>
        <w:tc>
          <w:tcPr>
            <w:tcW w:w="2050" w:type="dxa"/>
            <w:tcBorders>
              <w:top w:val="double" w:sz="4" w:space="0" w:color="000000"/>
              <w:bottom w:val="nil"/>
              <w:right w:val="double" w:sz="4" w:space="0" w:color="000000"/>
            </w:tcBorders>
            <w:vAlign w:val="center"/>
          </w:tcPr>
          <w:p w14:paraId="6E1BC170" w14:textId="348FC621" w:rsidR="007F2F67" w:rsidRPr="007B5847" w:rsidRDefault="007F2F67" w:rsidP="006055B7">
            <w:pPr>
              <w:widowControl/>
              <w:rPr>
                <w:rFonts w:cs="Arial"/>
                <w:b/>
                <w:bCs/>
                <w:snapToGrid/>
                <w:color w:val="000000"/>
                <w:sz w:val="16"/>
                <w:szCs w:val="18"/>
                <w:lang w:val="es-MX" w:eastAsia="es-MX"/>
              </w:rPr>
            </w:pPr>
            <w:r w:rsidRPr="007B5847">
              <w:rPr>
                <w:rFonts w:cs="Arial"/>
                <w:b/>
                <w:bCs/>
                <w:snapToGrid/>
                <w:color w:val="000000"/>
                <w:sz w:val="16"/>
                <w:szCs w:val="18"/>
                <w:lang w:val="es-MX" w:eastAsia="es-MX"/>
              </w:rPr>
              <w:t xml:space="preserve">PIB </w:t>
            </w:r>
            <w:r>
              <w:rPr>
                <w:rFonts w:cs="Arial"/>
                <w:b/>
                <w:bCs/>
                <w:snapToGrid/>
                <w:color w:val="000000"/>
                <w:sz w:val="16"/>
                <w:szCs w:val="18"/>
                <w:lang w:val="es-MX" w:eastAsia="es-MX"/>
              </w:rPr>
              <w:t>t</w:t>
            </w:r>
            <w:r w:rsidRPr="007B5847">
              <w:rPr>
                <w:rFonts w:cs="Arial"/>
                <w:b/>
                <w:bCs/>
                <w:snapToGrid/>
                <w:color w:val="000000"/>
                <w:sz w:val="16"/>
                <w:szCs w:val="18"/>
                <w:lang w:val="es-MX" w:eastAsia="es-MX"/>
              </w:rPr>
              <w:t xml:space="preserve">otal </w:t>
            </w:r>
          </w:p>
        </w:tc>
        <w:tc>
          <w:tcPr>
            <w:tcW w:w="768" w:type="dxa"/>
            <w:tcBorders>
              <w:top w:val="double" w:sz="4" w:space="0" w:color="000000"/>
              <w:left w:val="nil"/>
              <w:bottom w:val="nil"/>
              <w:right w:val="nil"/>
            </w:tcBorders>
            <w:vAlign w:val="center"/>
          </w:tcPr>
          <w:p w14:paraId="7D00BF2B" w14:textId="0D3B28EF" w:rsidR="007F2F67" w:rsidRPr="006055B7" w:rsidRDefault="007F2F67" w:rsidP="006055B7">
            <w:pPr>
              <w:pStyle w:val="p0"/>
              <w:spacing w:before="0"/>
              <w:ind w:right="170"/>
              <w:jc w:val="right"/>
              <w:rPr>
                <w:b/>
                <w:color w:val="auto"/>
                <w:sz w:val="16"/>
                <w:szCs w:val="14"/>
              </w:rPr>
            </w:pPr>
            <w:r w:rsidRPr="006055B7">
              <w:rPr>
                <w:b/>
                <w:color w:val="auto"/>
                <w:sz w:val="16"/>
                <w:szCs w:val="14"/>
              </w:rPr>
              <w:t>-3.8</w:t>
            </w:r>
          </w:p>
        </w:tc>
        <w:tc>
          <w:tcPr>
            <w:tcW w:w="727" w:type="dxa"/>
            <w:tcBorders>
              <w:top w:val="double" w:sz="4" w:space="0" w:color="000000"/>
              <w:left w:val="nil"/>
              <w:bottom w:val="nil"/>
              <w:right w:val="nil"/>
            </w:tcBorders>
            <w:vAlign w:val="center"/>
          </w:tcPr>
          <w:p w14:paraId="562FEBCB" w14:textId="345DB7F9" w:rsidR="007F2F67" w:rsidRPr="006055B7" w:rsidRDefault="007F2F67" w:rsidP="006055B7">
            <w:pPr>
              <w:pStyle w:val="p0"/>
              <w:spacing w:before="0"/>
              <w:ind w:right="113"/>
              <w:jc w:val="right"/>
              <w:rPr>
                <w:b/>
                <w:color w:val="auto"/>
                <w:sz w:val="16"/>
                <w:szCs w:val="14"/>
              </w:rPr>
            </w:pPr>
            <w:r w:rsidRPr="006055B7">
              <w:rPr>
                <w:b/>
                <w:color w:val="auto"/>
                <w:sz w:val="16"/>
                <w:szCs w:val="14"/>
              </w:rPr>
              <w:t>19.9</w:t>
            </w:r>
          </w:p>
        </w:tc>
        <w:tc>
          <w:tcPr>
            <w:tcW w:w="764" w:type="dxa"/>
            <w:tcBorders>
              <w:top w:val="double" w:sz="4" w:space="0" w:color="000000"/>
              <w:left w:val="nil"/>
              <w:bottom w:val="nil"/>
              <w:right w:val="nil"/>
            </w:tcBorders>
            <w:vAlign w:val="center"/>
          </w:tcPr>
          <w:p w14:paraId="4BA53EF9" w14:textId="661F20A2" w:rsidR="007F2F67" w:rsidRPr="006055B7" w:rsidRDefault="007F2F67" w:rsidP="006055B7">
            <w:pPr>
              <w:pStyle w:val="p0"/>
              <w:spacing w:before="0"/>
              <w:ind w:right="170"/>
              <w:jc w:val="right"/>
              <w:rPr>
                <w:b/>
                <w:color w:val="auto"/>
                <w:sz w:val="16"/>
                <w:szCs w:val="14"/>
              </w:rPr>
            </w:pPr>
            <w:r w:rsidRPr="006055B7">
              <w:rPr>
                <w:b/>
                <w:color w:val="auto"/>
                <w:sz w:val="16"/>
                <w:szCs w:val="14"/>
              </w:rPr>
              <w:t>4.5</w:t>
            </w:r>
          </w:p>
        </w:tc>
        <w:tc>
          <w:tcPr>
            <w:tcW w:w="798" w:type="dxa"/>
            <w:tcBorders>
              <w:top w:val="double" w:sz="4" w:space="0" w:color="000000"/>
              <w:left w:val="nil"/>
              <w:bottom w:val="nil"/>
              <w:right w:val="nil"/>
            </w:tcBorders>
            <w:vAlign w:val="center"/>
          </w:tcPr>
          <w:p w14:paraId="4B6291F3" w14:textId="4F0E736D" w:rsidR="007F2F67" w:rsidRPr="006055B7" w:rsidRDefault="007F2F67" w:rsidP="006055B7">
            <w:pPr>
              <w:pStyle w:val="p0"/>
              <w:spacing w:before="0"/>
              <w:ind w:right="170"/>
              <w:jc w:val="right"/>
              <w:rPr>
                <w:b/>
                <w:color w:val="auto"/>
                <w:sz w:val="16"/>
                <w:szCs w:val="14"/>
              </w:rPr>
            </w:pPr>
            <w:r w:rsidRPr="006055B7">
              <w:rPr>
                <w:b/>
                <w:color w:val="auto"/>
                <w:sz w:val="16"/>
                <w:szCs w:val="14"/>
              </w:rPr>
              <w:t>1.</w:t>
            </w:r>
            <w:r w:rsidR="00065FD1" w:rsidRPr="006055B7">
              <w:rPr>
                <w:b/>
                <w:color w:val="auto"/>
                <w:sz w:val="16"/>
                <w:szCs w:val="14"/>
              </w:rPr>
              <w:t>1</w:t>
            </w:r>
          </w:p>
        </w:tc>
        <w:tc>
          <w:tcPr>
            <w:tcW w:w="768" w:type="dxa"/>
            <w:tcBorders>
              <w:top w:val="double" w:sz="4" w:space="0" w:color="000000"/>
              <w:left w:val="nil"/>
              <w:bottom w:val="nil"/>
              <w:right w:val="double" w:sz="4" w:space="0" w:color="000000"/>
            </w:tcBorders>
            <w:vAlign w:val="center"/>
          </w:tcPr>
          <w:p w14:paraId="39EAAC67" w14:textId="0EB8DE67" w:rsidR="007F2F67" w:rsidRPr="006055B7" w:rsidRDefault="007F2F67" w:rsidP="006055B7">
            <w:pPr>
              <w:pStyle w:val="p0"/>
              <w:spacing w:before="0"/>
              <w:ind w:right="170"/>
              <w:jc w:val="right"/>
              <w:rPr>
                <w:b/>
                <w:color w:val="auto"/>
                <w:sz w:val="16"/>
                <w:szCs w:val="14"/>
              </w:rPr>
            </w:pPr>
            <w:r w:rsidRPr="006055B7">
              <w:rPr>
                <w:b/>
                <w:color w:val="auto"/>
                <w:sz w:val="16"/>
                <w:szCs w:val="14"/>
              </w:rPr>
              <w:t>4.8</w:t>
            </w:r>
          </w:p>
        </w:tc>
        <w:tc>
          <w:tcPr>
            <w:tcW w:w="930" w:type="dxa"/>
            <w:tcBorders>
              <w:top w:val="double" w:sz="4" w:space="0" w:color="000000"/>
              <w:left w:val="nil"/>
              <w:bottom w:val="nil"/>
              <w:right w:val="double" w:sz="4" w:space="0" w:color="000000"/>
            </w:tcBorders>
            <w:vAlign w:val="center"/>
          </w:tcPr>
          <w:p w14:paraId="388083BF" w14:textId="6803FE4F" w:rsidR="007F2F67" w:rsidRPr="006055B7" w:rsidRDefault="00DA7249" w:rsidP="006055B7">
            <w:pPr>
              <w:pStyle w:val="p0"/>
              <w:spacing w:before="0"/>
              <w:ind w:right="284"/>
              <w:jc w:val="right"/>
              <w:rPr>
                <w:b/>
                <w:color w:val="auto"/>
                <w:sz w:val="16"/>
                <w:szCs w:val="14"/>
              </w:rPr>
            </w:pPr>
            <w:r w:rsidRPr="006055B7">
              <w:rPr>
                <w:b/>
                <w:color w:val="auto"/>
                <w:sz w:val="16"/>
                <w:szCs w:val="14"/>
              </w:rPr>
              <w:t>1.6</w:t>
            </w:r>
          </w:p>
        </w:tc>
      </w:tr>
      <w:tr w:rsidR="007F2F67" w:rsidRPr="007F2F67" w14:paraId="5657A569" w14:textId="354B0BE2" w:rsidTr="006055B7">
        <w:trPr>
          <w:trHeight w:val="312"/>
          <w:jc w:val="center"/>
        </w:trPr>
        <w:tc>
          <w:tcPr>
            <w:tcW w:w="2050" w:type="dxa"/>
            <w:tcBorders>
              <w:top w:val="nil"/>
              <w:bottom w:val="nil"/>
              <w:right w:val="double" w:sz="4" w:space="0" w:color="000000"/>
            </w:tcBorders>
            <w:vAlign w:val="center"/>
          </w:tcPr>
          <w:p w14:paraId="00D832AB" w14:textId="6F47F899" w:rsidR="007F2F67" w:rsidRPr="007B5847" w:rsidRDefault="007F2F67" w:rsidP="006055B7">
            <w:pPr>
              <w:widowControl/>
              <w:rPr>
                <w:rFonts w:cs="Arial"/>
                <w:bCs/>
                <w:snapToGrid/>
                <w:color w:val="000000"/>
                <w:sz w:val="16"/>
                <w:szCs w:val="18"/>
                <w:lang w:val="es-MX" w:eastAsia="es-MX"/>
              </w:rPr>
            </w:pPr>
            <w:r w:rsidRPr="007B5847">
              <w:rPr>
                <w:rFonts w:cs="Arial"/>
                <w:bCs/>
                <w:snapToGrid/>
                <w:color w:val="000000"/>
                <w:sz w:val="16"/>
                <w:szCs w:val="18"/>
                <w:lang w:val="es-MX" w:eastAsia="es-MX"/>
              </w:rPr>
              <w:t xml:space="preserve"> </w:t>
            </w:r>
            <w:r w:rsidRPr="006055B7">
              <w:rPr>
                <w:rFonts w:cs="Arial"/>
                <w:b/>
                <w:bCs/>
                <w:snapToGrid/>
                <w:color w:val="000000"/>
                <w:sz w:val="16"/>
                <w:szCs w:val="18"/>
                <w:lang w:val="es-MX" w:eastAsia="es-MX"/>
              </w:rPr>
              <w:t>Actividades</w:t>
            </w:r>
            <w:r w:rsidRPr="007B5847">
              <w:rPr>
                <w:rFonts w:cs="Arial"/>
                <w:bCs/>
                <w:snapToGrid/>
                <w:color w:val="000000"/>
                <w:sz w:val="16"/>
                <w:szCs w:val="18"/>
                <w:lang w:val="es-MX" w:eastAsia="es-MX"/>
              </w:rPr>
              <w:t xml:space="preserve"> </w:t>
            </w:r>
            <w:r>
              <w:rPr>
                <w:rFonts w:cs="Arial"/>
                <w:bCs/>
                <w:snapToGrid/>
                <w:color w:val="000000"/>
                <w:sz w:val="16"/>
                <w:szCs w:val="18"/>
                <w:lang w:val="es-MX" w:eastAsia="es-MX"/>
              </w:rPr>
              <w:t>p</w:t>
            </w:r>
            <w:r w:rsidRPr="007B5847">
              <w:rPr>
                <w:rFonts w:cs="Arial"/>
                <w:bCs/>
                <w:snapToGrid/>
                <w:color w:val="000000"/>
                <w:sz w:val="16"/>
                <w:szCs w:val="18"/>
                <w:lang w:val="es-MX" w:eastAsia="es-MX"/>
              </w:rPr>
              <w:t xml:space="preserve">rimarias </w:t>
            </w:r>
          </w:p>
        </w:tc>
        <w:tc>
          <w:tcPr>
            <w:tcW w:w="768" w:type="dxa"/>
            <w:tcBorders>
              <w:top w:val="nil"/>
              <w:left w:val="nil"/>
              <w:bottom w:val="nil"/>
              <w:right w:val="nil"/>
            </w:tcBorders>
            <w:vAlign w:val="center"/>
          </w:tcPr>
          <w:p w14:paraId="064563B8" w14:textId="1F5F5093" w:rsidR="007F2F67" w:rsidRPr="006055B7" w:rsidRDefault="007F2F67" w:rsidP="006055B7">
            <w:pPr>
              <w:pStyle w:val="p0"/>
              <w:spacing w:before="0"/>
              <w:ind w:right="170"/>
              <w:jc w:val="right"/>
              <w:rPr>
                <w:color w:val="auto"/>
                <w:sz w:val="16"/>
                <w:szCs w:val="14"/>
              </w:rPr>
            </w:pPr>
            <w:r w:rsidRPr="006055B7">
              <w:rPr>
                <w:color w:val="auto"/>
                <w:sz w:val="16"/>
                <w:szCs w:val="14"/>
              </w:rPr>
              <w:t>-1.0</w:t>
            </w:r>
          </w:p>
        </w:tc>
        <w:tc>
          <w:tcPr>
            <w:tcW w:w="727" w:type="dxa"/>
            <w:tcBorders>
              <w:top w:val="nil"/>
              <w:left w:val="nil"/>
              <w:bottom w:val="nil"/>
              <w:right w:val="nil"/>
            </w:tcBorders>
            <w:vAlign w:val="center"/>
          </w:tcPr>
          <w:p w14:paraId="499F047D" w14:textId="429C848B" w:rsidR="007F2F67" w:rsidRPr="006055B7" w:rsidRDefault="007F2F67" w:rsidP="006055B7">
            <w:pPr>
              <w:pStyle w:val="p0"/>
              <w:spacing w:before="0"/>
              <w:ind w:right="113"/>
              <w:jc w:val="right"/>
              <w:rPr>
                <w:color w:val="auto"/>
                <w:sz w:val="16"/>
                <w:szCs w:val="14"/>
              </w:rPr>
            </w:pPr>
            <w:r w:rsidRPr="006055B7">
              <w:rPr>
                <w:color w:val="auto"/>
                <w:sz w:val="16"/>
                <w:szCs w:val="14"/>
              </w:rPr>
              <w:t>6.4</w:t>
            </w:r>
          </w:p>
        </w:tc>
        <w:tc>
          <w:tcPr>
            <w:tcW w:w="764" w:type="dxa"/>
            <w:tcBorders>
              <w:top w:val="nil"/>
              <w:left w:val="nil"/>
              <w:bottom w:val="nil"/>
              <w:right w:val="nil"/>
            </w:tcBorders>
            <w:vAlign w:val="center"/>
          </w:tcPr>
          <w:p w14:paraId="153EF7B4" w14:textId="5419368C" w:rsidR="007F2F67" w:rsidRPr="006055B7" w:rsidRDefault="007F2F67" w:rsidP="006055B7">
            <w:pPr>
              <w:pStyle w:val="p0"/>
              <w:spacing w:before="0"/>
              <w:ind w:right="170"/>
              <w:jc w:val="right"/>
              <w:rPr>
                <w:color w:val="auto"/>
                <w:sz w:val="16"/>
                <w:szCs w:val="14"/>
              </w:rPr>
            </w:pPr>
            <w:r w:rsidRPr="006055B7">
              <w:rPr>
                <w:color w:val="auto"/>
                <w:sz w:val="16"/>
                <w:szCs w:val="14"/>
              </w:rPr>
              <w:t>0.</w:t>
            </w:r>
            <w:r w:rsidR="00065FD1" w:rsidRPr="006055B7">
              <w:rPr>
                <w:color w:val="auto"/>
                <w:sz w:val="16"/>
                <w:szCs w:val="14"/>
              </w:rPr>
              <w:t>7</w:t>
            </w:r>
          </w:p>
        </w:tc>
        <w:tc>
          <w:tcPr>
            <w:tcW w:w="798" w:type="dxa"/>
            <w:tcBorders>
              <w:top w:val="nil"/>
              <w:left w:val="nil"/>
              <w:bottom w:val="nil"/>
              <w:right w:val="nil"/>
            </w:tcBorders>
            <w:vAlign w:val="center"/>
          </w:tcPr>
          <w:p w14:paraId="71E16DA9" w14:textId="6D5BEEA0" w:rsidR="007F2F67" w:rsidRPr="006055B7" w:rsidRDefault="007F2F67" w:rsidP="006055B7">
            <w:pPr>
              <w:pStyle w:val="p0"/>
              <w:spacing w:before="0"/>
              <w:ind w:right="170"/>
              <w:jc w:val="right"/>
              <w:rPr>
                <w:color w:val="auto"/>
                <w:sz w:val="16"/>
                <w:szCs w:val="14"/>
              </w:rPr>
            </w:pPr>
            <w:r w:rsidRPr="006055B7">
              <w:rPr>
                <w:color w:val="auto"/>
                <w:sz w:val="16"/>
                <w:szCs w:val="14"/>
              </w:rPr>
              <w:t>4.</w:t>
            </w:r>
            <w:r w:rsidR="00065FD1" w:rsidRPr="006055B7">
              <w:rPr>
                <w:color w:val="auto"/>
                <w:sz w:val="16"/>
                <w:szCs w:val="14"/>
              </w:rPr>
              <w:t>7</w:t>
            </w:r>
          </w:p>
        </w:tc>
        <w:tc>
          <w:tcPr>
            <w:tcW w:w="768" w:type="dxa"/>
            <w:tcBorders>
              <w:top w:val="nil"/>
              <w:left w:val="nil"/>
              <w:bottom w:val="nil"/>
              <w:right w:val="double" w:sz="4" w:space="0" w:color="000000"/>
            </w:tcBorders>
            <w:vAlign w:val="center"/>
          </w:tcPr>
          <w:p w14:paraId="35DAA1DD" w14:textId="4F95B5D1" w:rsidR="007F2F67" w:rsidRPr="006055B7" w:rsidRDefault="007F2F67" w:rsidP="006055B7">
            <w:pPr>
              <w:pStyle w:val="p0"/>
              <w:spacing w:before="0"/>
              <w:ind w:right="170"/>
              <w:jc w:val="right"/>
              <w:rPr>
                <w:color w:val="auto"/>
                <w:sz w:val="16"/>
                <w:szCs w:val="14"/>
              </w:rPr>
            </w:pPr>
            <w:r w:rsidRPr="006055B7">
              <w:rPr>
                <w:color w:val="auto"/>
                <w:sz w:val="16"/>
                <w:szCs w:val="14"/>
              </w:rPr>
              <w:t>2.9</w:t>
            </w:r>
          </w:p>
        </w:tc>
        <w:tc>
          <w:tcPr>
            <w:tcW w:w="930" w:type="dxa"/>
            <w:tcBorders>
              <w:top w:val="nil"/>
              <w:left w:val="nil"/>
              <w:bottom w:val="nil"/>
              <w:right w:val="double" w:sz="4" w:space="0" w:color="000000"/>
            </w:tcBorders>
            <w:vAlign w:val="center"/>
          </w:tcPr>
          <w:p w14:paraId="1B139A3F" w14:textId="0059855C" w:rsidR="007F2F67" w:rsidRPr="006055B7" w:rsidRDefault="00DA7249" w:rsidP="006055B7">
            <w:pPr>
              <w:pStyle w:val="p0"/>
              <w:spacing w:before="0"/>
              <w:ind w:right="284"/>
              <w:jc w:val="right"/>
              <w:rPr>
                <w:color w:val="auto"/>
                <w:sz w:val="16"/>
                <w:szCs w:val="14"/>
              </w:rPr>
            </w:pPr>
            <w:r w:rsidRPr="006055B7">
              <w:rPr>
                <w:color w:val="auto"/>
                <w:sz w:val="16"/>
                <w:szCs w:val="14"/>
              </w:rPr>
              <w:t>1.8</w:t>
            </w:r>
          </w:p>
        </w:tc>
      </w:tr>
      <w:tr w:rsidR="007F2F67" w:rsidRPr="007F2F67" w14:paraId="74A91DEB" w14:textId="5A111EC1" w:rsidTr="006055B7">
        <w:trPr>
          <w:trHeight w:val="312"/>
          <w:jc w:val="center"/>
        </w:trPr>
        <w:tc>
          <w:tcPr>
            <w:tcW w:w="2050" w:type="dxa"/>
            <w:tcBorders>
              <w:top w:val="nil"/>
              <w:bottom w:val="nil"/>
              <w:right w:val="double" w:sz="4" w:space="0" w:color="000000"/>
            </w:tcBorders>
            <w:vAlign w:val="center"/>
          </w:tcPr>
          <w:p w14:paraId="7B717F56" w14:textId="56981AD6" w:rsidR="007F2F67" w:rsidRPr="006055B7" w:rsidRDefault="007F2F67" w:rsidP="006055B7">
            <w:pPr>
              <w:widowControl/>
              <w:rPr>
                <w:rFonts w:cs="Arial"/>
                <w:bCs/>
                <w:snapToGrid/>
                <w:color w:val="000000"/>
                <w:sz w:val="16"/>
                <w:szCs w:val="18"/>
                <w:lang w:val="es-MX" w:eastAsia="es-MX"/>
              </w:rPr>
            </w:pPr>
            <w:r w:rsidRPr="006055B7">
              <w:rPr>
                <w:rFonts w:cs="Arial"/>
                <w:bCs/>
                <w:snapToGrid/>
                <w:color w:val="000000"/>
                <w:sz w:val="16"/>
                <w:szCs w:val="18"/>
                <w:lang w:val="es-MX" w:eastAsia="es-MX"/>
              </w:rPr>
              <w:t xml:space="preserve"> Actividades secundarias </w:t>
            </w:r>
          </w:p>
        </w:tc>
        <w:tc>
          <w:tcPr>
            <w:tcW w:w="768" w:type="dxa"/>
            <w:tcBorders>
              <w:top w:val="nil"/>
              <w:left w:val="nil"/>
              <w:bottom w:val="nil"/>
              <w:right w:val="nil"/>
            </w:tcBorders>
            <w:vAlign w:val="center"/>
          </w:tcPr>
          <w:p w14:paraId="755FF397" w14:textId="657B8702" w:rsidR="007F2F67" w:rsidRPr="006055B7" w:rsidRDefault="007F2F67" w:rsidP="006055B7">
            <w:pPr>
              <w:pStyle w:val="p0"/>
              <w:spacing w:before="0"/>
              <w:ind w:right="170"/>
              <w:jc w:val="right"/>
              <w:rPr>
                <w:color w:val="auto"/>
                <w:sz w:val="16"/>
                <w:szCs w:val="14"/>
              </w:rPr>
            </w:pPr>
            <w:r w:rsidRPr="006055B7">
              <w:rPr>
                <w:color w:val="auto"/>
                <w:sz w:val="16"/>
                <w:szCs w:val="14"/>
              </w:rPr>
              <w:noBreakHyphen/>
              <w:t>3.3</w:t>
            </w:r>
          </w:p>
        </w:tc>
        <w:tc>
          <w:tcPr>
            <w:tcW w:w="727" w:type="dxa"/>
            <w:tcBorders>
              <w:top w:val="nil"/>
              <w:left w:val="nil"/>
              <w:bottom w:val="nil"/>
              <w:right w:val="nil"/>
            </w:tcBorders>
            <w:vAlign w:val="center"/>
          </w:tcPr>
          <w:p w14:paraId="557BADEC" w14:textId="4D3986A3" w:rsidR="007F2F67" w:rsidRPr="006055B7" w:rsidRDefault="007F2F67" w:rsidP="006055B7">
            <w:pPr>
              <w:pStyle w:val="p0"/>
              <w:spacing w:before="0"/>
              <w:ind w:right="113"/>
              <w:jc w:val="right"/>
              <w:rPr>
                <w:color w:val="auto"/>
                <w:sz w:val="16"/>
                <w:szCs w:val="14"/>
              </w:rPr>
            </w:pPr>
            <w:r w:rsidRPr="006055B7">
              <w:rPr>
                <w:color w:val="auto"/>
                <w:sz w:val="16"/>
                <w:szCs w:val="14"/>
              </w:rPr>
              <w:t>27.5</w:t>
            </w:r>
          </w:p>
        </w:tc>
        <w:tc>
          <w:tcPr>
            <w:tcW w:w="764" w:type="dxa"/>
            <w:tcBorders>
              <w:top w:val="nil"/>
              <w:left w:val="nil"/>
              <w:bottom w:val="nil"/>
              <w:right w:val="nil"/>
            </w:tcBorders>
            <w:vAlign w:val="center"/>
          </w:tcPr>
          <w:p w14:paraId="53FDF260" w14:textId="0BB6C719" w:rsidR="007F2F67" w:rsidRPr="006055B7" w:rsidRDefault="007F2F67" w:rsidP="006055B7">
            <w:pPr>
              <w:pStyle w:val="p0"/>
              <w:spacing w:before="0"/>
              <w:ind w:right="170"/>
              <w:jc w:val="right"/>
              <w:rPr>
                <w:color w:val="auto"/>
                <w:sz w:val="16"/>
                <w:szCs w:val="14"/>
              </w:rPr>
            </w:pPr>
            <w:r w:rsidRPr="006055B7">
              <w:rPr>
                <w:color w:val="auto"/>
                <w:sz w:val="16"/>
                <w:szCs w:val="14"/>
              </w:rPr>
              <w:t>5.0</w:t>
            </w:r>
          </w:p>
        </w:tc>
        <w:tc>
          <w:tcPr>
            <w:tcW w:w="798" w:type="dxa"/>
            <w:tcBorders>
              <w:top w:val="nil"/>
              <w:left w:val="nil"/>
              <w:bottom w:val="nil"/>
              <w:right w:val="nil"/>
            </w:tcBorders>
            <w:vAlign w:val="center"/>
          </w:tcPr>
          <w:p w14:paraId="518EEA20" w14:textId="3EC80375" w:rsidR="007F2F67" w:rsidRPr="006055B7" w:rsidRDefault="007F2F67" w:rsidP="006055B7">
            <w:pPr>
              <w:pStyle w:val="p0"/>
              <w:spacing w:before="0"/>
              <w:ind w:right="170"/>
              <w:jc w:val="right"/>
              <w:rPr>
                <w:color w:val="auto"/>
                <w:sz w:val="16"/>
                <w:szCs w:val="14"/>
              </w:rPr>
            </w:pPr>
            <w:r w:rsidRPr="006055B7">
              <w:rPr>
                <w:color w:val="auto"/>
                <w:sz w:val="16"/>
                <w:szCs w:val="14"/>
              </w:rPr>
              <w:t>1.</w:t>
            </w:r>
            <w:r w:rsidR="00065FD1" w:rsidRPr="006055B7">
              <w:rPr>
                <w:color w:val="auto"/>
                <w:sz w:val="16"/>
                <w:szCs w:val="14"/>
              </w:rPr>
              <w:t>7</w:t>
            </w:r>
          </w:p>
        </w:tc>
        <w:tc>
          <w:tcPr>
            <w:tcW w:w="768" w:type="dxa"/>
            <w:tcBorders>
              <w:top w:val="nil"/>
              <w:left w:val="nil"/>
              <w:bottom w:val="nil"/>
              <w:right w:val="double" w:sz="4" w:space="0" w:color="000000"/>
            </w:tcBorders>
            <w:vAlign w:val="center"/>
          </w:tcPr>
          <w:p w14:paraId="1E311D44" w14:textId="39F47826" w:rsidR="007F2F67" w:rsidRPr="006055B7" w:rsidRDefault="007F2F67" w:rsidP="006055B7">
            <w:pPr>
              <w:pStyle w:val="p0"/>
              <w:spacing w:before="0"/>
              <w:ind w:right="170"/>
              <w:jc w:val="right"/>
              <w:rPr>
                <w:color w:val="auto"/>
                <w:sz w:val="16"/>
                <w:szCs w:val="14"/>
              </w:rPr>
            </w:pPr>
            <w:r w:rsidRPr="006055B7">
              <w:rPr>
                <w:color w:val="auto"/>
                <w:sz w:val="16"/>
                <w:szCs w:val="14"/>
              </w:rPr>
              <w:t>6.5</w:t>
            </w:r>
          </w:p>
        </w:tc>
        <w:tc>
          <w:tcPr>
            <w:tcW w:w="930" w:type="dxa"/>
            <w:tcBorders>
              <w:top w:val="nil"/>
              <w:left w:val="nil"/>
              <w:bottom w:val="nil"/>
              <w:right w:val="double" w:sz="4" w:space="0" w:color="000000"/>
            </w:tcBorders>
            <w:vAlign w:val="center"/>
          </w:tcPr>
          <w:p w14:paraId="5DD5B0F9" w14:textId="6E9CC160" w:rsidR="007F2F67" w:rsidRPr="006055B7" w:rsidRDefault="00DA7249" w:rsidP="006055B7">
            <w:pPr>
              <w:pStyle w:val="p0"/>
              <w:spacing w:before="0"/>
              <w:ind w:right="284"/>
              <w:jc w:val="right"/>
              <w:rPr>
                <w:color w:val="auto"/>
                <w:sz w:val="16"/>
                <w:szCs w:val="14"/>
              </w:rPr>
            </w:pPr>
            <w:r w:rsidRPr="006055B7">
              <w:rPr>
                <w:color w:val="auto"/>
                <w:sz w:val="16"/>
                <w:szCs w:val="14"/>
              </w:rPr>
              <w:t>2.9</w:t>
            </w:r>
          </w:p>
        </w:tc>
      </w:tr>
      <w:tr w:rsidR="007F2F67" w:rsidRPr="007F2F67" w14:paraId="5CFDE80C" w14:textId="69F318A5" w:rsidTr="006055B7">
        <w:trPr>
          <w:trHeight w:val="312"/>
          <w:jc w:val="center"/>
        </w:trPr>
        <w:tc>
          <w:tcPr>
            <w:tcW w:w="2050" w:type="dxa"/>
            <w:tcBorders>
              <w:top w:val="nil"/>
              <w:bottom w:val="double" w:sz="4" w:space="0" w:color="000000"/>
              <w:right w:val="double" w:sz="4" w:space="0" w:color="000000"/>
            </w:tcBorders>
            <w:vAlign w:val="center"/>
          </w:tcPr>
          <w:p w14:paraId="16EDB988" w14:textId="55A6FB46" w:rsidR="007F2F67" w:rsidRPr="006055B7" w:rsidRDefault="007F2F67" w:rsidP="006055B7">
            <w:pPr>
              <w:widowControl/>
              <w:rPr>
                <w:rFonts w:cs="Arial"/>
                <w:bCs/>
                <w:snapToGrid/>
                <w:color w:val="000000"/>
                <w:sz w:val="16"/>
                <w:szCs w:val="18"/>
                <w:lang w:val="es-MX" w:eastAsia="es-MX"/>
              </w:rPr>
            </w:pPr>
            <w:r w:rsidRPr="006055B7">
              <w:rPr>
                <w:rFonts w:cs="Arial"/>
                <w:bCs/>
                <w:snapToGrid/>
                <w:color w:val="000000"/>
                <w:sz w:val="16"/>
                <w:szCs w:val="18"/>
                <w:lang w:val="es-MX" w:eastAsia="es-MX"/>
              </w:rPr>
              <w:t xml:space="preserve"> Actividades terciarias </w:t>
            </w:r>
          </w:p>
        </w:tc>
        <w:tc>
          <w:tcPr>
            <w:tcW w:w="768" w:type="dxa"/>
            <w:tcBorders>
              <w:top w:val="nil"/>
              <w:left w:val="nil"/>
              <w:bottom w:val="double" w:sz="4" w:space="0" w:color="000000"/>
              <w:right w:val="nil"/>
            </w:tcBorders>
            <w:vAlign w:val="center"/>
          </w:tcPr>
          <w:p w14:paraId="0A16D67B" w14:textId="52FE35DE" w:rsidR="007F2F67" w:rsidRPr="006055B7" w:rsidRDefault="007F2F67" w:rsidP="006055B7">
            <w:pPr>
              <w:pStyle w:val="p0"/>
              <w:spacing w:before="0"/>
              <w:ind w:right="170"/>
              <w:jc w:val="right"/>
              <w:rPr>
                <w:color w:val="auto"/>
                <w:sz w:val="16"/>
                <w:szCs w:val="14"/>
              </w:rPr>
            </w:pPr>
            <w:r w:rsidRPr="006055B7">
              <w:rPr>
                <w:color w:val="auto"/>
                <w:sz w:val="16"/>
                <w:szCs w:val="14"/>
              </w:rPr>
              <w:t>-3.8</w:t>
            </w:r>
          </w:p>
        </w:tc>
        <w:tc>
          <w:tcPr>
            <w:tcW w:w="727" w:type="dxa"/>
            <w:tcBorders>
              <w:top w:val="nil"/>
              <w:left w:val="nil"/>
              <w:bottom w:val="double" w:sz="4" w:space="0" w:color="000000"/>
              <w:right w:val="nil"/>
            </w:tcBorders>
            <w:vAlign w:val="center"/>
          </w:tcPr>
          <w:p w14:paraId="23992998" w14:textId="14E2A443" w:rsidR="007F2F67" w:rsidRPr="006055B7" w:rsidRDefault="007F2F67" w:rsidP="006055B7">
            <w:pPr>
              <w:pStyle w:val="p0"/>
              <w:spacing w:before="0"/>
              <w:ind w:right="113"/>
              <w:jc w:val="right"/>
              <w:rPr>
                <w:color w:val="auto"/>
                <w:sz w:val="16"/>
                <w:szCs w:val="14"/>
              </w:rPr>
            </w:pPr>
            <w:r w:rsidRPr="006055B7">
              <w:rPr>
                <w:color w:val="auto"/>
                <w:sz w:val="16"/>
                <w:szCs w:val="14"/>
              </w:rPr>
              <w:t>17.7</w:t>
            </w:r>
          </w:p>
        </w:tc>
        <w:tc>
          <w:tcPr>
            <w:tcW w:w="764" w:type="dxa"/>
            <w:tcBorders>
              <w:top w:val="nil"/>
              <w:left w:val="nil"/>
              <w:bottom w:val="double" w:sz="4" w:space="0" w:color="000000"/>
              <w:right w:val="nil"/>
            </w:tcBorders>
            <w:vAlign w:val="center"/>
          </w:tcPr>
          <w:p w14:paraId="7AF96C89" w14:textId="7E32A015" w:rsidR="007F2F67" w:rsidRPr="006055B7" w:rsidRDefault="007F2F67" w:rsidP="006055B7">
            <w:pPr>
              <w:pStyle w:val="p0"/>
              <w:spacing w:before="0"/>
              <w:ind w:right="170"/>
              <w:jc w:val="right"/>
              <w:rPr>
                <w:color w:val="auto"/>
                <w:sz w:val="16"/>
                <w:szCs w:val="14"/>
              </w:rPr>
            </w:pPr>
            <w:r w:rsidRPr="006055B7">
              <w:rPr>
                <w:color w:val="auto"/>
                <w:sz w:val="16"/>
                <w:szCs w:val="14"/>
              </w:rPr>
              <w:t>4.2</w:t>
            </w:r>
          </w:p>
        </w:tc>
        <w:tc>
          <w:tcPr>
            <w:tcW w:w="798" w:type="dxa"/>
            <w:tcBorders>
              <w:top w:val="nil"/>
              <w:left w:val="nil"/>
              <w:bottom w:val="double" w:sz="4" w:space="0" w:color="000000"/>
              <w:right w:val="nil"/>
            </w:tcBorders>
            <w:vAlign w:val="center"/>
          </w:tcPr>
          <w:p w14:paraId="32F73B24" w14:textId="2A3BB348" w:rsidR="007F2F67" w:rsidRPr="006055B7" w:rsidRDefault="007F2F67" w:rsidP="006055B7">
            <w:pPr>
              <w:pStyle w:val="p0"/>
              <w:spacing w:before="0"/>
              <w:ind w:right="170"/>
              <w:jc w:val="right"/>
              <w:rPr>
                <w:color w:val="auto"/>
                <w:sz w:val="16"/>
                <w:szCs w:val="14"/>
              </w:rPr>
            </w:pPr>
            <w:r w:rsidRPr="006055B7">
              <w:rPr>
                <w:color w:val="auto"/>
                <w:sz w:val="16"/>
                <w:szCs w:val="14"/>
              </w:rPr>
              <w:t>0.</w:t>
            </w:r>
            <w:r w:rsidR="00065FD1" w:rsidRPr="006055B7">
              <w:rPr>
                <w:color w:val="auto"/>
                <w:sz w:val="16"/>
                <w:szCs w:val="14"/>
              </w:rPr>
              <w:t>2</w:t>
            </w:r>
          </w:p>
        </w:tc>
        <w:tc>
          <w:tcPr>
            <w:tcW w:w="768" w:type="dxa"/>
            <w:tcBorders>
              <w:top w:val="nil"/>
              <w:left w:val="nil"/>
              <w:bottom w:val="double" w:sz="4" w:space="0" w:color="000000"/>
              <w:right w:val="double" w:sz="4" w:space="0" w:color="000000"/>
            </w:tcBorders>
            <w:vAlign w:val="center"/>
          </w:tcPr>
          <w:p w14:paraId="72F306D8" w14:textId="39617F97" w:rsidR="007F2F67" w:rsidRPr="006055B7" w:rsidRDefault="007F2F67" w:rsidP="006055B7">
            <w:pPr>
              <w:pStyle w:val="p0"/>
              <w:spacing w:before="0"/>
              <w:ind w:right="170"/>
              <w:jc w:val="right"/>
              <w:rPr>
                <w:color w:val="auto"/>
                <w:sz w:val="16"/>
                <w:szCs w:val="14"/>
              </w:rPr>
            </w:pPr>
            <w:r w:rsidRPr="006055B7">
              <w:rPr>
                <w:color w:val="auto"/>
                <w:sz w:val="16"/>
                <w:szCs w:val="14"/>
              </w:rPr>
              <w:t>4.</w:t>
            </w:r>
            <w:r w:rsidR="00065FD1" w:rsidRPr="006055B7">
              <w:rPr>
                <w:color w:val="auto"/>
                <w:sz w:val="16"/>
                <w:szCs w:val="14"/>
              </w:rPr>
              <w:t>1</w:t>
            </w:r>
          </w:p>
        </w:tc>
        <w:tc>
          <w:tcPr>
            <w:tcW w:w="930" w:type="dxa"/>
            <w:tcBorders>
              <w:top w:val="nil"/>
              <w:left w:val="nil"/>
              <w:bottom w:val="double" w:sz="4" w:space="0" w:color="000000"/>
              <w:right w:val="double" w:sz="4" w:space="0" w:color="000000"/>
            </w:tcBorders>
            <w:vAlign w:val="center"/>
          </w:tcPr>
          <w:p w14:paraId="2E056A21" w14:textId="37F2E9C3" w:rsidR="007F2F67" w:rsidRPr="006055B7" w:rsidRDefault="00DA7249" w:rsidP="006055B7">
            <w:pPr>
              <w:pStyle w:val="p0"/>
              <w:spacing w:before="0"/>
              <w:ind w:right="284"/>
              <w:jc w:val="right"/>
              <w:rPr>
                <w:color w:val="auto"/>
                <w:sz w:val="16"/>
                <w:szCs w:val="14"/>
              </w:rPr>
            </w:pPr>
            <w:r w:rsidRPr="006055B7">
              <w:rPr>
                <w:color w:val="auto"/>
                <w:sz w:val="16"/>
                <w:szCs w:val="14"/>
              </w:rPr>
              <w:t>0.6</w:t>
            </w:r>
          </w:p>
        </w:tc>
      </w:tr>
    </w:tbl>
    <w:p w14:paraId="2AD772DD" w14:textId="6900DBC0" w:rsidR="009E01F5" w:rsidRDefault="00EF4CD3" w:rsidP="007F2F67">
      <w:pPr>
        <w:pStyle w:val="p01"/>
        <w:keepLines w:val="0"/>
        <w:spacing w:before="0"/>
        <w:ind w:left="1276" w:right="1327"/>
        <w:jc w:val="left"/>
        <w:outlineLvl w:val="0"/>
        <w:rPr>
          <w:rFonts w:ascii="Arial" w:hAnsi="Arial" w:cs="Arial"/>
          <w:color w:val="auto"/>
          <w:sz w:val="16"/>
          <w:szCs w:val="16"/>
          <w:lang w:val="es-MX"/>
        </w:rPr>
      </w:pPr>
      <w:r>
        <w:rPr>
          <w:rFonts w:cs="Arial"/>
          <w:color w:val="auto"/>
          <w:sz w:val="16"/>
          <w:szCs w:val="16"/>
          <w:vertAlign w:val="superscript"/>
        </w:rPr>
        <w:t>P</w:t>
      </w:r>
      <w:r w:rsidRPr="005537FB">
        <w:rPr>
          <w:rFonts w:cs="Arial"/>
          <w:color w:val="auto"/>
          <w:sz w:val="16"/>
          <w:szCs w:val="16"/>
          <w:vertAlign w:val="superscript"/>
        </w:rPr>
        <w:t>/</w:t>
      </w:r>
      <w:r w:rsidRPr="0079433B">
        <w:rPr>
          <w:color w:val="auto"/>
          <w:sz w:val="16"/>
          <w:szCs w:val="16"/>
          <w:lang w:val="es-MX"/>
        </w:rPr>
        <w:t xml:space="preserve"> </w:t>
      </w:r>
      <w:r w:rsidRPr="004C0FFC">
        <w:rPr>
          <w:rFonts w:ascii="Arial" w:hAnsi="Arial" w:cs="Arial"/>
          <w:color w:val="auto"/>
          <w:sz w:val="16"/>
          <w:szCs w:val="16"/>
          <w:lang w:val="es-MX"/>
        </w:rPr>
        <w:t xml:space="preserve">Cifras </w:t>
      </w:r>
      <w:r w:rsidR="009E01F5">
        <w:rPr>
          <w:rFonts w:ascii="Arial" w:hAnsi="Arial" w:cs="Arial"/>
          <w:color w:val="auto"/>
          <w:sz w:val="16"/>
          <w:szCs w:val="16"/>
          <w:lang w:val="es-MX"/>
        </w:rPr>
        <w:t>p</w:t>
      </w:r>
      <w:r>
        <w:rPr>
          <w:rFonts w:ascii="Arial" w:hAnsi="Arial" w:cs="Arial"/>
          <w:color w:val="auto"/>
          <w:sz w:val="16"/>
          <w:szCs w:val="16"/>
          <w:lang w:val="es-MX"/>
        </w:rPr>
        <w:t>reliminares</w:t>
      </w:r>
      <w:r w:rsidRPr="004C0FFC">
        <w:rPr>
          <w:rFonts w:ascii="Arial" w:hAnsi="Arial" w:cs="Arial"/>
          <w:color w:val="auto"/>
          <w:sz w:val="16"/>
          <w:szCs w:val="16"/>
          <w:lang w:val="es-MX"/>
        </w:rPr>
        <w:t xml:space="preserve">. </w:t>
      </w:r>
    </w:p>
    <w:p w14:paraId="13BC0C2C" w14:textId="54E4A6B6" w:rsidR="00EF4CD3" w:rsidRPr="009E01F5" w:rsidRDefault="009E01F5" w:rsidP="007F2F67">
      <w:pPr>
        <w:pStyle w:val="p01"/>
        <w:keepLines w:val="0"/>
        <w:spacing w:before="0"/>
        <w:ind w:left="1276" w:right="1327"/>
        <w:jc w:val="left"/>
        <w:outlineLvl w:val="0"/>
        <w:rPr>
          <w:rFonts w:ascii="Arial" w:hAnsi="Arial" w:cs="Arial"/>
          <w:color w:val="auto"/>
          <w:sz w:val="16"/>
          <w:szCs w:val="16"/>
        </w:rPr>
      </w:pPr>
      <w:r w:rsidRPr="009E01F5">
        <w:rPr>
          <w:rFonts w:cs="Arial"/>
          <w:color w:val="auto"/>
          <w:sz w:val="16"/>
          <w:szCs w:val="16"/>
        </w:rPr>
        <w:t xml:space="preserve">* </w:t>
      </w:r>
      <w:r>
        <w:rPr>
          <w:rFonts w:cs="Arial"/>
          <w:color w:val="auto"/>
          <w:sz w:val="16"/>
          <w:szCs w:val="16"/>
        </w:rPr>
        <w:t>C</w:t>
      </w:r>
      <w:r w:rsidRPr="009E01F5">
        <w:rPr>
          <w:rFonts w:cs="Arial"/>
          <w:color w:val="auto"/>
          <w:sz w:val="16"/>
          <w:szCs w:val="16"/>
        </w:rPr>
        <w:t xml:space="preserve">ifras </w:t>
      </w:r>
      <w:r w:rsidR="00C17974">
        <w:rPr>
          <w:rFonts w:cs="Arial"/>
          <w:color w:val="auto"/>
          <w:sz w:val="16"/>
          <w:szCs w:val="16"/>
        </w:rPr>
        <w:t>estimadas</w:t>
      </w:r>
      <w:r>
        <w:rPr>
          <w:rFonts w:cs="Arial"/>
          <w:color w:val="auto"/>
          <w:sz w:val="16"/>
          <w:szCs w:val="16"/>
        </w:rPr>
        <w:t>.</w:t>
      </w:r>
      <w:r w:rsidR="00EF4CD3" w:rsidRPr="009E01F5">
        <w:rPr>
          <w:rFonts w:ascii="Arial" w:hAnsi="Arial" w:cs="Arial"/>
          <w:color w:val="auto"/>
          <w:sz w:val="16"/>
          <w:szCs w:val="16"/>
        </w:rPr>
        <w:t xml:space="preserve"> </w:t>
      </w:r>
      <w:r w:rsidRPr="004C0FFC">
        <w:rPr>
          <w:rFonts w:ascii="Arial" w:hAnsi="Arial" w:cs="Arial"/>
          <w:color w:val="auto"/>
          <w:sz w:val="16"/>
          <w:szCs w:val="16"/>
          <w:lang w:val="es-MX"/>
        </w:rPr>
        <w:t>La estimación oportuna no reemplaza a la estimación tradicional.</w:t>
      </w:r>
    </w:p>
    <w:p w14:paraId="302BB878" w14:textId="1D34CE58" w:rsidR="00EF4CD3" w:rsidRDefault="00EF4CD3" w:rsidP="007F2F67">
      <w:pPr>
        <w:pStyle w:val="p01"/>
        <w:keepLines w:val="0"/>
        <w:spacing w:before="0"/>
        <w:ind w:left="1276"/>
        <w:jc w:val="left"/>
        <w:outlineLvl w:val="0"/>
        <w:rPr>
          <w:rFonts w:ascii="Arial" w:hAnsi="Arial" w:cs="Arial"/>
          <w:color w:val="auto"/>
          <w:sz w:val="16"/>
          <w:szCs w:val="16"/>
        </w:rPr>
      </w:pPr>
      <w:r w:rsidRPr="004C0FFC">
        <w:rPr>
          <w:rFonts w:ascii="Arial" w:hAnsi="Arial" w:cs="Arial"/>
          <w:color w:val="auto"/>
          <w:sz w:val="16"/>
          <w:szCs w:val="16"/>
        </w:rPr>
        <w:t>Fuente: INEGI.</w:t>
      </w:r>
    </w:p>
    <w:p w14:paraId="67C8B4CF" w14:textId="77777777" w:rsidR="00D373CC" w:rsidRPr="005E3FC4" w:rsidRDefault="00D373CC" w:rsidP="00EF4CD3">
      <w:pPr>
        <w:pStyle w:val="p01"/>
        <w:keepLines w:val="0"/>
        <w:spacing w:before="0"/>
        <w:ind w:left="851" w:firstLine="294"/>
        <w:jc w:val="left"/>
        <w:outlineLvl w:val="0"/>
        <w:rPr>
          <w:rFonts w:cs="Arial"/>
          <w:color w:val="auto"/>
          <w:sz w:val="16"/>
          <w:szCs w:val="16"/>
        </w:rPr>
      </w:pPr>
    </w:p>
    <w:p w14:paraId="35602A13" w14:textId="77777777" w:rsidR="00981D4C" w:rsidRDefault="00981D4C" w:rsidP="00981D4C">
      <w:pPr>
        <w:widowControl/>
        <w:rPr>
          <w:rFonts w:cs="Arial"/>
          <w:sz w:val="20"/>
          <w:lang w:val="es-MX"/>
        </w:rPr>
      </w:pPr>
    </w:p>
    <w:p w14:paraId="7EE92FEE" w14:textId="77777777" w:rsidR="00981D4C" w:rsidRDefault="00981D4C" w:rsidP="00981D4C">
      <w:pPr>
        <w:widowControl/>
        <w:rPr>
          <w:rFonts w:cs="Arial"/>
          <w:sz w:val="20"/>
          <w:lang w:val="es-MX"/>
        </w:rPr>
      </w:pPr>
    </w:p>
    <w:p w14:paraId="2926E5F3" w14:textId="77777777" w:rsidR="00981D4C" w:rsidRDefault="00981D4C" w:rsidP="00981D4C">
      <w:pPr>
        <w:widowControl/>
        <w:rPr>
          <w:rFonts w:cs="Arial"/>
          <w:sz w:val="20"/>
          <w:lang w:val="es-MX"/>
        </w:rPr>
      </w:pPr>
    </w:p>
    <w:p w14:paraId="369CAF26" w14:textId="7D3659FB" w:rsidR="001C5E65" w:rsidRPr="001C5E65" w:rsidRDefault="00D07331" w:rsidP="00981D4C">
      <w:pPr>
        <w:widowControl/>
        <w:jc w:val="center"/>
        <w:rPr>
          <w:rFonts w:cs="Arial"/>
          <w:b/>
          <w:smallCaps/>
          <w:szCs w:val="22"/>
        </w:rPr>
      </w:pPr>
      <w:r>
        <w:rPr>
          <w:rFonts w:cs="Arial"/>
          <w:sz w:val="20"/>
          <w:lang w:val="es-MX"/>
        </w:rPr>
        <w:t>G</w:t>
      </w:r>
      <w:r w:rsidR="001C5E65" w:rsidRPr="008C7F10">
        <w:rPr>
          <w:rFonts w:cs="Arial"/>
          <w:sz w:val="20"/>
          <w:lang w:val="es-MX"/>
        </w:rPr>
        <w:t xml:space="preserve">ráfica </w:t>
      </w:r>
      <w:r w:rsidR="00CC5B99" w:rsidRPr="008C7F10">
        <w:rPr>
          <w:rFonts w:cs="Arial"/>
          <w:sz w:val="20"/>
          <w:lang w:val="es-MX"/>
        </w:rPr>
        <w:t>1</w:t>
      </w:r>
    </w:p>
    <w:p w14:paraId="33F810B5" w14:textId="77777777" w:rsidR="00682DD9" w:rsidRDefault="00835EBD" w:rsidP="00682DD9">
      <w:pPr>
        <w:pStyle w:val="bullet"/>
        <w:numPr>
          <w:ilvl w:val="0"/>
          <w:numId w:val="0"/>
        </w:numPr>
        <w:spacing w:before="0"/>
        <w:ind w:right="-91"/>
        <w:jc w:val="center"/>
        <w:rPr>
          <w:rFonts w:cs="Arial"/>
          <w:smallCaps/>
          <w:color w:val="auto"/>
          <w:szCs w:val="22"/>
        </w:rPr>
      </w:pPr>
      <w:r>
        <w:rPr>
          <w:rFonts w:cs="Arial"/>
          <w:smallCaps/>
          <w:color w:val="auto"/>
          <w:szCs w:val="22"/>
        </w:rPr>
        <w:t>Estimación Oportuna del Producto Interno Bruto</w:t>
      </w:r>
      <w:r w:rsidR="003C2D5E">
        <w:rPr>
          <w:rFonts w:cs="Arial"/>
          <w:smallCaps/>
          <w:color w:val="auto"/>
          <w:szCs w:val="22"/>
        </w:rPr>
        <w:t xml:space="preserve"> </w:t>
      </w:r>
    </w:p>
    <w:p w14:paraId="4EA5C9AB" w14:textId="27EFA220" w:rsidR="00835EBD" w:rsidRDefault="002D5EDB" w:rsidP="00682DD9">
      <w:pPr>
        <w:pStyle w:val="bullet"/>
        <w:numPr>
          <w:ilvl w:val="0"/>
          <w:numId w:val="0"/>
        </w:numPr>
        <w:spacing w:before="0"/>
        <w:ind w:right="-91"/>
        <w:jc w:val="center"/>
        <w:rPr>
          <w:rFonts w:cs="Arial"/>
          <w:smallCaps/>
          <w:color w:val="auto"/>
          <w:szCs w:val="22"/>
        </w:rPr>
      </w:pPr>
      <w:r>
        <w:rPr>
          <w:rFonts w:cs="Arial"/>
          <w:smallCaps/>
          <w:color w:val="auto"/>
          <w:szCs w:val="22"/>
        </w:rPr>
        <w:t>primer</w:t>
      </w:r>
      <w:r w:rsidR="00835EBD" w:rsidRPr="008C7479">
        <w:rPr>
          <w:rFonts w:cs="Arial"/>
          <w:smallCaps/>
          <w:color w:val="auto"/>
          <w:szCs w:val="22"/>
        </w:rPr>
        <w:t xml:space="preserve"> trimestre de </w:t>
      </w:r>
      <w:r w:rsidR="00961D4F">
        <w:rPr>
          <w:rFonts w:cs="Arial"/>
          <w:smallCaps/>
          <w:color w:val="auto"/>
          <w:szCs w:val="22"/>
        </w:rPr>
        <w:t>20</w:t>
      </w:r>
      <w:r w:rsidR="00DD1143">
        <w:rPr>
          <w:rFonts w:cs="Arial"/>
          <w:smallCaps/>
          <w:color w:val="auto"/>
          <w:szCs w:val="22"/>
        </w:rPr>
        <w:t>2</w:t>
      </w:r>
      <w:r>
        <w:rPr>
          <w:rFonts w:cs="Arial"/>
          <w:smallCaps/>
          <w:color w:val="auto"/>
          <w:szCs w:val="22"/>
        </w:rPr>
        <w:t>2</w:t>
      </w:r>
    </w:p>
    <w:p w14:paraId="49367DC3" w14:textId="2147AF9D" w:rsidR="00835EBD" w:rsidRPr="00064308" w:rsidRDefault="00835EBD" w:rsidP="00835EBD">
      <w:pPr>
        <w:pStyle w:val="p01"/>
        <w:keepLines w:val="0"/>
        <w:spacing w:before="0"/>
        <w:jc w:val="center"/>
        <w:outlineLvl w:val="0"/>
        <w:rPr>
          <w:rFonts w:ascii="Arial" w:hAnsi="Arial"/>
          <w:snapToGrid w:val="0"/>
          <w:color w:val="auto"/>
          <w:sz w:val="20"/>
        </w:rPr>
      </w:pPr>
      <w:r w:rsidRPr="00BF02A7">
        <w:rPr>
          <w:rFonts w:ascii="Arial" w:hAnsi="Arial"/>
          <w:snapToGrid w:val="0"/>
          <w:color w:val="auto"/>
          <w:sz w:val="18"/>
        </w:rPr>
        <w:t xml:space="preserve">(Variación porcentual </w:t>
      </w:r>
      <w:r w:rsidR="004316A6">
        <w:rPr>
          <w:rFonts w:ascii="Arial" w:hAnsi="Arial"/>
          <w:snapToGrid w:val="0"/>
          <w:color w:val="auto"/>
          <w:sz w:val="18"/>
        </w:rPr>
        <w:t>anual</w:t>
      </w:r>
      <w:r w:rsidRPr="00BF02A7">
        <w:rPr>
          <w:rFonts w:ascii="Arial" w:hAnsi="Arial"/>
          <w:snapToGrid w:val="0"/>
          <w:color w:val="auto"/>
          <w:sz w:val="18"/>
        </w:rPr>
        <w:t>)</w:t>
      </w:r>
      <w:r w:rsidRPr="00064308">
        <w:rPr>
          <w:rFonts w:ascii="Arial" w:hAnsi="Arial"/>
          <w:snapToGrid w:val="0"/>
          <w:color w:val="auto"/>
          <w:sz w:val="20"/>
        </w:rPr>
        <w:t xml:space="preserve"> </w:t>
      </w:r>
    </w:p>
    <w:p w14:paraId="4A83771C" w14:textId="1ED3CCE8" w:rsidR="00835EBD" w:rsidRDefault="00DD5C2B" w:rsidP="00835EBD">
      <w:pPr>
        <w:pStyle w:val="p0"/>
        <w:spacing w:before="0"/>
        <w:jc w:val="center"/>
        <w:rPr>
          <w:b/>
          <w:i/>
          <w:color w:val="auto"/>
        </w:rPr>
      </w:pPr>
      <w:r>
        <w:rPr>
          <w:noProof/>
          <w:snapToGrid/>
        </w:rPr>
        <w:drawing>
          <wp:inline distT="0" distB="0" distL="0" distR="0" wp14:anchorId="3E68AB23" wp14:editId="4F049BAE">
            <wp:extent cx="4392000" cy="2664000"/>
            <wp:effectExtent l="0" t="0" r="8890" b="3175"/>
            <wp:docPr id="4" name="Gráfico 4">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07D3BC6" w14:textId="77777777" w:rsidR="00835EBD" w:rsidRPr="009F3FFD" w:rsidRDefault="00835EBD" w:rsidP="00220A74">
      <w:pPr>
        <w:pStyle w:val="p01"/>
        <w:keepLines w:val="0"/>
        <w:spacing w:before="0"/>
        <w:ind w:left="720" w:firstLine="720"/>
        <w:jc w:val="left"/>
        <w:outlineLvl w:val="0"/>
        <w:rPr>
          <w:rFonts w:ascii="Arial" w:hAnsi="Arial" w:cs="Arial"/>
          <w:color w:val="auto"/>
          <w:sz w:val="16"/>
          <w:szCs w:val="16"/>
        </w:rPr>
      </w:pPr>
      <w:r w:rsidRPr="009F3FFD">
        <w:rPr>
          <w:rFonts w:ascii="Arial" w:hAnsi="Arial" w:cs="Arial"/>
          <w:color w:val="auto"/>
          <w:sz w:val="16"/>
          <w:szCs w:val="16"/>
        </w:rPr>
        <w:t>Fuente: INEGI.</w:t>
      </w:r>
    </w:p>
    <w:p w14:paraId="4F6AE329" w14:textId="77777777" w:rsidR="00D02F94" w:rsidRDefault="00D02F94">
      <w:pPr>
        <w:widowControl/>
        <w:rPr>
          <w:rFonts w:cs="Arial"/>
          <w:sz w:val="20"/>
          <w:lang w:val="es-MX"/>
        </w:rPr>
      </w:pPr>
    </w:p>
    <w:p w14:paraId="2B9329A0" w14:textId="77777777" w:rsidR="00981D4C" w:rsidRDefault="00981D4C" w:rsidP="001C5E65">
      <w:pPr>
        <w:pStyle w:val="bullet"/>
        <w:numPr>
          <w:ilvl w:val="0"/>
          <w:numId w:val="0"/>
        </w:numPr>
        <w:spacing w:before="360"/>
        <w:ind w:right="-91"/>
        <w:jc w:val="center"/>
        <w:rPr>
          <w:rFonts w:cs="Arial"/>
          <w:b w:val="0"/>
          <w:color w:val="auto"/>
          <w:sz w:val="20"/>
          <w:lang w:val="es-MX"/>
        </w:rPr>
      </w:pPr>
    </w:p>
    <w:p w14:paraId="6186AF78" w14:textId="77777777" w:rsidR="00981D4C" w:rsidRDefault="00981D4C" w:rsidP="001C5E65">
      <w:pPr>
        <w:pStyle w:val="bullet"/>
        <w:numPr>
          <w:ilvl w:val="0"/>
          <w:numId w:val="0"/>
        </w:numPr>
        <w:spacing w:before="360"/>
        <w:ind w:right="-91"/>
        <w:jc w:val="center"/>
        <w:rPr>
          <w:rFonts w:cs="Arial"/>
          <w:b w:val="0"/>
          <w:color w:val="auto"/>
          <w:sz w:val="20"/>
          <w:lang w:val="es-MX"/>
        </w:rPr>
      </w:pPr>
    </w:p>
    <w:p w14:paraId="529979A1" w14:textId="47B0B7C4" w:rsidR="00835EBD" w:rsidRPr="001C5E65" w:rsidRDefault="001C5E65" w:rsidP="001C5E65">
      <w:pPr>
        <w:pStyle w:val="bullet"/>
        <w:numPr>
          <w:ilvl w:val="0"/>
          <w:numId w:val="0"/>
        </w:numPr>
        <w:spacing w:before="360"/>
        <w:ind w:right="-91"/>
        <w:jc w:val="center"/>
        <w:rPr>
          <w:rFonts w:cs="Arial"/>
          <w:b w:val="0"/>
          <w:smallCaps/>
          <w:color w:val="auto"/>
          <w:szCs w:val="22"/>
        </w:rPr>
      </w:pPr>
      <w:r w:rsidRPr="008C7F10">
        <w:rPr>
          <w:rFonts w:cs="Arial"/>
          <w:b w:val="0"/>
          <w:color w:val="auto"/>
          <w:sz w:val="20"/>
          <w:lang w:val="es-MX"/>
        </w:rPr>
        <w:t xml:space="preserve">Gráfica </w:t>
      </w:r>
      <w:r w:rsidR="00CC5B99" w:rsidRPr="008C7F10">
        <w:rPr>
          <w:rFonts w:cs="Arial"/>
          <w:b w:val="0"/>
          <w:color w:val="auto"/>
          <w:sz w:val="20"/>
          <w:lang w:val="es-MX"/>
        </w:rPr>
        <w:t>2</w:t>
      </w:r>
    </w:p>
    <w:p w14:paraId="64DBF83E" w14:textId="729F0F67" w:rsidR="00682DD9" w:rsidRDefault="005E3FC4" w:rsidP="00682DD9">
      <w:pPr>
        <w:pStyle w:val="bullet"/>
        <w:numPr>
          <w:ilvl w:val="0"/>
          <w:numId w:val="0"/>
        </w:numPr>
        <w:spacing w:before="0"/>
        <w:ind w:right="-91"/>
        <w:jc w:val="center"/>
        <w:rPr>
          <w:rFonts w:cs="Arial"/>
          <w:smallCaps/>
          <w:color w:val="auto"/>
          <w:szCs w:val="22"/>
        </w:rPr>
      </w:pPr>
      <w:r>
        <w:rPr>
          <w:rFonts w:cs="Arial"/>
          <w:smallCaps/>
          <w:color w:val="auto"/>
          <w:szCs w:val="22"/>
        </w:rPr>
        <w:t>Producto Interno Bruto</w:t>
      </w:r>
    </w:p>
    <w:p w14:paraId="5C9BB2D0" w14:textId="6B174BE3" w:rsidR="005E3FC4" w:rsidRDefault="005E3FC4" w:rsidP="005A3442">
      <w:pPr>
        <w:pStyle w:val="bullet"/>
        <w:numPr>
          <w:ilvl w:val="0"/>
          <w:numId w:val="0"/>
        </w:numPr>
        <w:spacing w:before="0"/>
        <w:ind w:right="-91"/>
        <w:jc w:val="center"/>
        <w:rPr>
          <w:b w:val="0"/>
          <w:color w:val="auto"/>
          <w:sz w:val="20"/>
        </w:rPr>
      </w:pPr>
      <w:r w:rsidRPr="00BF02A7">
        <w:rPr>
          <w:b w:val="0"/>
          <w:color w:val="auto"/>
          <w:sz w:val="18"/>
        </w:rPr>
        <w:t>(Variación porcentual</w:t>
      </w:r>
      <w:r w:rsidR="002870CD" w:rsidRPr="00BF02A7">
        <w:rPr>
          <w:b w:val="0"/>
          <w:color w:val="auto"/>
          <w:sz w:val="18"/>
        </w:rPr>
        <w:t xml:space="preserve"> </w:t>
      </w:r>
      <w:r w:rsidR="00C82035">
        <w:rPr>
          <w:b w:val="0"/>
          <w:color w:val="auto"/>
          <w:sz w:val="18"/>
        </w:rPr>
        <w:t>anual</w:t>
      </w:r>
      <w:r w:rsidRPr="00BF02A7">
        <w:rPr>
          <w:b w:val="0"/>
          <w:color w:val="auto"/>
          <w:sz w:val="18"/>
        </w:rPr>
        <w:t>)</w:t>
      </w:r>
    </w:p>
    <w:p w14:paraId="3E4C3F21" w14:textId="77777777" w:rsidR="00274EAD" w:rsidRDefault="00DD5C2B" w:rsidP="00274EAD">
      <w:pPr>
        <w:pStyle w:val="bullet"/>
        <w:numPr>
          <w:ilvl w:val="0"/>
          <w:numId w:val="0"/>
        </w:numPr>
        <w:spacing w:before="0"/>
        <w:ind w:right="-91"/>
        <w:jc w:val="center"/>
        <w:rPr>
          <w:rFonts w:cs="Arial"/>
          <w:b w:val="0"/>
          <w:bCs/>
          <w:color w:val="auto"/>
          <w:sz w:val="16"/>
          <w:szCs w:val="16"/>
        </w:rPr>
      </w:pPr>
      <w:r w:rsidRPr="00274EAD">
        <w:rPr>
          <w:noProof/>
          <w:snapToGrid/>
          <w:sz w:val="14"/>
          <w:szCs w:val="12"/>
        </w:rPr>
        <w:drawing>
          <wp:inline distT="0" distB="0" distL="0" distR="0" wp14:anchorId="741AB483" wp14:editId="4DA5F0D5">
            <wp:extent cx="4392000" cy="2664000"/>
            <wp:effectExtent l="0" t="0" r="8890" b="3175"/>
            <wp:docPr id="5" name="Gráfico 5">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E719B2F" w14:textId="4CDC6645" w:rsidR="005E3FC4" w:rsidRDefault="005E3FC4" w:rsidP="00274EAD">
      <w:pPr>
        <w:pStyle w:val="bullet"/>
        <w:numPr>
          <w:ilvl w:val="0"/>
          <w:numId w:val="0"/>
        </w:numPr>
        <w:spacing w:before="0"/>
        <w:ind w:left="1418" w:right="-91"/>
        <w:jc w:val="left"/>
        <w:rPr>
          <w:b w:val="0"/>
          <w:i/>
          <w:color w:val="auto"/>
        </w:rPr>
      </w:pPr>
      <w:r w:rsidRPr="00274EAD">
        <w:rPr>
          <w:rFonts w:cs="Arial"/>
          <w:b w:val="0"/>
          <w:bCs/>
          <w:color w:val="auto"/>
          <w:sz w:val="16"/>
          <w:szCs w:val="16"/>
        </w:rPr>
        <w:t>Fuente: INEGI.</w:t>
      </w:r>
    </w:p>
    <w:p w14:paraId="675B4FA2" w14:textId="77777777" w:rsidR="00454C88" w:rsidRDefault="00454C88">
      <w:pPr>
        <w:widowControl/>
        <w:rPr>
          <w:b/>
          <w:i/>
        </w:rPr>
      </w:pPr>
      <w:r>
        <w:rPr>
          <w:b/>
          <w:i/>
        </w:rPr>
        <w:br w:type="page"/>
      </w:r>
    </w:p>
    <w:p w14:paraId="70D2DF77" w14:textId="77777777" w:rsidR="005700E4" w:rsidRPr="00D422F2" w:rsidRDefault="005700E4" w:rsidP="005700E4">
      <w:pPr>
        <w:pStyle w:val="p0"/>
        <w:spacing w:before="180"/>
        <w:rPr>
          <w:b/>
          <w:i/>
          <w:color w:val="auto"/>
        </w:rPr>
      </w:pPr>
      <w:r w:rsidRPr="00D422F2">
        <w:rPr>
          <w:b/>
          <w:i/>
          <w:color w:val="auto"/>
        </w:rPr>
        <w:lastRenderedPageBreak/>
        <w:t>Nota al usuario</w:t>
      </w:r>
    </w:p>
    <w:p w14:paraId="1D24CB48" w14:textId="77777777" w:rsidR="008D416C" w:rsidRPr="008D416C" w:rsidRDefault="008D416C" w:rsidP="008D416C">
      <w:pPr>
        <w:pStyle w:val="p0"/>
        <w:rPr>
          <w:color w:val="auto"/>
        </w:rPr>
      </w:pPr>
      <w:r w:rsidRPr="008D416C">
        <w:rPr>
          <w:color w:val="auto"/>
        </w:rPr>
        <w:t xml:space="preserve">En los meses de enero y febrero de 2022, la tasa de no respuesta en la captación de las encuestas económicas que se consideraron para la </w:t>
      </w:r>
      <w:bookmarkStart w:id="2" w:name="_Hlk102039114"/>
      <w:r w:rsidRPr="008D416C">
        <w:rPr>
          <w:color w:val="auto"/>
        </w:rPr>
        <w:t>Estimación Oportuna del PIB Trimestral</w:t>
      </w:r>
      <w:bookmarkEnd w:id="2"/>
      <w:r w:rsidRPr="003711A0">
        <w:rPr>
          <w:bCs/>
          <w:smallCaps/>
          <w:color w:val="auto"/>
          <w:vertAlign w:val="superscript"/>
        </w:rPr>
        <w:footnoteReference w:id="5"/>
      </w:r>
      <w:r w:rsidRPr="003711A0">
        <w:rPr>
          <w:bCs/>
          <w:color w:val="auto"/>
        </w:rPr>
        <w:t xml:space="preserve"> </w:t>
      </w:r>
      <w:r w:rsidRPr="008D416C">
        <w:rPr>
          <w:color w:val="auto"/>
        </w:rPr>
        <w:t>registró porcentajes apropiados de acuerdo con el diseño estadístico de las muestras. Asimismo, la captación de estadísticas, de los registros administrativos y los datos primarios que divulga el Instituto permitió la generación de estadísticas con niveles altos de cobertura y precisión estadística, para la generación de los modelos de estimación del mes de marzo de 2022.</w:t>
      </w:r>
    </w:p>
    <w:p w14:paraId="3236CFBA" w14:textId="279742DA" w:rsidR="000C1BE9" w:rsidRPr="004209C7" w:rsidRDefault="008D416C" w:rsidP="008D416C">
      <w:pPr>
        <w:pStyle w:val="p0"/>
        <w:rPr>
          <w:color w:val="auto"/>
        </w:rPr>
      </w:pPr>
      <w:r w:rsidRPr="008D416C">
        <w:rPr>
          <w:color w:val="auto"/>
        </w:rPr>
        <w:t>Para las actividades agropecuarias, de servicios financieros y del gobierno se incluyeron los registros administrativos provenientes de las empresas y Unidades del Estado que se recibieron oportunamente vía correo electrónico y captación por internet.</w:t>
      </w:r>
    </w:p>
    <w:p w14:paraId="17C38E40" w14:textId="36441E7C" w:rsidR="005700E4" w:rsidRDefault="005700E4" w:rsidP="005700E4">
      <w:pPr>
        <w:pStyle w:val="p0"/>
        <w:rPr>
          <w:b/>
          <w:i/>
          <w:color w:val="auto"/>
        </w:rPr>
      </w:pPr>
      <w:r w:rsidRPr="004209C7">
        <w:rPr>
          <w:color w:val="auto"/>
        </w:rPr>
        <w:t>Por otra parte, se informa que las cifras desestacionalizadas y de tendencia-ciclo pueden estar sujetas a revisiones importantes debido al impacto inusual derivado de la emergencia sanitaria de</w:t>
      </w:r>
      <w:r w:rsidR="00C82035" w:rsidRPr="004209C7">
        <w:rPr>
          <w:color w:val="auto"/>
        </w:rPr>
        <w:t xml:space="preserve"> </w:t>
      </w:r>
      <w:r w:rsidRPr="004209C7">
        <w:rPr>
          <w:color w:val="auto"/>
        </w:rPr>
        <w:t>l</w:t>
      </w:r>
      <w:r w:rsidR="00C82035" w:rsidRPr="004209C7">
        <w:rPr>
          <w:color w:val="auto"/>
        </w:rPr>
        <w:t>a</w:t>
      </w:r>
      <w:r w:rsidRPr="004209C7">
        <w:rPr>
          <w:color w:val="auto"/>
        </w:rPr>
        <w:t xml:space="preserve"> COVID-19. La estrategia seguida por el INEGI ha sido revisar de manera particular cada serie de tiempo y analizar la necesidad de incluir algún tratamiento especial</w:t>
      </w:r>
      <w:r w:rsidR="00C82035" w:rsidRPr="004209C7">
        <w:rPr>
          <w:color w:val="auto"/>
        </w:rPr>
        <w:t xml:space="preserve">, como el de </w:t>
      </w:r>
      <w:proofErr w:type="spellStart"/>
      <w:r w:rsidR="00C82035" w:rsidRPr="00CB1E14">
        <w:rPr>
          <w:i/>
          <w:iCs/>
          <w:color w:val="auto"/>
        </w:rPr>
        <w:t>O</w:t>
      </w:r>
      <w:r w:rsidRPr="00CB1E14">
        <w:rPr>
          <w:i/>
          <w:iCs/>
          <w:color w:val="auto"/>
        </w:rPr>
        <w:t>utliers</w:t>
      </w:r>
      <w:proofErr w:type="spellEnd"/>
      <w:r w:rsidR="00C82035" w:rsidRPr="004209C7">
        <w:rPr>
          <w:color w:val="auto"/>
        </w:rPr>
        <w:t>,</w:t>
      </w:r>
      <w:r w:rsidRPr="004209C7">
        <w:rPr>
          <w:color w:val="auto"/>
        </w:rPr>
        <w:t xml:space="preserve"> en los modelos de ajuste estacional para los meses de la contingencia. Lo anterior con el objetivo de que los grandes cambios en las cifras originales no influyan de manera desproporcionada en los factores estacionales utilizados.</w:t>
      </w:r>
    </w:p>
    <w:p w14:paraId="0121FD05" w14:textId="20E79F57" w:rsidR="00B35528" w:rsidRPr="00D61AB3" w:rsidRDefault="00B35528" w:rsidP="00252BD9">
      <w:pPr>
        <w:pStyle w:val="p0"/>
        <w:rPr>
          <w:b/>
          <w:i/>
          <w:color w:val="auto"/>
        </w:rPr>
      </w:pPr>
      <w:r w:rsidRPr="00D61AB3">
        <w:rPr>
          <w:b/>
          <w:i/>
          <w:color w:val="auto"/>
        </w:rPr>
        <w:t xml:space="preserve">Nota </w:t>
      </w:r>
      <w:r w:rsidR="00D422F2">
        <w:rPr>
          <w:b/>
          <w:i/>
          <w:color w:val="auto"/>
        </w:rPr>
        <w:t>m</w:t>
      </w:r>
      <w:r w:rsidRPr="00D61AB3">
        <w:rPr>
          <w:b/>
          <w:i/>
          <w:color w:val="auto"/>
        </w:rPr>
        <w:t xml:space="preserve">etodológica </w:t>
      </w:r>
    </w:p>
    <w:p w14:paraId="0FF46417" w14:textId="28BA02BB" w:rsidR="00541B47" w:rsidRPr="005A3442" w:rsidRDefault="00541B47" w:rsidP="00863772">
      <w:pPr>
        <w:pStyle w:val="p0"/>
        <w:rPr>
          <w:color w:val="auto"/>
        </w:rPr>
      </w:pPr>
      <w:r w:rsidRPr="005A3442">
        <w:rPr>
          <w:color w:val="auto"/>
        </w:rPr>
        <w:t xml:space="preserve">La estimación oportuna del PIB </w:t>
      </w:r>
      <w:r w:rsidR="00B92EF3">
        <w:rPr>
          <w:color w:val="auto"/>
        </w:rPr>
        <w:t>T</w:t>
      </w:r>
      <w:r w:rsidRPr="005A3442">
        <w:rPr>
          <w:color w:val="auto"/>
        </w:rPr>
        <w:t>rimestral ofrece</w:t>
      </w:r>
      <w:r w:rsidR="00C746F1">
        <w:rPr>
          <w:color w:val="auto"/>
        </w:rPr>
        <w:t>,</w:t>
      </w:r>
      <w:r w:rsidRPr="005A3442">
        <w:rPr>
          <w:color w:val="auto"/>
        </w:rPr>
        <w:t xml:space="preserve"> en el corto plazo, una visión completa y coherente de la evolución de las actividades económicas del país para apoyar la toma de decisiones.</w:t>
      </w:r>
    </w:p>
    <w:p w14:paraId="2DB06D78" w14:textId="77777777" w:rsidR="00541B47" w:rsidRPr="005A3442" w:rsidRDefault="00541B47" w:rsidP="008266A4">
      <w:pPr>
        <w:pStyle w:val="p0"/>
        <w:rPr>
          <w:color w:val="auto"/>
        </w:rPr>
      </w:pPr>
      <w:r w:rsidRPr="005A3442">
        <w:rPr>
          <w:color w:val="auto"/>
        </w:rPr>
        <w:t>La metodología</w:t>
      </w:r>
      <w:r>
        <w:rPr>
          <w:color w:val="auto"/>
        </w:rPr>
        <w:t xml:space="preserve"> que presenta el INEGI para la estimación o</w:t>
      </w:r>
      <w:r w:rsidRPr="005A3442">
        <w:rPr>
          <w:color w:val="auto"/>
        </w:rPr>
        <w:t xml:space="preserve">portuna del PIB Trimestral de México utiliza información estadística oportuna de las fuentes directas (encuestas en establecimientos y en hogares y los registros administrativos de diversas dependencias de gobierno) y los cálculos de la información faltante, que se hacen a través </w:t>
      </w:r>
      <w:r w:rsidRPr="0098674E">
        <w:rPr>
          <w:color w:val="auto"/>
        </w:rPr>
        <w:t>de modelos</w:t>
      </w:r>
      <w:r w:rsidRPr="005A3442">
        <w:rPr>
          <w:color w:val="auto"/>
        </w:rPr>
        <w:t xml:space="preserve"> econométricos, para la integración del dato final. Esta integración se hace conforme a la metodología del Sistema de Cuenta</w:t>
      </w:r>
      <w:r>
        <w:rPr>
          <w:color w:val="auto"/>
        </w:rPr>
        <w:t>s</w:t>
      </w:r>
      <w:r w:rsidRPr="005A3442">
        <w:rPr>
          <w:color w:val="auto"/>
        </w:rPr>
        <w:t xml:space="preserve"> Nacionales de México (SCNM).</w:t>
      </w:r>
    </w:p>
    <w:p w14:paraId="646472E4" w14:textId="18858310" w:rsidR="00541B47" w:rsidRPr="005A3442" w:rsidRDefault="00541B47" w:rsidP="008266A4">
      <w:pPr>
        <w:pStyle w:val="p0"/>
        <w:rPr>
          <w:color w:val="auto"/>
        </w:rPr>
      </w:pPr>
      <w:r w:rsidRPr="005A3442">
        <w:rPr>
          <w:color w:val="auto"/>
        </w:rPr>
        <w:lastRenderedPageBreak/>
        <w:t>Entre las virtudes de esta metodología está la precisión del dato estimado respecto al dato del cálculo tradicional. Esto se debe a que s</w:t>
      </w:r>
      <w:r w:rsidR="00856BDD">
        <w:rPr>
          <w:color w:val="auto"/>
        </w:rPr>
        <w:t>ó</w:t>
      </w:r>
      <w:r w:rsidRPr="005A3442">
        <w:rPr>
          <w:color w:val="auto"/>
        </w:rPr>
        <w:t xml:space="preserve">lo se estima una parte del trimestre de referencia (con cerca </w:t>
      </w:r>
      <w:r w:rsidRPr="0098674E">
        <w:rPr>
          <w:color w:val="auto"/>
        </w:rPr>
        <w:t>del 75%, aproximadamente, de información directa disponible) y a la rigurosa selección de los modelos que pronostican los datos faltantes. La estimación se hace a partir de las 621 clases de actividad que comprenden el IGAE y que se tienen, de manera mensual, disponibles</w:t>
      </w:r>
      <w:r w:rsidRPr="005A3442">
        <w:rPr>
          <w:color w:val="auto"/>
        </w:rPr>
        <w:t xml:space="preserve"> hasta el segundo mes del trimestre de referencia.</w:t>
      </w:r>
    </w:p>
    <w:p w14:paraId="7C98724C" w14:textId="71A97F9E" w:rsidR="00541B47" w:rsidRPr="005A3442" w:rsidRDefault="00541B47" w:rsidP="008266A4">
      <w:pPr>
        <w:pStyle w:val="p0"/>
        <w:rPr>
          <w:color w:val="auto"/>
        </w:rPr>
      </w:pPr>
      <w:r w:rsidRPr="005A3442">
        <w:rPr>
          <w:color w:val="auto"/>
        </w:rPr>
        <w:t>Es importante mencionar que esta estimación no reemplaza al cálculo tradicional del PIB Trimestral.</w:t>
      </w:r>
    </w:p>
    <w:p w14:paraId="7F65D17B" w14:textId="5EF94340" w:rsidR="00541B47" w:rsidRDefault="00541B47" w:rsidP="008266A4">
      <w:pPr>
        <w:pStyle w:val="p0"/>
        <w:rPr>
          <w:color w:val="auto"/>
        </w:rPr>
      </w:pPr>
      <w:r w:rsidRPr="005A3442">
        <w:rPr>
          <w:color w:val="auto"/>
        </w:rPr>
        <w:t xml:space="preserve">El presente </w:t>
      </w:r>
      <w:r>
        <w:rPr>
          <w:color w:val="auto"/>
        </w:rPr>
        <w:t xml:space="preserve">documento </w:t>
      </w:r>
      <w:r w:rsidR="004B73CD">
        <w:rPr>
          <w:color w:val="auto"/>
        </w:rPr>
        <w:t>presenta</w:t>
      </w:r>
      <w:r w:rsidR="004B73CD" w:rsidRPr="005A3442">
        <w:rPr>
          <w:color w:val="auto"/>
        </w:rPr>
        <w:t xml:space="preserve"> </w:t>
      </w:r>
      <w:r w:rsidRPr="005A3442">
        <w:rPr>
          <w:color w:val="auto"/>
        </w:rPr>
        <w:t>las variaciones porcentuales de las series originales y desestacionalizadas respecto al mismo trimestre del año anterior y con el trimestre inmediato anterior, este último únicamente para las</w:t>
      </w:r>
      <w:r>
        <w:rPr>
          <w:color w:val="auto"/>
        </w:rPr>
        <w:t xml:space="preserve"> cifras desestacionalizadas.</w:t>
      </w:r>
    </w:p>
    <w:p w14:paraId="23C0A396" w14:textId="77777777" w:rsidR="00541B47" w:rsidRPr="005A3442" w:rsidRDefault="00541B47" w:rsidP="0042396C">
      <w:pPr>
        <w:pStyle w:val="p0"/>
        <w:rPr>
          <w:color w:val="auto"/>
        </w:rPr>
      </w:pPr>
      <w:r w:rsidRPr="005A3442">
        <w:rPr>
          <w:color w:val="auto"/>
        </w:rPr>
        <w:t xml:space="preserve">Los cálculos de corto plazo se alinean con las cifras anuales de las Cuentas de Bienes y Servicios, con excepción de la agricultura, aplicando la técnica </w:t>
      </w:r>
      <w:r w:rsidRPr="002D5EDB">
        <w:rPr>
          <w:color w:val="auto"/>
        </w:rPr>
        <w:t xml:space="preserve">Denton </w:t>
      </w:r>
      <w:r w:rsidRPr="005A3442">
        <w:rPr>
          <w:color w:val="auto"/>
        </w:rPr>
        <w:t>a nivel de clase de actividad económica, evitando que se interpreten de diferente manera resultados que pueden diferir por su grado de cobertura o por la fecha de su disponibilidad, pero nunca en su base conceptual.</w:t>
      </w:r>
    </w:p>
    <w:p w14:paraId="305087D0" w14:textId="414780EF" w:rsidR="00762CEA" w:rsidRDefault="00541B47" w:rsidP="0042396C">
      <w:pPr>
        <w:pStyle w:val="p0"/>
        <w:rPr>
          <w:color w:val="auto"/>
        </w:rPr>
      </w:pPr>
      <w:r w:rsidRPr="005A3442">
        <w:rPr>
          <w:color w:val="auto"/>
        </w:rPr>
        <w:t xml:space="preserve">Las principales fuentes de información para la estimación de los dos primeros meses del trimestre del PIB y las actividades que lo comprenden son: la Encuesta Mensual de la Industria Manufacturera, Encuesta Mensual sobre </w:t>
      </w:r>
      <w:r w:rsidR="00B03E31" w:rsidRPr="00B03E31">
        <w:rPr>
          <w:color w:val="auto"/>
        </w:rPr>
        <w:t>Empresas</w:t>
      </w:r>
      <w:r w:rsidRPr="005A3442">
        <w:rPr>
          <w:color w:val="auto"/>
        </w:rPr>
        <w:t xml:space="preserve"> Comerciales, Estadística de la Industria </w:t>
      </w:r>
      <w:proofErr w:type="spellStart"/>
      <w:r w:rsidRPr="005A3442">
        <w:rPr>
          <w:color w:val="auto"/>
        </w:rPr>
        <w:t>Minerometalúrgica</w:t>
      </w:r>
      <w:proofErr w:type="spellEnd"/>
      <w:r w:rsidRPr="005A3442">
        <w:rPr>
          <w:color w:val="auto"/>
        </w:rPr>
        <w:t xml:space="preserve">, Encuesta Nacional de Empresas Constructoras, Encuesta Mensual de Servicios, Registros Administrativos y Estadísticas </w:t>
      </w:r>
      <w:r w:rsidR="00DE0DB7">
        <w:rPr>
          <w:color w:val="auto"/>
        </w:rPr>
        <w:t>S</w:t>
      </w:r>
      <w:r w:rsidRPr="005A3442">
        <w:rPr>
          <w:color w:val="auto"/>
        </w:rPr>
        <w:t xml:space="preserve">ociodemográficas. Para el último mes se utilizan las encuestas de opinión y la información que se recibe de las fuentes anteriores con una oportunidad </w:t>
      </w:r>
      <w:r w:rsidRPr="0098674E">
        <w:rPr>
          <w:color w:val="auto"/>
        </w:rPr>
        <w:t>de 28 días</w:t>
      </w:r>
      <w:r w:rsidRPr="005A3442">
        <w:rPr>
          <w:color w:val="auto"/>
        </w:rPr>
        <w:t>.</w:t>
      </w:r>
    </w:p>
    <w:p w14:paraId="54B8E1A4" w14:textId="521605CF" w:rsidR="00C82035" w:rsidRPr="00E20D88" w:rsidRDefault="00C82035" w:rsidP="00C82035">
      <w:pPr>
        <w:pStyle w:val="p0"/>
        <w:rPr>
          <w:color w:val="auto"/>
        </w:rPr>
      </w:pPr>
      <w:r>
        <w:rPr>
          <w:color w:val="auto"/>
        </w:rPr>
        <w:t>Es importante destacar que l</w:t>
      </w:r>
      <w:r w:rsidRPr="00E20D88">
        <w:rPr>
          <w:color w:val="auto"/>
        </w:rPr>
        <w:t>a mayoría de las series económicas se ven afectadas por factores estacionales</w:t>
      </w:r>
      <w:r>
        <w:rPr>
          <w:color w:val="auto"/>
        </w:rPr>
        <w:t xml:space="preserve">. </w:t>
      </w:r>
      <w:r w:rsidR="001E40F0">
        <w:rPr>
          <w:color w:val="auto"/>
        </w:rPr>
        <w:t>Es decir,</w:t>
      </w:r>
      <w:r w:rsidRPr="00E20D88">
        <w:rPr>
          <w:color w:val="auto"/>
        </w:rPr>
        <w:t xml:space="preserve"> efectos periódicos que se repiten cada año y cuyas causas pueden considerarse ajenas a la naturaleza económica de las series, </w:t>
      </w:r>
      <w:r w:rsidR="001E40F0">
        <w:rPr>
          <w:color w:val="auto"/>
        </w:rPr>
        <w:t>Éstas pueden ser:</w:t>
      </w:r>
      <w:r w:rsidRPr="00E20D88">
        <w:rPr>
          <w:color w:val="auto"/>
        </w:rPr>
        <w:t xml:space="preserve"> las festividades, el hecho de que algunos meses tienen más días que otros, los periodos de vacaciones escolares, el efecto del clima en las diferentes estaciones del año y otras fluctuaciones estacionales </w:t>
      </w:r>
      <w:r w:rsidR="0040115C">
        <w:rPr>
          <w:color w:val="auto"/>
        </w:rPr>
        <w:t>como</w:t>
      </w:r>
      <w:r w:rsidRPr="00E20D88">
        <w:rPr>
          <w:color w:val="auto"/>
        </w:rPr>
        <w:t xml:space="preserve"> la elevada producción de juguetes en los meses previos a la Navidad provocada por la expectativa de mayores ventas en diciembre. </w:t>
      </w:r>
    </w:p>
    <w:p w14:paraId="53B53F2C" w14:textId="0E8317A7" w:rsidR="00C82035" w:rsidRDefault="00C82035" w:rsidP="00C82035">
      <w:pPr>
        <w:pStyle w:val="p0"/>
        <w:keepLines w:val="0"/>
        <w:rPr>
          <w:color w:val="auto"/>
        </w:rPr>
      </w:pPr>
      <w:r w:rsidRPr="00E20D88">
        <w:rPr>
          <w:color w:val="auto"/>
        </w:rPr>
        <w:t xml:space="preserve">En este sentido, la desestacionalización o ajuste estacional de series económicas consiste en remover estas influencias </w:t>
      </w:r>
      <w:proofErr w:type="spellStart"/>
      <w:r w:rsidRPr="00E20D88">
        <w:rPr>
          <w:color w:val="auto"/>
        </w:rPr>
        <w:t>intra-anuales</w:t>
      </w:r>
      <w:proofErr w:type="spellEnd"/>
      <w:r w:rsidRPr="00E20D88">
        <w:rPr>
          <w:color w:val="auto"/>
        </w:rPr>
        <w:t xml:space="preserve"> periódicas, </w:t>
      </w:r>
      <w:r w:rsidR="0040115C">
        <w:rPr>
          <w:color w:val="auto"/>
        </w:rPr>
        <w:t>pues</w:t>
      </w:r>
      <w:r w:rsidRPr="00E20D88">
        <w:rPr>
          <w:color w:val="auto"/>
        </w:rPr>
        <w:t xml:space="preserve"> su presencia dificulta diagnosticar o describir el comportamiento de una serie </w:t>
      </w:r>
      <w:r>
        <w:rPr>
          <w:color w:val="auto"/>
        </w:rPr>
        <w:t xml:space="preserve">económica </w:t>
      </w:r>
      <w:r w:rsidRPr="00E20D88">
        <w:rPr>
          <w:color w:val="auto"/>
        </w:rPr>
        <w:t xml:space="preserve">al no poder comparar adecuadamente un determinado trimestre con el inmediato anterior. </w:t>
      </w:r>
    </w:p>
    <w:p w14:paraId="6B4558B8" w14:textId="00BD8B7E" w:rsidR="00C82035" w:rsidRPr="005A3442" w:rsidRDefault="00C82035" w:rsidP="00C82035">
      <w:pPr>
        <w:pStyle w:val="p0"/>
        <w:keepLines w:val="0"/>
        <w:rPr>
          <w:color w:val="auto"/>
        </w:rPr>
      </w:pPr>
      <w:r w:rsidRPr="00E20D88">
        <w:rPr>
          <w:color w:val="auto"/>
        </w:rPr>
        <w:lastRenderedPageBreak/>
        <w:t xml:space="preserve">Analizar la serie </w:t>
      </w:r>
      <w:r w:rsidR="0040115C">
        <w:rPr>
          <w:color w:val="auto"/>
        </w:rPr>
        <w:t xml:space="preserve">desestacionalizada </w:t>
      </w:r>
      <w:r w:rsidRPr="00E20D88">
        <w:rPr>
          <w:color w:val="auto"/>
        </w:rPr>
        <w:t xml:space="preserve">ayuda a realizar un mejor diagnóstico y pronóstico de </w:t>
      </w:r>
      <w:r>
        <w:rPr>
          <w:color w:val="auto"/>
        </w:rPr>
        <w:t>su</w:t>
      </w:r>
      <w:r w:rsidRPr="00E20D88">
        <w:rPr>
          <w:color w:val="auto"/>
        </w:rPr>
        <w:t xml:space="preserve"> evolución, ya que </w:t>
      </w:r>
      <w:r w:rsidR="0040115C">
        <w:rPr>
          <w:color w:val="auto"/>
        </w:rPr>
        <w:t>permite identificar</w:t>
      </w:r>
      <w:r w:rsidRPr="00E20D88">
        <w:rPr>
          <w:color w:val="auto"/>
        </w:rPr>
        <w:t xml:space="preserve"> la posible dirección de los movimientos que pudiera tener la variable en cuestión, en el corto plazo. </w:t>
      </w:r>
    </w:p>
    <w:p w14:paraId="5E696D99" w14:textId="77777777" w:rsidR="00C82035" w:rsidRPr="007D7B86" w:rsidRDefault="00C82035" w:rsidP="00C82035">
      <w:pPr>
        <w:pStyle w:val="p0"/>
        <w:rPr>
          <w:color w:val="auto"/>
        </w:rPr>
      </w:pPr>
      <w:r w:rsidRPr="004A082D">
        <w:rPr>
          <w:color w:val="auto"/>
        </w:rPr>
        <w:t>Las series originales se ajustan estacionalmente mediante el paquete estadístico X</w:t>
      </w:r>
      <w:r w:rsidRPr="004A082D">
        <w:rPr>
          <w:color w:val="auto"/>
        </w:rPr>
        <w:noBreakHyphen/>
        <w:t>13ARIMA-SEATS. Para conocer la metodología se sugiere consultar la siguiente liga:</w:t>
      </w:r>
    </w:p>
    <w:p w14:paraId="0D9E7002" w14:textId="77777777" w:rsidR="00C82035" w:rsidRPr="00E92E4F" w:rsidRDefault="00A3602D" w:rsidP="00C82035">
      <w:pPr>
        <w:spacing w:before="240"/>
        <w:jc w:val="both"/>
        <w:rPr>
          <w:highlight w:val="yellow"/>
          <w:lang w:val="es-MX"/>
        </w:rPr>
      </w:pPr>
      <w:hyperlink r:id="rId23" w:history="1">
        <w:r w:rsidR="00C82035" w:rsidRPr="007D7B86">
          <w:rPr>
            <w:rStyle w:val="Hipervnculo"/>
            <w:sz w:val="22"/>
            <w:szCs w:val="18"/>
            <w:lang w:eastAsia="en-US"/>
          </w:rPr>
          <w:t>https://www.inegi.org.mx/app/biblioteca/ficha.html?upc=702825099060</w:t>
        </w:r>
      </w:hyperlink>
    </w:p>
    <w:p w14:paraId="0BC9B888" w14:textId="6F2AD3D1" w:rsidR="00C82035" w:rsidRDefault="00247EA3" w:rsidP="00C82035">
      <w:pPr>
        <w:pStyle w:val="p0"/>
        <w:rPr>
          <w:color w:val="auto"/>
        </w:rPr>
      </w:pPr>
      <w:r w:rsidRPr="005A3442">
        <w:rPr>
          <w:noProof/>
          <w:color w:val="auto"/>
          <w:lang w:val="es-MX" w:eastAsia="es-MX"/>
        </w:rPr>
        <w:drawing>
          <wp:anchor distT="0" distB="0" distL="114300" distR="114300" simplePos="0" relativeHeight="251660288" behindDoc="0" locked="0" layoutInCell="1" allowOverlap="1" wp14:anchorId="1B16C00F" wp14:editId="25A29E96">
            <wp:simplePos x="0" y="0"/>
            <wp:positionH relativeFrom="column">
              <wp:posOffset>1645920</wp:posOffset>
            </wp:positionH>
            <wp:positionV relativeFrom="paragraph">
              <wp:posOffset>526720</wp:posOffset>
            </wp:positionV>
            <wp:extent cx="152400" cy="152400"/>
            <wp:effectExtent l="0" t="0" r="0" b="0"/>
            <wp:wrapNone/>
            <wp:docPr id="3" name="Imagen 3" descr="http://www.inegi.org.mx/sistemas/bie/img/MetadatoC.GIF">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24"/>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anchor>
        </w:drawing>
      </w:r>
      <w:r w:rsidR="00C82035" w:rsidRPr="005A3442">
        <w:rPr>
          <w:color w:val="auto"/>
        </w:rPr>
        <w:t>Asimismo, las especificaciones de los modelos utilizados para realizar el ajuste estacional están disponibles en el Banco de Información Económica, seleccionando el icono de información</w:t>
      </w:r>
      <w:r w:rsidR="002E1E42">
        <w:rPr>
          <w:color w:val="auto"/>
        </w:rPr>
        <w:t xml:space="preserve"> </w:t>
      </w:r>
      <w:r>
        <w:rPr>
          <w:color w:val="auto"/>
        </w:rPr>
        <w:t xml:space="preserve"> </w:t>
      </w:r>
      <w:r w:rsidR="00C82035" w:rsidRPr="005A3442">
        <w:rPr>
          <w:color w:val="auto"/>
        </w:rPr>
        <w:t xml:space="preserve">  correspondiente a las “series desestacionalizadas y de tendencia-ciclo” del PIB.</w:t>
      </w:r>
    </w:p>
    <w:p w14:paraId="6CA6A2BA" w14:textId="716DB8B8" w:rsidR="00541B47" w:rsidRDefault="00762CEA" w:rsidP="0042396C">
      <w:pPr>
        <w:pStyle w:val="p0"/>
        <w:rPr>
          <w:color w:val="auto"/>
        </w:rPr>
      </w:pPr>
      <w:r w:rsidRPr="00762CEA">
        <w:rPr>
          <w:color w:val="auto"/>
        </w:rPr>
        <w:t xml:space="preserve">Los datos que se presentan en este documento amplían la información que actualmente difunde el INEGI, la cual continuará generándose como parte de los resultados del SCNM, y se da a conocer en la fecha establecida en el Calendario de </w:t>
      </w:r>
      <w:r w:rsidR="002D5EDB">
        <w:rPr>
          <w:color w:val="auto"/>
        </w:rPr>
        <w:t>D</w:t>
      </w:r>
      <w:r w:rsidRPr="00762CEA">
        <w:rPr>
          <w:color w:val="auto"/>
        </w:rPr>
        <w:t xml:space="preserve">ifusión de </w:t>
      </w:r>
      <w:r w:rsidR="002D5EDB">
        <w:rPr>
          <w:color w:val="auto"/>
        </w:rPr>
        <w:t>I</w:t>
      </w:r>
      <w:r w:rsidRPr="00762CEA">
        <w:rPr>
          <w:color w:val="auto"/>
        </w:rPr>
        <w:t xml:space="preserve">nformación </w:t>
      </w:r>
      <w:r w:rsidR="002D5EDB">
        <w:rPr>
          <w:color w:val="auto"/>
        </w:rPr>
        <w:t>E</w:t>
      </w:r>
      <w:r w:rsidRPr="00762CEA">
        <w:rPr>
          <w:color w:val="auto"/>
        </w:rPr>
        <w:t xml:space="preserve">stadística y </w:t>
      </w:r>
      <w:r w:rsidR="002D5EDB">
        <w:rPr>
          <w:color w:val="auto"/>
        </w:rPr>
        <w:t>G</w:t>
      </w:r>
      <w:r w:rsidRPr="00762CEA">
        <w:rPr>
          <w:color w:val="auto"/>
        </w:rPr>
        <w:t>eográfica y de Interés Nacional.</w:t>
      </w:r>
      <w:r w:rsidR="00541B47">
        <w:rPr>
          <w:color w:val="auto"/>
        </w:rPr>
        <w:t xml:space="preserve"> </w:t>
      </w:r>
    </w:p>
    <w:p w14:paraId="4FBDB7C0" w14:textId="78C0CA10" w:rsidR="008C32D6" w:rsidRPr="00E12064" w:rsidRDefault="00541B47" w:rsidP="005C23FE">
      <w:pPr>
        <w:pStyle w:val="p0"/>
      </w:pPr>
      <w:r w:rsidRPr="00541B47">
        <w:rPr>
          <w:color w:val="auto"/>
        </w:rPr>
        <w:t xml:space="preserve">Las series de la </w:t>
      </w:r>
      <w:r w:rsidR="00D02B97">
        <w:rPr>
          <w:color w:val="auto"/>
        </w:rPr>
        <w:t>E</w:t>
      </w:r>
      <w:r w:rsidRPr="00541B47">
        <w:rPr>
          <w:color w:val="auto"/>
        </w:rPr>
        <w:t xml:space="preserve">stimación Oportuna del PIB </w:t>
      </w:r>
      <w:r w:rsidR="008C2AFF" w:rsidRPr="00541B47">
        <w:rPr>
          <w:color w:val="auto"/>
        </w:rPr>
        <w:t>Trimestral</w:t>
      </w:r>
      <w:r w:rsidRPr="00541B47">
        <w:rPr>
          <w:color w:val="auto"/>
        </w:rPr>
        <w:t xml:space="preserve"> </w:t>
      </w:r>
      <w:r w:rsidR="00B92EF3">
        <w:rPr>
          <w:color w:val="auto"/>
        </w:rPr>
        <w:t>pueden</w:t>
      </w:r>
      <w:r w:rsidRPr="00541B47">
        <w:rPr>
          <w:color w:val="auto"/>
        </w:rPr>
        <w:t xml:space="preserve"> ser consultadas en la sección PIB y Cuentas Nacionales de México y en el Banco de Información Económica (BIE), de la página en </w:t>
      </w:r>
      <w:r w:rsidR="00B92EF3">
        <w:rPr>
          <w:color w:val="auto"/>
        </w:rPr>
        <w:t>i</w:t>
      </w:r>
      <w:r w:rsidRPr="00541B47">
        <w:rPr>
          <w:color w:val="auto"/>
        </w:rPr>
        <w:t xml:space="preserve">nternet del </w:t>
      </w:r>
      <w:r w:rsidR="00B92EF3">
        <w:rPr>
          <w:color w:val="auto"/>
        </w:rPr>
        <w:t>INEGI:</w:t>
      </w:r>
      <w:r w:rsidRPr="00541B47">
        <w:rPr>
          <w:color w:val="auto"/>
        </w:rPr>
        <w:t xml:space="preserve"> </w:t>
      </w:r>
      <w:r w:rsidR="00AD5231" w:rsidRPr="00AD5231">
        <w:rPr>
          <w:u w:val="single"/>
        </w:rPr>
        <w:t>https://www.inegi.org.mx</w:t>
      </w:r>
    </w:p>
    <w:sectPr w:rsidR="008C32D6" w:rsidRPr="00E12064" w:rsidSect="00333526">
      <w:headerReference w:type="default" r:id="rId26"/>
      <w:footerReference w:type="default" r:id="rId27"/>
      <w:endnotePr>
        <w:numFmt w:val="decimal"/>
      </w:endnotePr>
      <w:pgSz w:w="12242" w:h="15842" w:code="1"/>
      <w:pgMar w:top="2495" w:right="1701" w:bottom="1134" w:left="1701" w:header="624"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7A82AF" w14:textId="77777777" w:rsidR="00A3602D" w:rsidRDefault="00A3602D">
      <w:r>
        <w:separator/>
      </w:r>
    </w:p>
  </w:endnote>
  <w:endnote w:type="continuationSeparator" w:id="0">
    <w:p w14:paraId="522CE97D" w14:textId="77777777" w:rsidR="00A3602D" w:rsidRDefault="00A3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5567B" w14:textId="77777777" w:rsidR="00421A91" w:rsidRPr="00975B1E" w:rsidRDefault="00421A91" w:rsidP="007D6C17">
    <w:pPr>
      <w:pStyle w:val="Piedepgina"/>
      <w:jc w:val="center"/>
      <w:rPr>
        <w:b/>
        <w:bCs/>
        <w:color w:val="002060"/>
        <w:sz w:val="20"/>
      </w:rPr>
    </w:pPr>
    <w:r w:rsidRPr="00975B1E">
      <w:rPr>
        <w:b/>
        <w:bCs/>
        <w:color w:val="002060"/>
        <w:sz w:val="20"/>
      </w:rPr>
      <w:t>COMUNICACIÓN SOCIAL</w:t>
    </w:r>
  </w:p>
  <w:p w14:paraId="79D38A6A" w14:textId="77777777" w:rsidR="00421A91" w:rsidRPr="007B4B63" w:rsidRDefault="00421A91" w:rsidP="007D6C17">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5211D" w14:textId="77777777" w:rsidR="004A55CE" w:rsidRPr="00522E7B" w:rsidRDefault="004A55CE" w:rsidP="00B06AE9">
    <w:pPr>
      <w:pStyle w:val="Piedepgina"/>
      <w:jc w:val="center"/>
      <w:rPr>
        <w:color w:val="002060"/>
        <w:sz w:val="20"/>
      </w:rPr>
    </w:pPr>
    <w:r w:rsidRPr="00522E7B">
      <w:rPr>
        <w:b/>
        <w:color w:val="002060"/>
        <w:sz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DC72A" w14:textId="77777777" w:rsidR="00A3602D" w:rsidRDefault="00A3602D">
      <w:r>
        <w:separator/>
      </w:r>
    </w:p>
  </w:footnote>
  <w:footnote w:type="continuationSeparator" w:id="0">
    <w:p w14:paraId="3E1E3771" w14:textId="77777777" w:rsidR="00A3602D" w:rsidRDefault="00A3602D">
      <w:r>
        <w:continuationSeparator/>
      </w:r>
    </w:p>
  </w:footnote>
  <w:footnote w:id="1">
    <w:p w14:paraId="384A1DC9" w14:textId="77777777" w:rsidR="00421A91" w:rsidRPr="007633FE" w:rsidRDefault="00421A91" w:rsidP="007633FE">
      <w:pPr>
        <w:pStyle w:val="Textonotapie"/>
        <w:ind w:left="142" w:right="49" w:hanging="142"/>
        <w:jc w:val="both"/>
        <w:rPr>
          <w:rFonts w:ascii="Arial" w:hAnsi="Arial" w:cs="Arial"/>
          <w:b/>
          <w:sz w:val="16"/>
          <w:szCs w:val="16"/>
          <w:lang w:val="es-MX"/>
        </w:rPr>
      </w:pPr>
      <w:r w:rsidRPr="007633FE">
        <w:rPr>
          <w:rStyle w:val="Refdenotaalpie"/>
          <w:rFonts w:ascii="Arial" w:hAnsi="Arial"/>
          <w:b w:val="0"/>
          <w:sz w:val="16"/>
          <w:szCs w:val="16"/>
        </w:rPr>
        <w:footnoteRef/>
      </w:r>
      <w:r w:rsidRPr="007633FE">
        <w:rPr>
          <w:rFonts w:ascii="Arial" w:hAnsi="Arial" w:cs="Arial"/>
          <w:b/>
          <w:sz w:val="16"/>
          <w:szCs w:val="16"/>
          <w:lang w:val="es-MX"/>
        </w:rPr>
        <w:tab/>
      </w:r>
      <w:r w:rsidRPr="007633FE">
        <w:rPr>
          <w:rFonts w:ascii="Arial" w:hAnsi="Arial" w:cs="Arial"/>
          <w:sz w:val="16"/>
          <w:szCs w:val="16"/>
          <w:lang w:val="es-MX"/>
        </w:rPr>
        <w:t>Año base 2013</w:t>
      </w:r>
      <w:r w:rsidRPr="007633FE">
        <w:rPr>
          <w:rFonts w:ascii="Arial" w:hAnsi="Arial" w:cs="Arial"/>
          <w:sz w:val="16"/>
          <w:szCs w:val="16"/>
        </w:rPr>
        <w:t>.</w:t>
      </w:r>
    </w:p>
  </w:footnote>
  <w:footnote w:id="2">
    <w:p w14:paraId="0E6566F6" w14:textId="77777777" w:rsidR="00421A91" w:rsidRPr="007633FE" w:rsidRDefault="00421A91" w:rsidP="007633FE">
      <w:pPr>
        <w:pStyle w:val="Textonotapie"/>
        <w:ind w:left="142" w:right="49" w:hanging="142"/>
        <w:jc w:val="both"/>
        <w:rPr>
          <w:rFonts w:ascii="Arial" w:hAnsi="Arial" w:cs="Arial"/>
          <w:sz w:val="16"/>
          <w:szCs w:val="16"/>
          <w:lang w:val="es-MX"/>
        </w:rPr>
      </w:pPr>
      <w:r w:rsidRPr="007633FE">
        <w:rPr>
          <w:rStyle w:val="Refdenotaalpie"/>
          <w:rFonts w:ascii="Arial" w:hAnsi="Arial"/>
          <w:b w:val="0"/>
          <w:sz w:val="16"/>
          <w:szCs w:val="16"/>
        </w:rPr>
        <w:footnoteRef/>
      </w:r>
      <w:r w:rsidRPr="007633FE">
        <w:rPr>
          <w:rFonts w:ascii="Arial" w:hAnsi="Arial" w:cs="Arial"/>
          <w:b/>
          <w:sz w:val="16"/>
          <w:szCs w:val="16"/>
          <w:lang w:val="es-MX"/>
        </w:rPr>
        <w:tab/>
      </w:r>
      <w:r w:rsidRPr="007633FE">
        <w:rPr>
          <w:rFonts w:ascii="Arial" w:hAnsi="Arial" w:cs="Arial"/>
          <w:sz w:val="16"/>
          <w:szCs w:val="16"/>
        </w:rPr>
        <w:t>La mayoría de las series económicas se ven afectadas por factores estacionales y de calendario. El ajuste de los datos por dichos factores permite obtener las cifras desestacionalizadas, cuyo análisis ayuda a realizar un mejor diagnóstico de la evolución de las variables.</w:t>
      </w:r>
    </w:p>
  </w:footnote>
  <w:footnote w:id="3">
    <w:p w14:paraId="632BB505" w14:textId="77777777" w:rsidR="00421A91" w:rsidRPr="007633FE" w:rsidRDefault="00421A91" w:rsidP="007633FE">
      <w:pPr>
        <w:pStyle w:val="Textonotapie"/>
        <w:ind w:left="142" w:right="49" w:hanging="142"/>
        <w:rPr>
          <w:rFonts w:ascii="Arial" w:hAnsi="Arial" w:cs="Arial"/>
          <w:sz w:val="16"/>
          <w:szCs w:val="16"/>
        </w:rPr>
      </w:pPr>
      <w:r w:rsidRPr="007633FE">
        <w:rPr>
          <w:rStyle w:val="Refdenotaalpie"/>
          <w:rFonts w:ascii="Arial" w:hAnsi="Arial"/>
          <w:b w:val="0"/>
          <w:sz w:val="16"/>
          <w:szCs w:val="16"/>
        </w:rPr>
        <w:footnoteRef/>
      </w:r>
      <w:r w:rsidRPr="007633FE">
        <w:rPr>
          <w:rFonts w:ascii="Arial" w:hAnsi="Arial" w:cs="Arial"/>
          <w:b/>
          <w:sz w:val="16"/>
          <w:szCs w:val="16"/>
          <w:lang w:val="es-MX"/>
        </w:rPr>
        <w:tab/>
      </w:r>
      <w:r w:rsidRPr="007633FE">
        <w:rPr>
          <w:rFonts w:ascii="Arial" w:hAnsi="Arial" w:cs="Arial"/>
          <w:sz w:val="16"/>
          <w:szCs w:val="16"/>
          <w:lang w:val="es-MX"/>
        </w:rPr>
        <w:t xml:space="preserve">Las cifras </w:t>
      </w:r>
      <w:r w:rsidRPr="007633FE">
        <w:rPr>
          <w:rFonts w:ascii="Arial" w:hAnsi="Arial" w:cs="Arial"/>
          <w:sz w:val="16"/>
          <w:szCs w:val="16"/>
        </w:rPr>
        <w:t>preliminares, en series originales y desestacionalizadas, estarán disponibles aproximadamente 50 días después de terminado el trimestre en cuestión, de acuerdo con el Calendario de difusión de información estadística y geográfica y de Interés Nacional del INEGI.</w:t>
      </w:r>
    </w:p>
    <w:p w14:paraId="1ECC6FDD" w14:textId="77777777" w:rsidR="00421A91" w:rsidRPr="007633FE" w:rsidRDefault="00421A91" w:rsidP="007633FE">
      <w:pPr>
        <w:pStyle w:val="Textonotapie"/>
        <w:ind w:left="142" w:right="49" w:hanging="142"/>
        <w:jc w:val="both"/>
        <w:rPr>
          <w:rFonts w:ascii="Arial" w:hAnsi="Arial" w:cs="Arial"/>
          <w:b/>
          <w:sz w:val="16"/>
          <w:szCs w:val="16"/>
          <w:lang w:val="es-MX"/>
        </w:rPr>
      </w:pPr>
    </w:p>
  </w:footnote>
  <w:footnote w:id="4">
    <w:p w14:paraId="23EC2C1B" w14:textId="77777777" w:rsidR="00421A91" w:rsidRDefault="00421A91" w:rsidP="00421A91">
      <w:pPr>
        <w:pStyle w:val="Textonotapie"/>
        <w:ind w:left="126" w:hanging="126"/>
        <w:rPr>
          <w:sz w:val="16"/>
          <w:szCs w:val="16"/>
        </w:rPr>
      </w:pPr>
      <w:r w:rsidRPr="00B92EF3">
        <w:rPr>
          <w:rStyle w:val="Refdenotaalpie"/>
          <w:rFonts w:ascii="Arial" w:hAnsi="Arial"/>
          <w:b w:val="0"/>
          <w:bCs/>
          <w:sz w:val="18"/>
          <w:szCs w:val="18"/>
        </w:rPr>
        <w:footnoteRef/>
      </w:r>
      <w:r w:rsidRPr="008D416C">
        <w:rPr>
          <w:rFonts w:ascii="Arial" w:hAnsi="Arial" w:cs="Arial"/>
          <w:sz w:val="18"/>
          <w:szCs w:val="18"/>
        </w:rPr>
        <w:t xml:space="preserve"> </w:t>
      </w:r>
      <w:r w:rsidRPr="008D416C">
        <w:rPr>
          <w:rFonts w:ascii="Arial" w:hAnsi="Arial" w:cs="Arial"/>
          <w:sz w:val="16"/>
          <w:szCs w:val="16"/>
        </w:rPr>
        <w:t>Encuesta Nacional de Empresas Constructoras (ENEC), Encuesta Mensual de la Industria Manufacturera (EMIM), Encuesta Mensual sobre Empresas Comerciales (EMEC) y Encuesta Mensual de Servicios (EMS).</w:t>
      </w:r>
    </w:p>
    <w:p w14:paraId="3664D1D7" w14:textId="77777777" w:rsidR="00421A91" w:rsidRPr="008D416C" w:rsidRDefault="00421A91" w:rsidP="00421A91">
      <w:pPr>
        <w:pStyle w:val="Textonotapie"/>
        <w:ind w:left="126" w:hanging="126"/>
        <w:jc w:val="both"/>
        <w:rPr>
          <w:rFonts w:ascii="Arial" w:hAnsi="Arial" w:cs="Arial"/>
          <w:sz w:val="18"/>
          <w:szCs w:val="18"/>
        </w:rPr>
      </w:pPr>
    </w:p>
  </w:footnote>
  <w:footnote w:id="5">
    <w:p w14:paraId="70EC79C9" w14:textId="77777777" w:rsidR="008D416C" w:rsidRPr="008D416C" w:rsidRDefault="008D416C" w:rsidP="008D416C">
      <w:pPr>
        <w:pStyle w:val="Textonotapie"/>
        <w:ind w:left="126" w:hanging="126"/>
        <w:jc w:val="both"/>
        <w:rPr>
          <w:rFonts w:ascii="Arial" w:hAnsi="Arial" w:cs="Arial"/>
          <w:sz w:val="18"/>
          <w:szCs w:val="18"/>
        </w:rPr>
      </w:pPr>
      <w:r w:rsidRPr="00B92EF3">
        <w:rPr>
          <w:rStyle w:val="Refdenotaalpie"/>
          <w:rFonts w:ascii="Arial" w:hAnsi="Arial"/>
          <w:b w:val="0"/>
          <w:bCs/>
          <w:sz w:val="18"/>
          <w:szCs w:val="18"/>
        </w:rPr>
        <w:footnoteRef/>
      </w:r>
      <w:r w:rsidRPr="008D416C">
        <w:rPr>
          <w:rFonts w:ascii="Arial" w:hAnsi="Arial" w:cs="Arial"/>
          <w:sz w:val="18"/>
          <w:szCs w:val="18"/>
        </w:rPr>
        <w:t xml:space="preserve"> </w:t>
      </w:r>
      <w:r w:rsidRPr="008D416C">
        <w:rPr>
          <w:rFonts w:ascii="Arial" w:hAnsi="Arial" w:cs="Arial"/>
          <w:sz w:val="16"/>
          <w:szCs w:val="16"/>
        </w:rPr>
        <w:t>Encuesta Nacional de Empresas Constructoras (ENEC), Encuesta Mensual de la Industria Manufacturera (EMIM), Encuesta Mensual sobre Empresas Comerciales (EMEC) y Encuesta Mensual de Servicios (EMS).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2EA43" w14:textId="310077FF" w:rsidR="00421A91" w:rsidRPr="00394E6F" w:rsidRDefault="00421A91" w:rsidP="007D6C17">
    <w:pPr>
      <w:pStyle w:val="Encabezado"/>
      <w:ind w:left="-142" w:right="49" w:hanging="142"/>
      <w:jc w:val="right"/>
      <w:rPr>
        <w:rFonts w:cs="Arial"/>
        <w:b/>
        <w:color w:val="002060"/>
        <w:szCs w:val="24"/>
        <w:lang w:val="pt-BR"/>
      </w:rPr>
    </w:pPr>
    <w:r>
      <w:rPr>
        <w:noProof/>
        <w:lang w:eastAsia="es-MX"/>
      </w:rPr>
      <w:drawing>
        <wp:anchor distT="0" distB="0" distL="114300" distR="114300" simplePos="0" relativeHeight="251659264" behindDoc="0" locked="0" layoutInCell="1" allowOverlap="1" wp14:anchorId="09819C8E" wp14:editId="4C5F9681">
          <wp:simplePos x="0" y="0"/>
          <wp:positionH relativeFrom="margin">
            <wp:posOffset>7364</wp:posOffset>
          </wp:positionH>
          <wp:positionV relativeFrom="margin">
            <wp:posOffset>-1092200</wp:posOffset>
          </wp:positionV>
          <wp:extent cx="828000" cy="828000"/>
          <wp:effectExtent l="0" t="0" r="0" b="0"/>
          <wp:wrapSquare wrapText="bothSides"/>
          <wp:docPr id="31" name="Imagen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94E6F">
      <w:rPr>
        <w:rFonts w:cs="Arial"/>
        <w:b/>
        <w:color w:val="002060"/>
        <w:szCs w:val="24"/>
      </w:rPr>
      <w:t xml:space="preserve">COMUNICADO DE PRENSA NÚM. </w:t>
    </w:r>
    <w:r w:rsidR="00EF7689">
      <w:rPr>
        <w:rFonts w:cs="Arial"/>
        <w:b/>
        <w:color w:val="002060"/>
        <w:szCs w:val="24"/>
      </w:rPr>
      <w:t>236</w:t>
    </w:r>
    <w:r w:rsidRPr="00394E6F">
      <w:rPr>
        <w:rFonts w:cs="Arial"/>
        <w:b/>
        <w:color w:val="002060"/>
        <w:szCs w:val="24"/>
      </w:rPr>
      <w:t>/22</w:t>
    </w:r>
  </w:p>
  <w:p w14:paraId="3A71FF48" w14:textId="77777777" w:rsidR="00421A91" w:rsidRPr="00394E6F" w:rsidRDefault="00421A91" w:rsidP="007D6C17">
    <w:pPr>
      <w:pStyle w:val="Encabezado"/>
      <w:ind w:left="-567" w:right="49"/>
      <w:jc w:val="right"/>
      <w:rPr>
        <w:rFonts w:cs="Arial"/>
        <w:b/>
        <w:color w:val="002060"/>
        <w:szCs w:val="24"/>
        <w:lang w:val="pt-BR"/>
      </w:rPr>
    </w:pPr>
    <w:r w:rsidRPr="00394E6F">
      <w:rPr>
        <w:rFonts w:cs="Arial"/>
        <w:b/>
        <w:color w:val="002060"/>
        <w:szCs w:val="24"/>
        <w:lang w:val="pt-BR"/>
      </w:rPr>
      <w:t>29 DE ABRIL DE 2022</w:t>
    </w:r>
  </w:p>
  <w:p w14:paraId="425B390F" w14:textId="0AD90CA8" w:rsidR="00421A91" w:rsidRPr="00394E6F" w:rsidRDefault="00421A91" w:rsidP="007D6C17">
    <w:pPr>
      <w:pStyle w:val="Encabezado"/>
      <w:ind w:left="-567" w:right="49"/>
      <w:jc w:val="right"/>
      <w:rPr>
        <w:rFonts w:cs="Arial"/>
        <w:b/>
        <w:color w:val="002060"/>
        <w:szCs w:val="24"/>
      </w:rPr>
    </w:pPr>
    <w:r w:rsidRPr="00394E6F">
      <w:rPr>
        <w:rFonts w:cs="Arial"/>
        <w:b/>
        <w:color w:val="002060"/>
        <w:szCs w:val="24"/>
      </w:rPr>
      <w:t xml:space="preserve">PÁGINA </w:t>
    </w:r>
    <w:r w:rsidRPr="00394E6F">
      <w:rPr>
        <w:rFonts w:cs="Arial"/>
        <w:b/>
        <w:color w:val="002060"/>
        <w:szCs w:val="24"/>
      </w:rPr>
      <w:fldChar w:fldCharType="begin"/>
    </w:r>
    <w:r w:rsidRPr="00394E6F">
      <w:rPr>
        <w:rFonts w:cs="Arial"/>
        <w:b/>
        <w:color w:val="002060"/>
        <w:szCs w:val="24"/>
      </w:rPr>
      <w:instrText xml:space="preserve"> PAGE  \* Arabic </w:instrText>
    </w:r>
    <w:r w:rsidRPr="00394E6F">
      <w:rPr>
        <w:rFonts w:cs="Arial"/>
        <w:b/>
        <w:color w:val="002060"/>
        <w:szCs w:val="24"/>
      </w:rPr>
      <w:fldChar w:fldCharType="separate"/>
    </w:r>
    <w:r w:rsidRPr="00394E6F">
      <w:rPr>
        <w:rFonts w:cs="Arial"/>
        <w:b/>
        <w:noProof/>
        <w:color w:val="002060"/>
        <w:szCs w:val="24"/>
      </w:rPr>
      <w:t>1</w:t>
    </w:r>
    <w:r w:rsidRPr="00394E6F">
      <w:rPr>
        <w:rFonts w:cs="Arial"/>
        <w:b/>
        <w:color w:val="002060"/>
        <w:szCs w:val="24"/>
      </w:rPr>
      <w:fldChar w:fldCharType="end"/>
    </w:r>
    <w:r w:rsidRPr="00394E6F">
      <w:rPr>
        <w:rFonts w:cs="Arial"/>
        <w:b/>
        <w:color w:val="002060"/>
        <w:szCs w:val="24"/>
      </w:rPr>
      <w:t>/</w:t>
    </w:r>
    <w:r w:rsidR="00394E6F" w:rsidRPr="00394E6F">
      <w:rPr>
        <w:rFonts w:cs="Arial"/>
        <w:b/>
        <w:color w:val="002060"/>
        <w:szCs w:val="24"/>
      </w:rPr>
      <w:t>8</w:t>
    </w:r>
  </w:p>
  <w:p w14:paraId="40A8CE5D" w14:textId="77777777" w:rsidR="00421A91" w:rsidRPr="00394E6F" w:rsidRDefault="00421A91" w:rsidP="007D6C17">
    <w:pPr>
      <w:pStyle w:val="Encabezado"/>
      <w:ind w:right="49"/>
      <w:jc w:val="center"/>
      <w:rPr>
        <w:rFonts w:cs="Arial"/>
        <w:szCs w:val="24"/>
      </w:rPr>
    </w:pPr>
  </w:p>
  <w:p w14:paraId="27019E6D" w14:textId="77777777" w:rsidR="00421A91" w:rsidRDefault="00421A91"/>
  <w:p w14:paraId="042790DF" w14:textId="77777777" w:rsidR="00421A91" w:rsidRDefault="00421A9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B5506" w14:textId="044B8CE3" w:rsidR="00271F6D" w:rsidRDefault="00271F6D" w:rsidP="00421A91">
    <w:pPr>
      <w:pStyle w:val="Encabezado"/>
      <w:jc w:val="center"/>
    </w:pPr>
    <w:r>
      <w:rPr>
        <w:noProof/>
        <w:lang w:val="es-MX" w:eastAsia="es-MX"/>
      </w:rPr>
      <w:drawing>
        <wp:inline distT="0" distB="0" distL="0" distR="0" wp14:anchorId="31CE9B4A" wp14:editId="4108D66D">
          <wp:extent cx="828000" cy="828000"/>
          <wp:effectExtent l="0" t="0" r="0" b="0"/>
          <wp:docPr id="13" name="Imagen 13"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F6154"/>
    <w:multiLevelType w:val="hybridMultilevel"/>
    <w:tmpl w:val="F8C2B67C"/>
    <w:lvl w:ilvl="0" w:tplc="0C0A000F">
      <w:start w:val="1"/>
      <w:numFmt w:val="decimal"/>
      <w:lvlText w:val="%1."/>
      <w:lvlJc w:val="left"/>
      <w:pPr>
        <w:tabs>
          <w:tab w:val="num" w:pos="1723"/>
        </w:tabs>
        <w:ind w:left="1723" w:hanging="360"/>
      </w:pPr>
      <w:rPr>
        <w:rFonts w:hint="default"/>
      </w:rPr>
    </w:lvl>
    <w:lvl w:ilvl="1" w:tplc="EE9A14EA" w:tentative="1">
      <w:start w:val="1"/>
      <w:numFmt w:val="bullet"/>
      <w:lvlText w:val="o"/>
      <w:lvlJc w:val="left"/>
      <w:pPr>
        <w:tabs>
          <w:tab w:val="num" w:pos="2443"/>
        </w:tabs>
        <w:ind w:left="2443" w:hanging="360"/>
      </w:pPr>
      <w:rPr>
        <w:rFonts w:ascii="Courier New" w:hAnsi="Courier New" w:hint="default"/>
      </w:rPr>
    </w:lvl>
    <w:lvl w:ilvl="2" w:tplc="9E268D0A" w:tentative="1">
      <w:start w:val="1"/>
      <w:numFmt w:val="bullet"/>
      <w:lvlText w:val=""/>
      <w:lvlJc w:val="left"/>
      <w:pPr>
        <w:tabs>
          <w:tab w:val="num" w:pos="3163"/>
        </w:tabs>
        <w:ind w:left="3163" w:hanging="360"/>
      </w:pPr>
      <w:rPr>
        <w:rFonts w:ascii="Wingdings" w:hAnsi="Wingdings" w:hint="default"/>
      </w:rPr>
    </w:lvl>
    <w:lvl w:ilvl="3" w:tplc="370071DA" w:tentative="1">
      <w:start w:val="1"/>
      <w:numFmt w:val="bullet"/>
      <w:lvlText w:val=""/>
      <w:lvlJc w:val="left"/>
      <w:pPr>
        <w:tabs>
          <w:tab w:val="num" w:pos="3883"/>
        </w:tabs>
        <w:ind w:left="3883" w:hanging="360"/>
      </w:pPr>
      <w:rPr>
        <w:rFonts w:ascii="Symbol" w:hAnsi="Symbol" w:hint="default"/>
      </w:rPr>
    </w:lvl>
    <w:lvl w:ilvl="4" w:tplc="10CA57F8" w:tentative="1">
      <w:start w:val="1"/>
      <w:numFmt w:val="bullet"/>
      <w:lvlText w:val="o"/>
      <w:lvlJc w:val="left"/>
      <w:pPr>
        <w:tabs>
          <w:tab w:val="num" w:pos="4603"/>
        </w:tabs>
        <w:ind w:left="4603" w:hanging="360"/>
      </w:pPr>
      <w:rPr>
        <w:rFonts w:ascii="Courier New" w:hAnsi="Courier New" w:hint="default"/>
      </w:rPr>
    </w:lvl>
    <w:lvl w:ilvl="5" w:tplc="265CFD90" w:tentative="1">
      <w:start w:val="1"/>
      <w:numFmt w:val="bullet"/>
      <w:lvlText w:val=""/>
      <w:lvlJc w:val="left"/>
      <w:pPr>
        <w:tabs>
          <w:tab w:val="num" w:pos="5323"/>
        </w:tabs>
        <w:ind w:left="5323" w:hanging="360"/>
      </w:pPr>
      <w:rPr>
        <w:rFonts w:ascii="Wingdings" w:hAnsi="Wingdings" w:hint="default"/>
      </w:rPr>
    </w:lvl>
    <w:lvl w:ilvl="6" w:tplc="329CE5B0" w:tentative="1">
      <w:start w:val="1"/>
      <w:numFmt w:val="bullet"/>
      <w:lvlText w:val=""/>
      <w:lvlJc w:val="left"/>
      <w:pPr>
        <w:tabs>
          <w:tab w:val="num" w:pos="6043"/>
        </w:tabs>
        <w:ind w:left="6043" w:hanging="360"/>
      </w:pPr>
      <w:rPr>
        <w:rFonts w:ascii="Symbol" w:hAnsi="Symbol" w:hint="default"/>
      </w:rPr>
    </w:lvl>
    <w:lvl w:ilvl="7" w:tplc="55307596" w:tentative="1">
      <w:start w:val="1"/>
      <w:numFmt w:val="bullet"/>
      <w:lvlText w:val="o"/>
      <w:lvlJc w:val="left"/>
      <w:pPr>
        <w:tabs>
          <w:tab w:val="num" w:pos="6763"/>
        </w:tabs>
        <w:ind w:left="6763" w:hanging="360"/>
      </w:pPr>
      <w:rPr>
        <w:rFonts w:ascii="Courier New" w:hAnsi="Courier New" w:hint="default"/>
      </w:rPr>
    </w:lvl>
    <w:lvl w:ilvl="8" w:tplc="90BC1C8A" w:tentative="1">
      <w:start w:val="1"/>
      <w:numFmt w:val="bullet"/>
      <w:lvlText w:val=""/>
      <w:lvlJc w:val="left"/>
      <w:pPr>
        <w:tabs>
          <w:tab w:val="num" w:pos="7483"/>
        </w:tabs>
        <w:ind w:left="7483" w:hanging="360"/>
      </w:pPr>
      <w:rPr>
        <w:rFonts w:ascii="Wingdings" w:hAnsi="Wingdings" w:hint="default"/>
      </w:rPr>
    </w:lvl>
  </w:abstractNum>
  <w:abstractNum w:abstractNumId="2" w15:restartNumberingAfterBreak="0">
    <w:nsid w:val="032E1C26"/>
    <w:multiLevelType w:val="hybridMultilevel"/>
    <w:tmpl w:val="135E43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8153D73"/>
    <w:multiLevelType w:val="singleLevel"/>
    <w:tmpl w:val="AB6E1324"/>
    <w:lvl w:ilvl="0">
      <w:numFmt w:val="bullet"/>
      <w:lvlText w:val="-"/>
      <w:lvlJc w:val="left"/>
      <w:pPr>
        <w:tabs>
          <w:tab w:val="num" w:pos="473"/>
        </w:tabs>
        <w:ind w:left="454" w:hanging="341"/>
      </w:pPr>
      <w:rPr>
        <w:rFonts w:ascii="Times New Roman" w:hAnsi="Times New Roman" w:hint="default"/>
      </w:rPr>
    </w:lvl>
  </w:abstractNum>
  <w:abstractNum w:abstractNumId="4" w15:restartNumberingAfterBreak="0">
    <w:nsid w:val="0CEB3457"/>
    <w:multiLevelType w:val="singleLevel"/>
    <w:tmpl w:val="A0EE693E"/>
    <w:lvl w:ilvl="0">
      <w:start w:val="1"/>
      <w:numFmt w:val="bullet"/>
      <w:lvlText w:val=""/>
      <w:lvlJc w:val="left"/>
      <w:pPr>
        <w:tabs>
          <w:tab w:val="num" w:pos="425"/>
        </w:tabs>
        <w:ind w:left="425" w:hanging="425"/>
      </w:pPr>
      <w:rPr>
        <w:rFonts w:ascii="Symbol" w:hAnsi="Symbol" w:hint="default"/>
        <w:sz w:val="30"/>
      </w:rPr>
    </w:lvl>
  </w:abstractNum>
  <w:abstractNum w:abstractNumId="5" w15:restartNumberingAfterBreak="0">
    <w:nsid w:val="0EA577A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E51F9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0FEE5E2F"/>
    <w:multiLevelType w:val="singleLevel"/>
    <w:tmpl w:val="AB6E1324"/>
    <w:lvl w:ilvl="0">
      <w:numFmt w:val="bullet"/>
      <w:lvlText w:val="-"/>
      <w:lvlJc w:val="left"/>
      <w:pPr>
        <w:tabs>
          <w:tab w:val="num" w:pos="473"/>
        </w:tabs>
        <w:ind w:left="454" w:hanging="341"/>
      </w:pPr>
      <w:rPr>
        <w:rFonts w:ascii="Times New Roman" w:hAnsi="Times New Roman" w:hint="default"/>
      </w:rPr>
    </w:lvl>
  </w:abstractNum>
  <w:abstractNum w:abstractNumId="8" w15:restartNumberingAfterBreak="0">
    <w:nsid w:val="14DD109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7DA2C5D"/>
    <w:multiLevelType w:val="singleLevel"/>
    <w:tmpl w:val="AB6E1324"/>
    <w:lvl w:ilvl="0">
      <w:numFmt w:val="bullet"/>
      <w:lvlText w:val="-"/>
      <w:lvlJc w:val="left"/>
      <w:pPr>
        <w:tabs>
          <w:tab w:val="num" w:pos="473"/>
        </w:tabs>
        <w:ind w:left="454" w:hanging="341"/>
      </w:pPr>
      <w:rPr>
        <w:rFonts w:ascii="Times New Roman" w:hAnsi="Times New Roman" w:hint="default"/>
      </w:rPr>
    </w:lvl>
  </w:abstractNum>
  <w:abstractNum w:abstractNumId="10" w15:restartNumberingAfterBreak="0">
    <w:nsid w:val="19C67FD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AF561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EAF5E0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36743E34"/>
    <w:multiLevelType w:val="singleLevel"/>
    <w:tmpl w:val="AB6E1324"/>
    <w:lvl w:ilvl="0">
      <w:numFmt w:val="bullet"/>
      <w:lvlText w:val="-"/>
      <w:lvlJc w:val="left"/>
      <w:pPr>
        <w:tabs>
          <w:tab w:val="num" w:pos="473"/>
        </w:tabs>
        <w:ind w:left="454" w:hanging="341"/>
      </w:pPr>
      <w:rPr>
        <w:rFonts w:ascii="Times New Roman" w:hAnsi="Times New Roman" w:hint="default"/>
      </w:rPr>
    </w:lvl>
  </w:abstractNum>
  <w:abstractNum w:abstractNumId="15" w15:restartNumberingAfterBreak="0">
    <w:nsid w:val="382931C1"/>
    <w:multiLevelType w:val="hybridMultilevel"/>
    <w:tmpl w:val="D04C7B3A"/>
    <w:lvl w:ilvl="0" w:tplc="9F307A02">
      <w:start w:val="1"/>
      <w:numFmt w:val="bullet"/>
      <w:lvlText w:val=""/>
      <w:lvlJc w:val="left"/>
      <w:pPr>
        <w:tabs>
          <w:tab w:val="num" w:pos="1723"/>
        </w:tabs>
        <w:ind w:left="1723" w:hanging="360"/>
      </w:pPr>
      <w:rPr>
        <w:rFonts w:ascii="Symbol" w:hAnsi="Symbol" w:hint="default"/>
      </w:rPr>
    </w:lvl>
    <w:lvl w:ilvl="1" w:tplc="3EC69A4A" w:tentative="1">
      <w:start w:val="1"/>
      <w:numFmt w:val="bullet"/>
      <w:lvlText w:val="o"/>
      <w:lvlJc w:val="left"/>
      <w:pPr>
        <w:tabs>
          <w:tab w:val="num" w:pos="2443"/>
        </w:tabs>
        <w:ind w:left="2443" w:hanging="360"/>
      </w:pPr>
      <w:rPr>
        <w:rFonts w:ascii="Courier New" w:hAnsi="Courier New" w:hint="default"/>
      </w:rPr>
    </w:lvl>
    <w:lvl w:ilvl="2" w:tplc="96084CCA" w:tentative="1">
      <w:start w:val="1"/>
      <w:numFmt w:val="bullet"/>
      <w:lvlText w:val=""/>
      <w:lvlJc w:val="left"/>
      <w:pPr>
        <w:tabs>
          <w:tab w:val="num" w:pos="3163"/>
        </w:tabs>
        <w:ind w:left="3163" w:hanging="360"/>
      </w:pPr>
      <w:rPr>
        <w:rFonts w:ascii="Wingdings" w:hAnsi="Wingdings" w:hint="default"/>
      </w:rPr>
    </w:lvl>
    <w:lvl w:ilvl="3" w:tplc="5D2CBF9A" w:tentative="1">
      <w:start w:val="1"/>
      <w:numFmt w:val="bullet"/>
      <w:lvlText w:val=""/>
      <w:lvlJc w:val="left"/>
      <w:pPr>
        <w:tabs>
          <w:tab w:val="num" w:pos="3883"/>
        </w:tabs>
        <w:ind w:left="3883" w:hanging="360"/>
      </w:pPr>
      <w:rPr>
        <w:rFonts w:ascii="Symbol" w:hAnsi="Symbol" w:hint="default"/>
      </w:rPr>
    </w:lvl>
    <w:lvl w:ilvl="4" w:tplc="08F64AC0" w:tentative="1">
      <w:start w:val="1"/>
      <w:numFmt w:val="bullet"/>
      <w:lvlText w:val="o"/>
      <w:lvlJc w:val="left"/>
      <w:pPr>
        <w:tabs>
          <w:tab w:val="num" w:pos="4603"/>
        </w:tabs>
        <w:ind w:left="4603" w:hanging="360"/>
      </w:pPr>
      <w:rPr>
        <w:rFonts w:ascii="Courier New" w:hAnsi="Courier New" w:hint="default"/>
      </w:rPr>
    </w:lvl>
    <w:lvl w:ilvl="5" w:tplc="0D607026" w:tentative="1">
      <w:start w:val="1"/>
      <w:numFmt w:val="bullet"/>
      <w:lvlText w:val=""/>
      <w:lvlJc w:val="left"/>
      <w:pPr>
        <w:tabs>
          <w:tab w:val="num" w:pos="5323"/>
        </w:tabs>
        <w:ind w:left="5323" w:hanging="360"/>
      </w:pPr>
      <w:rPr>
        <w:rFonts w:ascii="Wingdings" w:hAnsi="Wingdings" w:hint="default"/>
      </w:rPr>
    </w:lvl>
    <w:lvl w:ilvl="6" w:tplc="C45EBF0E" w:tentative="1">
      <w:start w:val="1"/>
      <w:numFmt w:val="bullet"/>
      <w:lvlText w:val=""/>
      <w:lvlJc w:val="left"/>
      <w:pPr>
        <w:tabs>
          <w:tab w:val="num" w:pos="6043"/>
        </w:tabs>
        <w:ind w:left="6043" w:hanging="360"/>
      </w:pPr>
      <w:rPr>
        <w:rFonts w:ascii="Symbol" w:hAnsi="Symbol" w:hint="default"/>
      </w:rPr>
    </w:lvl>
    <w:lvl w:ilvl="7" w:tplc="0D24A3FE" w:tentative="1">
      <w:start w:val="1"/>
      <w:numFmt w:val="bullet"/>
      <w:lvlText w:val="o"/>
      <w:lvlJc w:val="left"/>
      <w:pPr>
        <w:tabs>
          <w:tab w:val="num" w:pos="6763"/>
        </w:tabs>
        <w:ind w:left="6763" w:hanging="360"/>
      </w:pPr>
      <w:rPr>
        <w:rFonts w:ascii="Courier New" w:hAnsi="Courier New" w:hint="default"/>
      </w:rPr>
    </w:lvl>
    <w:lvl w:ilvl="8" w:tplc="D5F828E4" w:tentative="1">
      <w:start w:val="1"/>
      <w:numFmt w:val="bullet"/>
      <w:lvlText w:val=""/>
      <w:lvlJc w:val="left"/>
      <w:pPr>
        <w:tabs>
          <w:tab w:val="num" w:pos="7483"/>
        </w:tabs>
        <w:ind w:left="7483" w:hanging="360"/>
      </w:pPr>
      <w:rPr>
        <w:rFonts w:ascii="Wingdings" w:hAnsi="Wingdings" w:hint="default"/>
      </w:rPr>
    </w:lvl>
  </w:abstractNum>
  <w:abstractNum w:abstractNumId="16" w15:restartNumberingAfterBreak="0">
    <w:nsid w:val="4FF23182"/>
    <w:multiLevelType w:val="singleLevel"/>
    <w:tmpl w:val="AB6E1324"/>
    <w:lvl w:ilvl="0">
      <w:numFmt w:val="bullet"/>
      <w:lvlText w:val="-"/>
      <w:lvlJc w:val="left"/>
      <w:pPr>
        <w:tabs>
          <w:tab w:val="num" w:pos="473"/>
        </w:tabs>
        <w:ind w:left="454" w:hanging="341"/>
      </w:pPr>
      <w:rPr>
        <w:rFonts w:ascii="Times New Roman" w:hAnsi="Times New Roman" w:hint="default"/>
      </w:rPr>
    </w:lvl>
  </w:abstractNum>
  <w:abstractNum w:abstractNumId="17" w15:restartNumberingAfterBreak="0">
    <w:nsid w:val="51FB40AD"/>
    <w:multiLevelType w:val="singleLevel"/>
    <w:tmpl w:val="840EB14A"/>
    <w:lvl w:ilvl="0">
      <w:start w:val="1"/>
      <w:numFmt w:val="bullet"/>
      <w:pStyle w:val="bullet"/>
      <w:lvlText w:val=""/>
      <w:lvlJc w:val="left"/>
      <w:pPr>
        <w:tabs>
          <w:tab w:val="num" w:pos="2880"/>
        </w:tabs>
        <w:ind w:left="2880" w:hanging="360"/>
      </w:pPr>
      <w:rPr>
        <w:rFonts w:ascii="Symbol" w:hAnsi="Symbol" w:hint="default"/>
        <w:lang w:val="es-ES"/>
      </w:rPr>
    </w:lvl>
  </w:abstractNum>
  <w:abstractNum w:abstractNumId="18" w15:restartNumberingAfterBreak="0">
    <w:nsid w:val="6DAE7813"/>
    <w:multiLevelType w:val="hybridMultilevel"/>
    <w:tmpl w:val="9CC4BB0A"/>
    <w:lvl w:ilvl="0" w:tplc="080A0001">
      <w:start w:val="1"/>
      <w:numFmt w:val="bullet"/>
      <w:lvlText w:val=""/>
      <w:lvlJc w:val="left"/>
      <w:pPr>
        <w:ind w:left="2443" w:hanging="360"/>
      </w:pPr>
      <w:rPr>
        <w:rFonts w:ascii="Symbol" w:hAnsi="Symbol" w:hint="default"/>
      </w:rPr>
    </w:lvl>
    <w:lvl w:ilvl="1" w:tplc="080A0003" w:tentative="1">
      <w:start w:val="1"/>
      <w:numFmt w:val="bullet"/>
      <w:lvlText w:val="o"/>
      <w:lvlJc w:val="left"/>
      <w:pPr>
        <w:ind w:left="3163" w:hanging="360"/>
      </w:pPr>
      <w:rPr>
        <w:rFonts w:ascii="Courier New" w:hAnsi="Courier New" w:cs="Courier New" w:hint="default"/>
      </w:rPr>
    </w:lvl>
    <w:lvl w:ilvl="2" w:tplc="080A0005" w:tentative="1">
      <w:start w:val="1"/>
      <w:numFmt w:val="bullet"/>
      <w:lvlText w:val=""/>
      <w:lvlJc w:val="left"/>
      <w:pPr>
        <w:ind w:left="3883" w:hanging="360"/>
      </w:pPr>
      <w:rPr>
        <w:rFonts w:ascii="Wingdings" w:hAnsi="Wingdings" w:hint="default"/>
      </w:rPr>
    </w:lvl>
    <w:lvl w:ilvl="3" w:tplc="080A0001" w:tentative="1">
      <w:start w:val="1"/>
      <w:numFmt w:val="bullet"/>
      <w:lvlText w:val=""/>
      <w:lvlJc w:val="left"/>
      <w:pPr>
        <w:ind w:left="4603" w:hanging="360"/>
      </w:pPr>
      <w:rPr>
        <w:rFonts w:ascii="Symbol" w:hAnsi="Symbol" w:hint="default"/>
      </w:rPr>
    </w:lvl>
    <w:lvl w:ilvl="4" w:tplc="080A0003" w:tentative="1">
      <w:start w:val="1"/>
      <w:numFmt w:val="bullet"/>
      <w:lvlText w:val="o"/>
      <w:lvlJc w:val="left"/>
      <w:pPr>
        <w:ind w:left="5323" w:hanging="360"/>
      </w:pPr>
      <w:rPr>
        <w:rFonts w:ascii="Courier New" w:hAnsi="Courier New" w:cs="Courier New" w:hint="default"/>
      </w:rPr>
    </w:lvl>
    <w:lvl w:ilvl="5" w:tplc="080A0005" w:tentative="1">
      <w:start w:val="1"/>
      <w:numFmt w:val="bullet"/>
      <w:lvlText w:val=""/>
      <w:lvlJc w:val="left"/>
      <w:pPr>
        <w:ind w:left="6043" w:hanging="360"/>
      </w:pPr>
      <w:rPr>
        <w:rFonts w:ascii="Wingdings" w:hAnsi="Wingdings" w:hint="default"/>
      </w:rPr>
    </w:lvl>
    <w:lvl w:ilvl="6" w:tplc="080A0001" w:tentative="1">
      <w:start w:val="1"/>
      <w:numFmt w:val="bullet"/>
      <w:lvlText w:val=""/>
      <w:lvlJc w:val="left"/>
      <w:pPr>
        <w:ind w:left="6763" w:hanging="360"/>
      </w:pPr>
      <w:rPr>
        <w:rFonts w:ascii="Symbol" w:hAnsi="Symbol" w:hint="default"/>
      </w:rPr>
    </w:lvl>
    <w:lvl w:ilvl="7" w:tplc="080A0003" w:tentative="1">
      <w:start w:val="1"/>
      <w:numFmt w:val="bullet"/>
      <w:lvlText w:val="o"/>
      <w:lvlJc w:val="left"/>
      <w:pPr>
        <w:ind w:left="7483" w:hanging="360"/>
      </w:pPr>
      <w:rPr>
        <w:rFonts w:ascii="Courier New" w:hAnsi="Courier New" w:cs="Courier New" w:hint="default"/>
      </w:rPr>
    </w:lvl>
    <w:lvl w:ilvl="8" w:tplc="080A0005" w:tentative="1">
      <w:start w:val="1"/>
      <w:numFmt w:val="bullet"/>
      <w:lvlText w:val=""/>
      <w:lvlJc w:val="left"/>
      <w:pPr>
        <w:ind w:left="8203" w:hanging="360"/>
      </w:pPr>
      <w:rPr>
        <w:rFonts w:ascii="Wingdings" w:hAnsi="Wingdings" w:hint="default"/>
      </w:rPr>
    </w:lvl>
  </w:abstractNum>
  <w:abstractNum w:abstractNumId="19" w15:restartNumberingAfterBreak="0">
    <w:nsid w:val="767C5387"/>
    <w:multiLevelType w:val="hybridMultilevel"/>
    <w:tmpl w:val="59A0C8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7874566"/>
    <w:multiLevelType w:val="hybridMultilevel"/>
    <w:tmpl w:val="5600A2FA"/>
    <w:lvl w:ilvl="0" w:tplc="080A0001">
      <w:start w:val="1"/>
      <w:numFmt w:val="bullet"/>
      <w:lvlText w:val=""/>
      <w:lvlJc w:val="left"/>
      <w:pPr>
        <w:ind w:left="2083" w:hanging="360"/>
      </w:pPr>
      <w:rPr>
        <w:rFonts w:ascii="Symbol" w:hAnsi="Symbol" w:hint="default"/>
      </w:rPr>
    </w:lvl>
    <w:lvl w:ilvl="1" w:tplc="080A0003" w:tentative="1">
      <w:start w:val="1"/>
      <w:numFmt w:val="bullet"/>
      <w:lvlText w:val="o"/>
      <w:lvlJc w:val="left"/>
      <w:pPr>
        <w:ind w:left="2803" w:hanging="360"/>
      </w:pPr>
      <w:rPr>
        <w:rFonts w:ascii="Courier New" w:hAnsi="Courier New" w:cs="Courier New" w:hint="default"/>
      </w:rPr>
    </w:lvl>
    <w:lvl w:ilvl="2" w:tplc="080A0005" w:tentative="1">
      <w:start w:val="1"/>
      <w:numFmt w:val="bullet"/>
      <w:lvlText w:val=""/>
      <w:lvlJc w:val="left"/>
      <w:pPr>
        <w:ind w:left="3523" w:hanging="360"/>
      </w:pPr>
      <w:rPr>
        <w:rFonts w:ascii="Wingdings" w:hAnsi="Wingdings" w:hint="default"/>
      </w:rPr>
    </w:lvl>
    <w:lvl w:ilvl="3" w:tplc="080A0001" w:tentative="1">
      <w:start w:val="1"/>
      <w:numFmt w:val="bullet"/>
      <w:lvlText w:val=""/>
      <w:lvlJc w:val="left"/>
      <w:pPr>
        <w:ind w:left="4243" w:hanging="360"/>
      </w:pPr>
      <w:rPr>
        <w:rFonts w:ascii="Symbol" w:hAnsi="Symbol" w:hint="default"/>
      </w:rPr>
    </w:lvl>
    <w:lvl w:ilvl="4" w:tplc="080A0003" w:tentative="1">
      <w:start w:val="1"/>
      <w:numFmt w:val="bullet"/>
      <w:lvlText w:val="o"/>
      <w:lvlJc w:val="left"/>
      <w:pPr>
        <w:ind w:left="4963" w:hanging="360"/>
      </w:pPr>
      <w:rPr>
        <w:rFonts w:ascii="Courier New" w:hAnsi="Courier New" w:cs="Courier New" w:hint="default"/>
      </w:rPr>
    </w:lvl>
    <w:lvl w:ilvl="5" w:tplc="080A0005" w:tentative="1">
      <w:start w:val="1"/>
      <w:numFmt w:val="bullet"/>
      <w:lvlText w:val=""/>
      <w:lvlJc w:val="left"/>
      <w:pPr>
        <w:ind w:left="5683" w:hanging="360"/>
      </w:pPr>
      <w:rPr>
        <w:rFonts w:ascii="Wingdings" w:hAnsi="Wingdings" w:hint="default"/>
      </w:rPr>
    </w:lvl>
    <w:lvl w:ilvl="6" w:tplc="080A0001" w:tentative="1">
      <w:start w:val="1"/>
      <w:numFmt w:val="bullet"/>
      <w:lvlText w:val=""/>
      <w:lvlJc w:val="left"/>
      <w:pPr>
        <w:ind w:left="6403" w:hanging="360"/>
      </w:pPr>
      <w:rPr>
        <w:rFonts w:ascii="Symbol" w:hAnsi="Symbol" w:hint="default"/>
      </w:rPr>
    </w:lvl>
    <w:lvl w:ilvl="7" w:tplc="080A0003" w:tentative="1">
      <w:start w:val="1"/>
      <w:numFmt w:val="bullet"/>
      <w:lvlText w:val="o"/>
      <w:lvlJc w:val="left"/>
      <w:pPr>
        <w:ind w:left="7123" w:hanging="360"/>
      </w:pPr>
      <w:rPr>
        <w:rFonts w:ascii="Courier New" w:hAnsi="Courier New" w:cs="Courier New" w:hint="default"/>
      </w:rPr>
    </w:lvl>
    <w:lvl w:ilvl="8" w:tplc="080A0005" w:tentative="1">
      <w:start w:val="1"/>
      <w:numFmt w:val="bullet"/>
      <w:lvlText w:val=""/>
      <w:lvlJc w:val="left"/>
      <w:pPr>
        <w:ind w:left="7843" w:hanging="360"/>
      </w:pPr>
      <w:rPr>
        <w:rFonts w:ascii="Wingdings" w:hAnsi="Wingdings" w:hint="default"/>
      </w:rPr>
    </w:lvl>
  </w:abstractNum>
  <w:abstractNum w:abstractNumId="21" w15:restartNumberingAfterBreak="0">
    <w:nsid w:val="79492758"/>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4"/>
  </w:num>
  <w:num w:numId="3">
    <w:abstractNumId w:val="11"/>
  </w:num>
  <w:num w:numId="4">
    <w:abstractNumId w:val="16"/>
  </w:num>
  <w:num w:numId="5">
    <w:abstractNumId w:val="7"/>
  </w:num>
  <w:num w:numId="6">
    <w:abstractNumId w:val="3"/>
  </w:num>
  <w:num w:numId="7">
    <w:abstractNumId w:val="9"/>
  </w:num>
  <w:num w:numId="8">
    <w:abstractNumId w:val="14"/>
  </w:num>
  <w:num w:numId="9">
    <w:abstractNumId w:val="5"/>
  </w:num>
  <w:num w:numId="10">
    <w:abstractNumId w:val="8"/>
  </w:num>
  <w:num w:numId="11">
    <w:abstractNumId w:val="21"/>
  </w:num>
  <w:num w:numId="12">
    <w:abstractNumId w:val="6"/>
  </w:num>
  <w:num w:numId="13">
    <w:abstractNumId w:val="12"/>
  </w:num>
  <w:num w:numId="14">
    <w:abstractNumId w:val="15"/>
  </w:num>
  <w:num w:numId="15">
    <w:abstractNumId w:val="0"/>
    <w:lvlOverride w:ilvl="0">
      <w:lvl w:ilvl="0">
        <w:start w:val="1"/>
        <w:numFmt w:val="bullet"/>
        <w:lvlText w:val=""/>
        <w:legacy w:legacy="1" w:legacySpace="0" w:legacyIndent="360"/>
        <w:lvlJc w:val="left"/>
        <w:pPr>
          <w:ind w:left="2410" w:hanging="360"/>
        </w:pPr>
        <w:rPr>
          <w:rFonts w:ascii="Symbol" w:hAnsi="Symbol" w:hint="default"/>
        </w:rPr>
      </w:lvl>
    </w:lvlOverride>
  </w:num>
  <w:num w:numId="16">
    <w:abstractNumId w:val="1"/>
  </w:num>
  <w:num w:numId="17">
    <w:abstractNumId w:val="18"/>
  </w:num>
  <w:num w:numId="18">
    <w:abstractNumId w:val="2"/>
  </w:num>
  <w:num w:numId="19">
    <w:abstractNumId w:val="17"/>
  </w:num>
  <w:num w:numId="20">
    <w:abstractNumId w:val="17"/>
  </w:num>
  <w:num w:numId="21">
    <w:abstractNumId w:val="17"/>
  </w:num>
  <w:num w:numId="22">
    <w:abstractNumId w:val="17"/>
  </w:num>
  <w:num w:numId="23">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24">
    <w:abstractNumId w:val="17"/>
  </w:num>
  <w:num w:numId="25">
    <w:abstractNumId w:val="17"/>
  </w:num>
  <w:num w:numId="26">
    <w:abstractNumId w:val="17"/>
  </w:num>
  <w:num w:numId="27">
    <w:abstractNumId w:val="17"/>
  </w:num>
  <w:num w:numId="28">
    <w:abstractNumId w:val="19"/>
  </w:num>
  <w:num w:numId="29">
    <w:abstractNumId w:val="20"/>
  </w:num>
  <w:num w:numId="30">
    <w:abstractNumId w:val="17"/>
  </w:num>
  <w:num w:numId="31">
    <w:abstractNumId w:val="17"/>
  </w:num>
  <w:num w:numId="32">
    <w:abstractNumId w:val="17"/>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17"/>
  </w:num>
  <w:num w:numId="43">
    <w:abstractNumId w:val="17"/>
  </w:num>
  <w:num w:numId="44">
    <w:abstractNumId w:val="17"/>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932"/>
    <w:rsid w:val="0000095D"/>
    <w:rsid w:val="00000B43"/>
    <w:rsid w:val="00000B7F"/>
    <w:rsid w:val="0000273F"/>
    <w:rsid w:val="00002743"/>
    <w:rsid w:val="00002C85"/>
    <w:rsid w:val="000031B0"/>
    <w:rsid w:val="00004215"/>
    <w:rsid w:val="000042EF"/>
    <w:rsid w:val="00004A7D"/>
    <w:rsid w:val="00004E4C"/>
    <w:rsid w:val="00006462"/>
    <w:rsid w:val="00006881"/>
    <w:rsid w:val="00006D11"/>
    <w:rsid w:val="00007BFF"/>
    <w:rsid w:val="0001024B"/>
    <w:rsid w:val="00010A17"/>
    <w:rsid w:val="00010E74"/>
    <w:rsid w:val="00011964"/>
    <w:rsid w:val="00011D5B"/>
    <w:rsid w:val="00011F1A"/>
    <w:rsid w:val="00012228"/>
    <w:rsid w:val="00014EAF"/>
    <w:rsid w:val="00015BE5"/>
    <w:rsid w:val="00016611"/>
    <w:rsid w:val="0001677B"/>
    <w:rsid w:val="00017666"/>
    <w:rsid w:val="00020298"/>
    <w:rsid w:val="0002056D"/>
    <w:rsid w:val="00020A3F"/>
    <w:rsid w:val="00020F4E"/>
    <w:rsid w:val="00021C68"/>
    <w:rsid w:val="00022064"/>
    <w:rsid w:val="00022153"/>
    <w:rsid w:val="00022907"/>
    <w:rsid w:val="00023E91"/>
    <w:rsid w:val="00023F1F"/>
    <w:rsid w:val="0002501B"/>
    <w:rsid w:val="000260FB"/>
    <w:rsid w:val="00026733"/>
    <w:rsid w:val="000267F0"/>
    <w:rsid w:val="0002692A"/>
    <w:rsid w:val="00031C3F"/>
    <w:rsid w:val="00032184"/>
    <w:rsid w:val="00032383"/>
    <w:rsid w:val="00032439"/>
    <w:rsid w:val="0003385F"/>
    <w:rsid w:val="00035555"/>
    <w:rsid w:val="000355F6"/>
    <w:rsid w:val="00036F4A"/>
    <w:rsid w:val="00036FBF"/>
    <w:rsid w:val="000371B4"/>
    <w:rsid w:val="000378C0"/>
    <w:rsid w:val="00037A49"/>
    <w:rsid w:val="00040160"/>
    <w:rsid w:val="00040A88"/>
    <w:rsid w:val="000417FC"/>
    <w:rsid w:val="000421BC"/>
    <w:rsid w:val="000431DE"/>
    <w:rsid w:val="0004368D"/>
    <w:rsid w:val="00043CA0"/>
    <w:rsid w:val="0004453C"/>
    <w:rsid w:val="0004493F"/>
    <w:rsid w:val="000453DC"/>
    <w:rsid w:val="00045F5B"/>
    <w:rsid w:val="000463BE"/>
    <w:rsid w:val="00046715"/>
    <w:rsid w:val="00046B8A"/>
    <w:rsid w:val="00047C6D"/>
    <w:rsid w:val="00050F12"/>
    <w:rsid w:val="00051AA5"/>
    <w:rsid w:val="00051CEE"/>
    <w:rsid w:val="00051E46"/>
    <w:rsid w:val="00053780"/>
    <w:rsid w:val="000538E2"/>
    <w:rsid w:val="00053A68"/>
    <w:rsid w:val="00054FD6"/>
    <w:rsid w:val="0005576F"/>
    <w:rsid w:val="00055E5F"/>
    <w:rsid w:val="00056554"/>
    <w:rsid w:val="00057885"/>
    <w:rsid w:val="00057C43"/>
    <w:rsid w:val="000608A0"/>
    <w:rsid w:val="0006111A"/>
    <w:rsid w:val="00062558"/>
    <w:rsid w:val="00063D1D"/>
    <w:rsid w:val="00064294"/>
    <w:rsid w:val="000646E7"/>
    <w:rsid w:val="0006516A"/>
    <w:rsid w:val="00065DAB"/>
    <w:rsid w:val="00065F7A"/>
    <w:rsid w:val="00065FD1"/>
    <w:rsid w:val="00066103"/>
    <w:rsid w:val="000665D9"/>
    <w:rsid w:val="00066C5F"/>
    <w:rsid w:val="00066D7E"/>
    <w:rsid w:val="00066EB6"/>
    <w:rsid w:val="00067BFC"/>
    <w:rsid w:val="00067FF9"/>
    <w:rsid w:val="00070209"/>
    <w:rsid w:val="0007097B"/>
    <w:rsid w:val="000716D7"/>
    <w:rsid w:val="0007442D"/>
    <w:rsid w:val="00075A18"/>
    <w:rsid w:val="000762F8"/>
    <w:rsid w:val="00076D9C"/>
    <w:rsid w:val="000774AA"/>
    <w:rsid w:val="00077F01"/>
    <w:rsid w:val="00077F49"/>
    <w:rsid w:val="00081AC4"/>
    <w:rsid w:val="00081DAE"/>
    <w:rsid w:val="00082002"/>
    <w:rsid w:val="00082918"/>
    <w:rsid w:val="000840A0"/>
    <w:rsid w:val="00084AB2"/>
    <w:rsid w:val="00084FD7"/>
    <w:rsid w:val="00085BD9"/>
    <w:rsid w:val="00085FDB"/>
    <w:rsid w:val="00086740"/>
    <w:rsid w:val="000904E6"/>
    <w:rsid w:val="0009082D"/>
    <w:rsid w:val="00091999"/>
    <w:rsid w:val="00092ACB"/>
    <w:rsid w:val="00092B83"/>
    <w:rsid w:val="00093F8F"/>
    <w:rsid w:val="00094417"/>
    <w:rsid w:val="00094591"/>
    <w:rsid w:val="000945F4"/>
    <w:rsid w:val="0009491E"/>
    <w:rsid w:val="00094C91"/>
    <w:rsid w:val="000957B9"/>
    <w:rsid w:val="00095DC6"/>
    <w:rsid w:val="00095EE6"/>
    <w:rsid w:val="00097371"/>
    <w:rsid w:val="000A01BF"/>
    <w:rsid w:val="000A05A1"/>
    <w:rsid w:val="000A0B27"/>
    <w:rsid w:val="000A0B69"/>
    <w:rsid w:val="000A1174"/>
    <w:rsid w:val="000A1488"/>
    <w:rsid w:val="000A14B3"/>
    <w:rsid w:val="000A1890"/>
    <w:rsid w:val="000A1FFB"/>
    <w:rsid w:val="000A2A4E"/>
    <w:rsid w:val="000A3380"/>
    <w:rsid w:val="000A3A2B"/>
    <w:rsid w:val="000A3F3E"/>
    <w:rsid w:val="000A6470"/>
    <w:rsid w:val="000A65FD"/>
    <w:rsid w:val="000A7204"/>
    <w:rsid w:val="000A79E7"/>
    <w:rsid w:val="000B09C5"/>
    <w:rsid w:val="000B0CE8"/>
    <w:rsid w:val="000B0EC9"/>
    <w:rsid w:val="000B139D"/>
    <w:rsid w:val="000B16EE"/>
    <w:rsid w:val="000B2120"/>
    <w:rsid w:val="000B3C5B"/>
    <w:rsid w:val="000B5D63"/>
    <w:rsid w:val="000B5E8A"/>
    <w:rsid w:val="000B6736"/>
    <w:rsid w:val="000B6AE5"/>
    <w:rsid w:val="000B7767"/>
    <w:rsid w:val="000B7BED"/>
    <w:rsid w:val="000C02F0"/>
    <w:rsid w:val="000C0467"/>
    <w:rsid w:val="000C0C8A"/>
    <w:rsid w:val="000C117A"/>
    <w:rsid w:val="000C1BE9"/>
    <w:rsid w:val="000C2420"/>
    <w:rsid w:val="000C2684"/>
    <w:rsid w:val="000C3595"/>
    <w:rsid w:val="000C3C44"/>
    <w:rsid w:val="000C4460"/>
    <w:rsid w:val="000C55BE"/>
    <w:rsid w:val="000C5B89"/>
    <w:rsid w:val="000C648E"/>
    <w:rsid w:val="000C66BE"/>
    <w:rsid w:val="000C6E1B"/>
    <w:rsid w:val="000C72D9"/>
    <w:rsid w:val="000C7599"/>
    <w:rsid w:val="000C7999"/>
    <w:rsid w:val="000D08BB"/>
    <w:rsid w:val="000D0CC8"/>
    <w:rsid w:val="000D0E61"/>
    <w:rsid w:val="000D1A8E"/>
    <w:rsid w:val="000D3385"/>
    <w:rsid w:val="000D3BA0"/>
    <w:rsid w:val="000D52A0"/>
    <w:rsid w:val="000D52C1"/>
    <w:rsid w:val="000D53AE"/>
    <w:rsid w:val="000D5529"/>
    <w:rsid w:val="000D598D"/>
    <w:rsid w:val="000D5B24"/>
    <w:rsid w:val="000D6074"/>
    <w:rsid w:val="000D65E2"/>
    <w:rsid w:val="000D689B"/>
    <w:rsid w:val="000E0A62"/>
    <w:rsid w:val="000E0B46"/>
    <w:rsid w:val="000E1443"/>
    <w:rsid w:val="000E2C66"/>
    <w:rsid w:val="000E3A78"/>
    <w:rsid w:val="000E43D5"/>
    <w:rsid w:val="000E47D3"/>
    <w:rsid w:val="000E4CA4"/>
    <w:rsid w:val="000F0896"/>
    <w:rsid w:val="000F09D4"/>
    <w:rsid w:val="000F09F8"/>
    <w:rsid w:val="000F14B9"/>
    <w:rsid w:val="000F1608"/>
    <w:rsid w:val="000F1839"/>
    <w:rsid w:val="000F2966"/>
    <w:rsid w:val="000F3D4A"/>
    <w:rsid w:val="000F3F47"/>
    <w:rsid w:val="000F4540"/>
    <w:rsid w:val="000F4658"/>
    <w:rsid w:val="000F46A4"/>
    <w:rsid w:val="000F5879"/>
    <w:rsid w:val="000F5E17"/>
    <w:rsid w:val="000F5F3F"/>
    <w:rsid w:val="000F6657"/>
    <w:rsid w:val="000F682F"/>
    <w:rsid w:val="000F68F7"/>
    <w:rsid w:val="000F698B"/>
    <w:rsid w:val="000F79B9"/>
    <w:rsid w:val="000F7B11"/>
    <w:rsid w:val="001003A7"/>
    <w:rsid w:val="00100FC4"/>
    <w:rsid w:val="00101A58"/>
    <w:rsid w:val="00101BCD"/>
    <w:rsid w:val="001034D4"/>
    <w:rsid w:val="00104C78"/>
    <w:rsid w:val="00104FCA"/>
    <w:rsid w:val="0010664E"/>
    <w:rsid w:val="001073D8"/>
    <w:rsid w:val="001076F8"/>
    <w:rsid w:val="00107921"/>
    <w:rsid w:val="0010797C"/>
    <w:rsid w:val="0011053D"/>
    <w:rsid w:val="00110B27"/>
    <w:rsid w:val="001115F7"/>
    <w:rsid w:val="001117A2"/>
    <w:rsid w:val="001137CE"/>
    <w:rsid w:val="00113FC9"/>
    <w:rsid w:val="0011434C"/>
    <w:rsid w:val="0011559E"/>
    <w:rsid w:val="001156DE"/>
    <w:rsid w:val="0011585D"/>
    <w:rsid w:val="00115C1E"/>
    <w:rsid w:val="00116918"/>
    <w:rsid w:val="00116947"/>
    <w:rsid w:val="00116D5D"/>
    <w:rsid w:val="00116D8E"/>
    <w:rsid w:val="001173B5"/>
    <w:rsid w:val="00117B09"/>
    <w:rsid w:val="00117C54"/>
    <w:rsid w:val="00121D6C"/>
    <w:rsid w:val="001222A7"/>
    <w:rsid w:val="0012290F"/>
    <w:rsid w:val="00122D3B"/>
    <w:rsid w:val="00123379"/>
    <w:rsid w:val="001234A8"/>
    <w:rsid w:val="00123B68"/>
    <w:rsid w:val="00123E27"/>
    <w:rsid w:val="00124A7D"/>
    <w:rsid w:val="00125C98"/>
    <w:rsid w:val="00126D65"/>
    <w:rsid w:val="00127101"/>
    <w:rsid w:val="001277D8"/>
    <w:rsid w:val="00131392"/>
    <w:rsid w:val="00131E1A"/>
    <w:rsid w:val="001322B7"/>
    <w:rsid w:val="0013258E"/>
    <w:rsid w:val="00133E3A"/>
    <w:rsid w:val="00133E9C"/>
    <w:rsid w:val="0013459D"/>
    <w:rsid w:val="00135030"/>
    <w:rsid w:val="00135483"/>
    <w:rsid w:val="0013782A"/>
    <w:rsid w:val="00137E78"/>
    <w:rsid w:val="00140B6C"/>
    <w:rsid w:val="00141DAC"/>
    <w:rsid w:val="00142299"/>
    <w:rsid w:val="00143605"/>
    <w:rsid w:val="00143C27"/>
    <w:rsid w:val="0014557C"/>
    <w:rsid w:val="00145589"/>
    <w:rsid w:val="00145B63"/>
    <w:rsid w:val="00145FD2"/>
    <w:rsid w:val="001463C4"/>
    <w:rsid w:val="0014682B"/>
    <w:rsid w:val="0014693A"/>
    <w:rsid w:val="0014725A"/>
    <w:rsid w:val="00147908"/>
    <w:rsid w:val="00151522"/>
    <w:rsid w:val="001515FD"/>
    <w:rsid w:val="00151680"/>
    <w:rsid w:val="00152105"/>
    <w:rsid w:val="0015270C"/>
    <w:rsid w:val="00152D39"/>
    <w:rsid w:val="00152E6E"/>
    <w:rsid w:val="00153366"/>
    <w:rsid w:val="0015373F"/>
    <w:rsid w:val="00154177"/>
    <w:rsid w:val="00154C05"/>
    <w:rsid w:val="00154C3B"/>
    <w:rsid w:val="00155DB5"/>
    <w:rsid w:val="00156342"/>
    <w:rsid w:val="00156AAB"/>
    <w:rsid w:val="00156ABA"/>
    <w:rsid w:val="00156DF2"/>
    <w:rsid w:val="001579C2"/>
    <w:rsid w:val="00160412"/>
    <w:rsid w:val="001605E8"/>
    <w:rsid w:val="00160FAF"/>
    <w:rsid w:val="0016118C"/>
    <w:rsid w:val="00162FEB"/>
    <w:rsid w:val="00163512"/>
    <w:rsid w:val="00163561"/>
    <w:rsid w:val="00163A8E"/>
    <w:rsid w:val="00163ADE"/>
    <w:rsid w:val="00163B85"/>
    <w:rsid w:val="00163BA6"/>
    <w:rsid w:val="00164DA3"/>
    <w:rsid w:val="00165501"/>
    <w:rsid w:val="001659D7"/>
    <w:rsid w:val="00165E9D"/>
    <w:rsid w:val="0016690F"/>
    <w:rsid w:val="001672F0"/>
    <w:rsid w:val="0017122C"/>
    <w:rsid w:val="001727A6"/>
    <w:rsid w:val="0017471D"/>
    <w:rsid w:val="00174978"/>
    <w:rsid w:val="00174CBB"/>
    <w:rsid w:val="0017503B"/>
    <w:rsid w:val="001755B3"/>
    <w:rsid w:val="0017620A"/>
    <w:rsid w:val="00176CA7"/>
    <w:rsid w:val="0017782A"/>
    <w:rsid w:val="00181FA7"/>
    <w:rsid w:val="00182595"/>
    <w:rsid w:val="00182A73"/>
    <w:rsid w:val="00184160"/>
    <w:rsid w:val="0018416A"/>
    <w:rsid w:val="001842C5"/>
    <w:rsid w:val="00184D49"/>
    <w:rsid w:val="001855A5"/>
    <w:rsid w:val="001872D0"/>
    <w:rsid w:val="00191DEB"/>
    <w:rsid w:val="00193057"/>
    <w:rsid w:val="00193ED8"/>
    <w:rsid w:val="001941AB"/>
    <w:rsid w:val="00194480"/>
    <w:rsid w:val="001951D5"/>
    <w:rsid w:val="001952C4"/>
    <w:rsid w:val="0019532A"/>
    <w:rsid w:val="00195865"/>
    <w:rsid w:val="001959B6"/>
    <w:rsid w:val="00195FEE"/>
    <w:rsid w:val="001960DA"/>
    <w:rsid w:val="00196671"/>
    <w:rsid w:val="001968B9"/>
    <w:rsid w:val="00197417"/>
    <w:rsid w:val="00197630"/>
    <w:rsid w:val="001A0B6A"/>
    <w:rsid w:val="001A1299"/>
    <w:rsid w:val="001A191D"/>
    <w:rsid w:val="001A25CF"/>
    <w:rsid w:val="001A354D"/>
    <w:rsid w:val="001A37FC"/>
    <w:rsid w:val="001A445D"/>
    <w:rsid w:val="001A4713"/>
    <w:rsid w:val="001A7309"/>
    <w:rsid w:val="001B2B81"/>
    <w:rsid w:val="001B3A22"/>
    <w:rsid w:val="001B40CD"/>
    <w:rsid w:val="001B44BA"/>
    <w:rsid w:val="001B47AA"/>
    <w:rsid w:val="001B4F13"/>
    <w:rsid w:val="001B54C5"/>
    <w:rsid w:val="001B57EF"/>
    <w:rsid w:val="001B6801"/>
    <w:rsid w:val="001B7483"/>
    <w:rsid w:val="001B7536"/>
    <w:rsid w:val="001B7C15"/>
    <w:rsid w:val="001C0881"/>
    <w:rsid w:val="001C0B53"/>
    <w:rsid w:val="001C0E25"/>
    <w:rsid w:val="001C16C3"/>
    <w:rsid w:val="001C174A"/>
    <w:rsid w:val="001C1DDC"/>
    <w:rsid w:val="001C1E2C"/>
    <w:rsid w:val="001C293A"/>
    <w:rsid w:val="001C2D93"/>
    <w:rsid w:val="001C2FAA"/>
    <w:rsid w:val="001C3DA9"/>
    <w:rsid w:val="001C4472"/>
    <w:rsid w:val="001C47A3"/>
    <w:rsid w:val="001C550E"/>
    <w:rsid w:val="001C5E65"/>
    <w:rsid w:val="001C5F5D"/>
    <w:rsid w:val="001C650B"/>
    <w:rsid w:val="001C6CD4"/>
    <w:rsid w:val="001C6FA7"/>
    <w:rsid w:val="001C7D21"/>
    <w:rsid w:val="001C7E8C"/>
    <w:rsid w:val="001D0373"/>
    <w:rsid w:val="001D0F1A"/>
    <w:rsid w:val="001D23B8"/>
    <w:rsid w:val="001D2489"/>
    <w:rsid w:val="001D285D"/>
    <w:rsid w:val="001D2B80"/>
    <w:rsid w:val="001D3DBA"/>
    <w:rsid w:val="001D4C6B"/>
    <w:rsid w:val="001D51FE"/>
    <w:rsid w:val="001D5AB0"/>
    <w:rsid w:val="001D717C"/>
    <w:rsid w:val="001D7480"/>
    <w:rsid w:val="001E033D"/>
    <w:rsid w:val="001E037F"/>
    <w:rsid w:val="001E04EB"/>
    <w:rsid w:val="001E1370"/>
    <w:rsid w:val="001E1EC8"/>
    <w:rsid w:val="001E38C9"/>
    <w:rsid w:val="001E3B2F"/>
    <w:rsid w:val="001E40F0"/>
    <w:rsid w:val="001E4621"/>
    <w:rsid w:val="001E5A00"/>
    <w:rsid w:val="001E5C9B"/>
    <w:rsid w:val="001E62CE"/>
    <w:rsid w:val="001E63B3"/>
    <w:rsid w:val="001E7565"/>
    <w:rsid w:val="001F0892"/>
    <w:rsid w:val="001F2519"/>
    <w:rsid w:val="001F2EE5"/>
    <w:rsid w:val="001F3CE5"/>
    <w:rsid w:val="001F421F"/>
    <w:rsid w:val="001F4249"/>
    <w:rsid w:val="001F462C"/>
    <w:rsid w:val="001F4AB0"/>
    <w:rsid w:val="001F4F7E"/>
    <w:rsid w:val="001F5242"/>
    <w:rsid w:val="001F562F"/>
    <w:rsid w:val="001F5A11"/>
    <w:rsid w:val="001F65DD"/>
    <w:rsid w:val="001F6D20"/>
    <w:rsid w:val="00200367"/>
    <w:rsid w:val="0020043A"/>
    <w:rsid w:val="0020081F"/>
    <w:rsid w:val="002008C3"/>
    <w:rsid w:val="00201B54"/>
    <w:rsid w:val="002025F0"/>
    <w:rsid w:val="00203925"/>
    <w:rsid w:val="0020440D"/>
    <w:rsid w:val="00204627"/>
    <w:rsid w:val="0020475B"/>
    <w:rsid w:val="00204762"/>
    <w:rsid w:val="00205302"/>
    <w:rsid w:val="002056E1"/>
    <w:rsid w:val="002058BB"/>
    <w:rsid w:val="00205C16"/>
    <w:rsid w:val="00205D6F"/>
    <w:rsid w:val="00205EC7"/>
    <w:rsid w:val="0020717A"/>
    <w:rsid w:val="002107F6"/>
    <w:rsid w:val="00211056"/>
    <w:rsid w:val="0021228E"/>
    <w:rsid w:val="00212EAE"/>
    <w:rsid w:val="0021304F"/>
    <w:rsid w:val="002138EA"/>
    <w:rsid w:val="00213E5E"/>
    <w:rsid w:val="002146E9"/>
    <w:rsid w:val="00215360"/>
    <w:rsid w:val="002156F5"/>
    <w:rsid w:val="002162C6"/>
    <w:rsid w:val="002169BE"/>
    <w:rsid w:val="00220359"/>
    <w:rsid w:val="00220A74"/>
    <w:rsid w:val="0022190B"/>
    <w:rsid w:val="00221C33"/>
    <w:rsid w:val="0022200C"/>
    <w:rsid w:val="002224F5"/>
    <w:rsid w:val="00223CFB"/>
    <w:rsid w:val="0022411B"/>
    <w:rsid w:val="002248CF"/>
    <w:rsid w:val="00224D9E"/>
    <w:rsid w:val="00224EB0"/>
    <w:rsid w:val="00224FB2"/>
    <w:rsid w:val="00224FB9"/>
    <w:rsid w:val="00225A0A"/>
    <w:rsid w:val="00226C7F"/>
    <w:rsid w:val="00227E7E"/>
    <w:rsid w:val="00230D75"/>
    <w:rsid w:val="00231422"/>
    <w:rsid w:val="00231C99"/>
    <w:rsid w:val="00233847"/>
    <w:rsid w:val="00235175"/>
    <w:rsid w:val="00235FA3"/>
    <w:rsid w:val="002360C7"/>
    <w:rsid w:val="00236C6C"/>
    <w:rsid w:val="0023784B"/>
    <w:rsid w:val="00237E1C"/>
    <w:rsid w:val="0024100A"/>
    <w:rsid w:val="00241403"/>
    <w:rsid w:val="002424D2"/>
    <w:rsid w:val="00242B5F"/>
    <w:rsid w:val="00242C77"/>
    <w:rsid w:val="002435A0"/>
    <w:rsid w:val="00244BD7"/>
    <w:rsid w:val="00244E84"/>
    <w:rsid w:val="00245082"/>
    <w:rsid w:val="0024559C"/>
    <w:rsid w:val="002459F7"/>
    <w:rsid w:val="00246053"/>
    <w:rsid w:val="002466AB"/>
    <w:rsid w:val="00246C58"/>
    <w:rsid w:val="002470F9"/>
    <w:rsid w:val="00247E21"/>
    <w:rsid w:val="00247EA3"/>
    <w:rsid w:val="00250226"/>
    <w:rsid w:val="00250361"/>
    <w:rsid w:val="00250539"/>
    <w:rsid w:val="00250742"/>
    <w:rsid w:val="00250CC1"/>
    <w:rsid w:val="00250EAB"/>
    <w:rsid w:val="00251751"/>
    <w:rsid w:val="00252975"/>
    <w:rsid w:val="00252AEC"/>
    <w:rsid w:val="00252BD9"/>
    <w:rsid w:val="00253130"/>
    <w:rsid w:val="002547E9"/>
    <w:rsid w:val="00254DB3"/>
    <w:rsid w:val="00255291"/>
    <w:rsid w:val="00255713"/>
    <w:rsid w:val="00256396"/>
    <w:rsid w:val="0025719B"/>
    <w:rsid w:val="00257D9D"/>
    <w:rsid w:val="00257EBF"/>
    <w:rsid w:val="0026147C"/>
    <w:rsid w:val="00262B5A"/>
    <w:rsid w:val="00262D44"/>
    <w:rsid w:val="00263002"/>
    <w:rsid w:val="002630F9"/>
    <w:rsid w:val="00263FFB"/>
    <w:rsid w:val="00264275"/>
    <w:rsid w:val="0026446E"/>
    <w:rsid w:val="00264AA7"/>
    <w:rsid w:val="00264E1A"/>
    <w:rsid w:val="00265677"/>
    <w:rsid w:val="00266887"/>
    <w:rsid w:val="00266FF3"/>
    <w:rsid w:val="00267023"/>
    <w:rsid w:val="002675F1"/>
    <w:rsid w:val="002702AB"/>
    <w:rsid w:val="00270671"/>
    <w:rsid w:val="00270B53"/>
    <w:rsid w:val="00270D59"/>
    <w:rsid w:val="00271619"/>
    <w:rsid w:val="00271F6D"/>
    <w:rsid w:val="00273B19"/>
    <w:rsid w:val="00274992"/>
    <w:rsid w:val="00274C21"/>
    <w:rsid w:val="00274EAD"/>
    <w:rsid w:val="002756D9"/>
    <w:rsid w:val="00277459"/>
    <w:rsid w:val="00280516"/>
    <w:rsid w:val="00280DCC"/>
    <w:rsid w:val="002811AB"/>
    <w:rsid w:val="00282498"/>
    <w:rsid w:val="002827BF"/>
    <w:rsid w:val="00282BA0"/>
    <w:rsid w:val="00282F0A"/>
    <w:rsid w:val="002838A3"/>
    <w:rsid w:val="002839A5"/>
    <w:rsid w:val="00284B57"/>
    <w:rsid w:val="002850AD"/>
    <w:rsid w:val="00285648"/>
    <w:rsid w:val="00285776"/>
    <w:rsid w:val="00286FAB"/>
    <w:rsid w:val="002870CD"/>
    <w:rsid w:val="0028741B"/>
    <w:rsid w:val="002906CF"/>
    <w:rsid w:val="00291AED"/>
    <w:rsid w:val="00292FD6"/>
    <w:rsid w:val="002931C6"/>
    <w:rsid w:val="0029403F"/>
    <w:rsid w:val="00294709"/>
    <w:rsid w:val="0029570F"/>
    <w:rsid w:val="00296374"/>
    <w:rsid w:val="00297DA6"/>
    <w:rsid w:val="002A010C"/>
    <w:rsid w:val="002A0FCC"/>
    <w:rsid w:val="002A11AE"/>
    <w:rsid w:val="002A193C"/>
    <w:rsid w:val="002A200D"/>
    <w:rsid w:val="002A2685"/>
    <w:rsid w:val="002A2EBD"/>
    <w:rsid w:val="002A30E5"/>
    <w:rsid w:val="002A319B"/>
    <w:rsid w:val="002A395E"/>
    <w:rsid w:val="002A3BC6"/>
    <w:rsid w:val="002A3C7A"/>
    <w:rsid w:val="002A3E2D"/>
    <w:rsid w:val="002A5436"/>
    <w:rsid w:val="002A5908"/>
    <w:rsid w:val="002A5CBA"/>
    <w:rsid w:val="002A7BB4"/>
    <w:rsid w:val="002A7D9C"/>
    <w:rsid w:val="002A7E45"/>
    <w:rsid w:val="002B0693"/>
    <w:rsid w:val="002B266D"/>
    <w:rsid w:val="002B2ED8"/>
    <w:rsid w:val="002B4D2B"/>
    <w:rsid w:val="002B5511"/>
    <w:rsid w:val="002B612F"/>
    <w:rsid w:val="002B62C3"/>
    <w:rsid w:val="002B7440"/>
    <w:rsid w:val="002B77C7"/>
    <w:rsid w:val="002C06DB"/>
    <w:rsid w:val="002C0B9D"/>
    <w:rsid w:val="002C145F"/>
    <w:rsid w:val="002C159E"/>
    <w:rsid w:val="002C1ADA"/>
    <w:rsid w:val="002C2B36"/>
    <w:rsid w:val="002C2C06"/>
    <w:rsid w:val="002C2D0F"/>
    <w:rsid w:val="002C42FE"/>
    <w:rsid w:val="002C47F9"/>
    <w:rsid w:val="002C49C6"/>
    <w:rsid w:val="002C4C23"/>
    <w:rsid w:val="002C4D5A"/>
    <w:rsid w:val="002C4FDC"/>
    <w:rsid w:val="002C6220"/>
    <w:rsid w:val="002C6984"/>
    <w:rsid w:val="002C7CEE"/>
    <w:rsid w:val="002D0297"/>
    <w:rsid w:val="002D0776"/>
    <w:rsid w:val="002D095F"/>
    <w:rsid w:val="002D0B24"/>
    <w:rsid w:val="002D2BDF"/>
    <w:rsid w:val="002D32A6"/>
    <w:rsid w:val="002D3DFB"/>
    <w:rsid w:val="002D4026"/>
    <w:rsid w:val="002D4B5A"/>
    <w:rsid w:val="002D5B11"/>
    <w:rsid w:val="002D5EDB"/>
    <w:rsid w:val="002D6429"/>
    <w:rsid w:val="002D674F"/>
    <w:rsid w:val="002D7483"/>
    <w:rsid w:val="002D7871"/>
    <w:rsid w:val="002E0016"/>
    <w:rsid w:val="002E0975"/>
    <w:rsid w:val="002E09D9"/>
    <w:rsid w:val="002E0D7C"/>
    <w:rsid w:val="002E16A8"/>
    <w:rsid w:val="002E1E42"/>
    <w:rsid w:val="002E338D"/>
    <w:rsid w:val="002E38A7"/>
    <w:rsid w:val="002E3AEF"/>
    <w:rsid w:val="002E3E75"/>
    <w:rsid w:val="002E5C03"/>
    <w:rsid w:val="002E666E"/>
    <w:rsid w:val="002E6992"/>
    <w:rsid w:val="002E69B1"/>
    <w:rsid w:val="002E6BF3"/>
    <w:rsid w:val="002E70A9"/>
    <w:rsid w:val="002F05D2"/>
    <w:rsid w:val="002F10D1"/>
    <w:rsid w:val="002F1AE8"/>
    <w:rsid w:val="002F1FB6"/>
    <w:rsid w:val="002F32B6"/>
    <w:rsid w:val="002F4B8A"/>
    <w:rsid w:val="002F54B1"/>
    <w:rsid w:val="002F5CBA"/>
    <w:rsid w:val="002F5D05"/>
    <w:rsid w:val="002F67FC"/>
    <w:rsid w:val="002F6CDC"/>
    <w:rsid w:val="002F7030"/>
    <w:rsid w:val="002F7084"/>
    <w:rsid w:val="002F71B9"/>
    <w:rsid w:val="002F7827"/>
    <w:rsid w:val="002F7886"/>
    <w:rsid w:val="00300CEC"/>
    <w:rsid w:val="00300F90"/>
    <w:rsid w:val="00301365"/>
    <w:rsid w:val="00301736"/>
    <w:rsid w:val="003017F3"/>
    <w:rsid w:val="003019B3"/>
    <w:rsid w:val="00302B98"/>
    <w:rsid w:val="0030314C"/>
    <w:rsid w:val="00303261"/>
    <w:rsid w:val="0030365C"/>
    <w:rsid w:val="00303D92"/>
    <w:rsid w:val="0030466A"/>
    <w:rsid w:val="003047C8"/>
    <w:rsid w:val="00304C07"/>
    <w:rsid w:val="00304EEF"/>
    <w:rsid w:val="003051F6"/>
    <w:rsid w:val="00305A21"/>
    <w:rsid w:val="00305ACD"/>
    <w:rsid w:val="00305B60"/>
    <w:rsid w:val="003064AC"/>
    <w:rsid w:val="003071C4"/>
    <w:rsid w:val="003072D8"/>
    <w:rsid w:val="003078AC"/>
    <w:rsid w:val="00310117"/>
    <w:rsid w:val="00310639"/>
    <w:rsid w:val="003123B1"/>
    <w:rsid w:val="003126FC"/>
    <w:rsid w:val="00312F79"/>
    <w:rsid w:val="00313D69"/>
    <w:rsid w:val="00314084"/>
    <w:rsid w:val="00314695"/>
    <w:rsid w:val="00314909"/>
    <w:rsid w:val="00314BB8"/>
    <w:rsid w:val="00314FD2"/>
    <w:rsid w:val="0031533D"/>
    <w:rsid w:val="00315DFC"/>
    <w:rsid w:val="0031638A"/>
    <w:rsid w:val="00316405"/>
    <w:rsid w:val="003165DA"/>
    <w:rsid w:val="00320B4C"/>
    <w:rsid w:val="00321671"/>
    <w:rsid w:val="0032169F"/>
    <w:rsid w:val="003217EB"/>
    <w:rsid w:val="00321EBD"/>
    <w:rsid w:val="0032269F"/>
    <w:rsid w:val="00322A57"/>
    <w:rsid w:val="00322C31"/>
    <w:rsid w:val="00323DB6"/>
    <w:rsid w:val="00324510"/>
    <w:rsid w:val="0032465C"/>
    <w:rsid w:val="00325403"/>
    <w:rsid w:val="00325EE1"/>
    <w:rsid w:val="00326948"/>
    <w:rsid w:val="00326C03"/>
    <w:rsid w:val="0032723B"/>
    <w:rsid w:val="00327B6E"/>
    <w:rsid w:val="003301B9"/>
    <w:rsid w:val="00330C6A"/>
    <w:rsid w:val="00330E94"/>
    <w:rsid w:val="00330EEF"/>
    <w:rsid w:val="00332CB3"/>
    <w:rsid w:val="00333136"/>
    <w:rsid w:val="00333526"/>
    <w:rsid w:val="003355A5"/>
    <w:rsid w:val="003369A7"/>
    <w:rsid w:val="00337153"/>
    <w:rsid w:val="00337BF2"/>
    <w:rsid w:val="00340D98"/>
    <w:rsid w:val="00341785"/>
    <w:rsid w:val="00341B4F"/>
    <w:rsid w:val="0034311C"/>
    <w:rsid w:val="003436A1"/>
    <w:rsid w:val="00343806"/>
    <w:rsid w:val="0034408C"/>
    <w:rsid w:val="0034441B"/>
    <w:rsid w:val="0034499C"/>
    <w:rsid w:val="00344EEF"/>
    <w:rsid w:val="00345D63"/>
    <w:rsid w:val="00346F15"/>
    <w:rsid w:val="0034723F"/>
    <w:rsid w:val="00347C6B"/>
    <w:rsid w:val="00347CEC"/>
    <w:rsid w:val="00350252"/>
    <w:rsid w:val="00350744"/>
    <w:rsid w:val="003508A7"/>
    <w:rsid w:val="00351B1F"/>
    <w:rsid w:val="00351E22"/>
    <w:rsid w:val="003557A5"/>
    <w:rsid w:val="00355AA0"/>
    <w:rsid w:val="0035665F"/>
    <w:rsid w:val="003568BD"/>
    <w:rsid w:val="00356EA1"/>
    <w:rsid w:val="003607BA"/>
    <w:rsid w:val="00361A86"/>
    <w:rsid w:val="00362342"/>
    <w:rsid w:val="00363945"/>
    <w:rsid w:val="00364164"/>
    <w:rsid w:val="0036434F"/>
    <w:rsid w:val="003648E6"/>
    <w:rsid w:val="00364DD1"/>
    <w:rsid w:val="003654CE"/>
    <w:rsid w:val="0036725F"/>
    <w:rsid w:val="0036737B"/>
    <w:rsid w:val="00367F1E"/>
    <w:rsid w:val="00370BF7"/>
    <w:rsid w:val="003711A0"/>
    <w:rsid w:val="0037142D"/>
    <w:rsid w:val="00372AA8"/>
    <w:rsid w:val="00372BC2"/>
    <w:rsid w:val="00372D16"/>
    <w:rsid w:val="00373A0D"/>
    <w:rsid w:val="00373B78"/>
    <w:rsid w:val="003740AF"/>
    <w:rsid w:val="003749F9"/>
    <w:rsid w:val="00375105"/>
    <w:rsid w:val="003754DF"/>
    <w:rsid w:val="003756F0"/>
    <w:rsid w:val="003776A6"/>
    <w:rsid w:val="00377A2F"/>
    <w:rsid w:val="003800CE"/>
    <w:rsid w:val="003804D1"/>
    <w:rsid w:val="00380E3E"/>
    <w:rsid w:val="00381835"/>
    <w:rsid w:val="00382278"/>
    <w:rsid w:val="0038296A"/>
    <w:rsid w:val="00383B1E"/>
    <w:rsid w:val="00384033"/>
    <w:rsid w:val="00384567"/>
    <w:rsid w:val="00384C4B"/>
    <w:rsid w:val="00384C91"/>
    <w:rsid w:val="00385592"/>
    <w:rsid w:val="003862A1"/>
    <w:rsid w:val="00386B9D"/>
    <w:rsid w:val="00390474"/>
    <w:rsid w:val="00390E3D"/>
    <w:rsid w:val="003940F5"/>
    <w:rsid w:val="003942B3"/>
    <w:rsid w:val="00394E6F"/>
    <w:rsid w:val="00397686"/>
    <w:rsid w:val="003A0198"/>
    <w:rsid w:val="003A089B"/>
    <w:rsid w:val="003A11AC"/>
    <w:rsid w:val="003A1460"/>
    <w:rsid w:val="003A1926"/>
    <w:rsid w:val="003A2DDF"/>
    <w:rsid w:val="003A3B70"/>
    <w:rsid w:val="003A4479"/>
    <w:rsid w:val="003A5CCC"/>
    <w:rsid w:val="003A68A0"/>
    <w:rsid w:val="003A6ADB"/>
    <w:rsid w:val="003B03BE"/>
    <w:rsid w:val="003B0AD6"/>
    <w:rsid w:val="003B0DD8"/>
    <w:rsid w:val="003B1119"/>
    <w:rsid w:val="003B1425"/>
    <w:rsid w:val="003B1DD8"/>
    <w:rsid w:val="003B2BF2"/>
    <w:rsid w:val="003B2FDF"/>
    <w:rsid w:val="003B34C1"/>
    <w:rsid w:val="003B3F7C"/>
    <w:rsid w:val="003B4D0E"/>
    <w:rsid w:val="003B4E4C"/>
    <w:rsid w:val="003B5744"/>
    <w:rsid w:val="003B5EFC"/>
    <w:rsid w:val="003B64E5"/>
    <w:rsid w:val="003B6A09"/>
    <w:rsid w:val="003B6D92"/>
    <w:rsid w:val="003B7917"/>
    <w:rsid w:val="003C05A9"/>
    <w:rsid w:val="003C0CBC"/>
    <w:rsid w:val="003C0DD4"/>
    <w:rsid w:val="003C0E46"/>
    <w:rsid w:val="003C0F02"/>
    <w:rsid w:val="003C11B7"/>
    <w:rsid w:val="003C1AAB"/>
    <w:rsid w:val="003C208B"/>
    <w:rsid w:val="003C2468"/>
    <w:rsid w:val="003C268B"/>
    <w:rsid w:val="003C26DF"/>
    <w:rsid w:val="003C2BB9"/>
    <w:rsid w:val="003C2CEF"/>
    <w:rsid w:val="003C2D5E"/>
    <w:rsid w:val="003C379E"/>
    <w:rsid w:val="003C3A86"/>
    <w:rsid w:val="003C3D52"/>
    <w:rsid w:val="003C41E9"/>
    <w:rsid w:val="003C49C0"/>
    <w:rsid w:val="003C59D0"/>
    <w:rsid w:val="003C642A"/>
    <w:rsid w:val="003C6D35"/>
    <w:rsid w:val="003C6E13"/>
    <w:rsid w:val="003C7068"/>
    <w:rsid w:val="003C79D1"/>
    <w:rsid w:val="003D2352"/>
    <w:rsid w:val="003D2E2E"/>
    <w:rsid w:val="003D4226"/>
    <w:rsid w:val="003D454B"/>
    <w:rsid w:val="003D4609"/>
    <w:rsid w:val="003D597A"/>
    <w:rsid w:val="003D5ABE"/>
    <w:rsid w:val="003D5D7E"/>
    <w:rsid w:val="003D6094"/>
    <w:rsid w:val="003D7ECB"/>
    <w:rsid w:val="003E0003"/>
    <w:rsid w:val="003E0538"/>
    <w:rsid w:val="003E0E64"/>
    <w:rsid w:val="003E21A3"/>
    <w:rsid w:val="003E5AB4"/>
    <w:rsid w:val="003E5B7F"/>
    <w:rsid w:val="003E6472"/>
    <w:rsid w:val="003E6CFE"/>
    <w:rsid w:val="003E78A4"/>
    <w:rsid w:val="003E7E9B"/>
    <w:rsid w:val="003F07C4"/>
    <w:rsid w:val="003F26EB"/>
    <w:rsid w:val="003F286D"/>
    <w:rsid w:val="003F3DDA"/>
    <w:rsid w:val="003F4213"/>
    <w:rsid w:val="003F454C"/>
    <w:rsid w:val="003F4A49"/>
    <w:rsid w:val="003F5F95"/>
    <w:rsid w:val="003F61DF"/>
    <w:rsid w:val="003F6F7F"/>
    <w:rsid w:val="003F7972"/>
    <w:rsid w:val="003F7F13"/>
    <w:rsid w:val="0040094D"/>
    <w:rsid w:val="00400D22"/>
    <w:rsid w:val="0040115C"/>
    <w:rsid w:val="00402C6E"/>
    <w:rsid w:val="00403622"/>
    <w:rsid w:val="00404F61"/>
    <w:rsid w:val="00406CAE"/>
    <w:rsid w:val="00407D79"/>
    <w:rsid w:val="00410113"/>
    <w:rsid w:val="00410A26"/>
    <w:rsid w:val="004113EA"/>
    <w:rsid w:val="0041140F"/>
    <w:rsid w:val="00411831"/>
    <w:rsid w:val="00411C84"/>
    <w:rsid w:val="00411E48"/>
    <w:rsid w:val="004128A9"/>
    <w:rsid w:val="00412A71"/>
    <w:rsid w:val="00414288"/>
    <w:rsid w:val="004149E3"/>
    <w:rsid w:val="00414C52"/>
    <w:rsid w:val="00414D41"/>
    <w:rsid w:val="00414D4F"/>
    <w:rsid w:val="00415642"/>
    <w:rsid w:val="00416EF5"/>
    <w:rsid w:val="004209C7"/>
    <w:rsid w:val="00420D3A"/>
    <w:rsid w:val="00420FAA"/>
    <w:rsid w:val="00421A91"/>
    <w:rsid w:val="00423301"/>
    <w:rsid w:val="0042396C"/>
    <w:rsid w:val="00423E11"/>
    <w:rsid w:val="00426210"/>
    <w:rsid w:val="004264D0"/>
    <w:rsid w:val="0042660A"/>
    <w:rsid w:val="004266CB"/>
    <w:rsid w:val="00426C76"/>
    <w:rsid w:val="0042702A"/>
    <w:rsid w:val="004271AE"/>
    <w:rsid w:val="00427339"/>
    <w:rsid w:val="00430446"/>
    <w:rsid w:val="00430F48"/>
    <w:rsid w:val="00431187"/>
    <w:rsid w:val="004312CE"/>
    <w:rsid w:val="00431471"/>
    <w:rsid w:val="004316A6"/>
    <w:rsid w:val="00432123"/>
    <w:rsid w:val="00432AB8"/>
    <w:rsid w:val="00432D29"/>
    <w:rsid w:val="004345E1"/>
    <w:rsid w:val="004348F2"/>
    <w:rsid w:val="0043529C"/>
    <w:rsid w:val="00435311"/>
    <w:rsid w:val="00435ABD"/>
    <w:rsid w:val="00435CE8"/>
    <w:rsid w:val="00435ED9"/>
    <w:rsid w:val="00436764"/>
    <w:rsid w:val="00436E75"/>
    <w:rsid w:val="00436F4C"/>
    <w:rsid w:val="004372B2"/>
    <w:rsid w:val="00437B81"/>
    <w:rsid w:val="00437CE9"/>
    <w:rsid w:val="00440333"/>
    <w:rsid w:val="00440C7D"/>
    <w:rsid w:val="00440DB2"/>
    <w:rsid w:val="004416AE"/>
    <w:rsid w:val="00441C8E"/>
    <w:rsid w:val="00441E7E"/>
    <w:rsid w:val="0044275F"/>
    <w:rsid w:val="004438D7"/>
    <w:rsid w:val="00443B66"/>
    <w:rsid w:val="00444081"/>
    <w:rsid w:val="0044476B"/>
    <w:rsid w:val="00445596"/>
    <w:rsid w:val="004472C5"/>
    <w:rsid w:val="0045072C"/>
    <w:rsid w:val="00450A1D"/>
    <w:rsid w:val="00451893"/>
    <w:rsid w:val="00451908"/>
    <w:rsid w:val="0045354A"/>
    <w:rsid w:val="00454C74"/>
    <w:rsid w:val="00454C88"/>
    <w:rsid w:val="00454E0B"/>
    <w:rsid w:val="0045542B"/>
    <w:rsid w:val="00455FD3"/>
    <w:rsid w:val="004562E0"/>
    <w:rsid w:val="00457B8E"/>
    <w:rsid w:val="00460009"/>
    <w:rsid w:val="0046041A"/>
    <w:rsid w:val="004608C4"/>
    <w:rsid w:val="004616D5"/>
    <w:rsid w:val="00462700"/>
    <w:rsid w:val="00462F9D"/>
    <w:rsid w:val="004631B0"/>
    <w:rsid w:val="00463454"/>
    <w:rsid w:val="00463896"/>
    <w:rsid w:val="0046434A"/>
    <w:rsid w:val="004646F6"/>
    <w:rsid w:val="0046476B"/>
    <w:rsid w:val="00464A2A"/>
    <w:rsid w:val="00464AE0"/>
    <w:rsid w:val="00464EA7"/>
    <w:rsid w:val="004660AB"/>
    <w:rsid w:val="00466947"/>
    <w:rsid w:val="00466DF3"/>
    <w:rsid w:val="00466F8E"/>
    <w:rsid w:val="00470194"/>
    <w:rsid w:val="00470A0A"/>
    <w:rsid w:val="00471966"/>
    <w:rsid w:val="00471D20"/>
    <w:rsid w:val="00472A29"/>
    <w:rsid w:val="00474197"/>
    <w:rsid w:val="0047428D"/>
    <w:rsid w:val="0047475A"/>
    <w:rsid w:val="00474BF0"/>
    <w:rsid w:val="00475636"/>
    <w:rsid w:val="00476753"/>
    <w:rsid w:val="00476B79"/>
    <w:rsid w:val="00477330"/>
    <w:rsid w:val="0047780A"/>
    <w:rsid w:val="00477C63"/>
    <w:rsid w:val="00477DA0"/>
    <w:rsid w:val="00480AFC"/>
    <w:rsid w:val="00480E28"/>
    <w:rsid w:val="004813A1"/>
    <w:rsid w:val="00482E6C"/>
    <w:rsid w:val="004834F3"/>
    <w:rsid w:val="004840CC"/>
    <w:rsid w:val="00484747"/>
    <w:rsid w:val="00484E27"/>
    <w:rsid w:val="00485190"/>
    <w:rsid w:val="0048557F"/>
    <w:rsid w:val="00485D93"/>
    <w:rsid w:val="00486A37"/>
    <w:rsid w:val="0048781F"/>
    <w:rsid w:val="00492760"/>
    <w:rsid w:val="00493879"/>
    <w:rsid w:val="00494A1D"/>
    <w:rsid w:val="00495B96"/>
    <w:rsid w:val="004966FD"/>
    <w:rsid w:val="00496DB2"/>
    <w:rsid w:val="00497E00"/>
    <w:rsid w:val="00497EEB"/>
    <w:rsid w:val="004A01B4"/>
    <w:rsid w:val="004A04AE"/>
    <w:rsid w:val="004A06EA"/>
    <w:rsid w:val="004A082D"/>
    <w:rsid w:val="004A0903"/>
    <w:rsid w:val="004A1070"/>
    <w:rsid w:val="004A15A1"/>
    <w:rsid w:val="004A1EB7"/>
    <w:rsid w:val="004A1F76"/>
    <w:rsid w:val="004A2DB7"/>
    <w:rsid w:val="004A2FD1"/>
    <w:rsid w:val="004A352E"/>
    <w:rsid w:val="004A4CD4"/>
    <w:rsid w:val="004A55CE"/>
    <w:rsid w:val="004A57E5"/>
    <w:rsid w:val="004B07AA"/>
    <w:rsid w:val="004B07DD"/>
    <w:rsid w:val="004B14FA"/>
    <w:rsid w:val="004B179F"/>
    <w:rsid w:val="004B367F"/>
    <w:rsid w:val="004B37B8"/>
    <w:rsid w:val="004B3E14"/>
    <w:rsid w:val="004B415E"/>
    <w:rsid w:val="004B44B0"/>
    <w:rsid w:val="004B469B"/>
    <w:rsid w:val="004B46BD"/>
    <w:rsid w:val="004B5902"/>
    <w:rsid w:val="004B5A07"/>
    <w:rsid w:val="004B6896"/>
    <w:rsid w:val="004B6984"/>
    <w:rsid w:val="004B73CD"/>
    <w:rsid w:val="004B73D8"/>
    <w:rsid w:val="004B75E7"/>
    <w:rsid w:val="004B7EA1"/>
    <w:rsid w:val="004C0FFC"/>
    <w:rsid w:val="004C13D9"/>
    <w:rsid w:val="004C1A40"/>
    <w:rsid w:val="004C2120"/>
    <w:rsid w:val="004C215E"/>
    <w:rsid w:val="004C3128"/>
    <w:rsid w:val="004C31F9"/>
    <w:rsid w:val="004C33C5"/>
    <w:rsid w:val="004C3DCB"/>
    <w:rsid w:val="004C47B6"/>
    <w:rsid w:val="004C4ABF"/>
    <w:rsid w:val="004C4EFE"/>
    <w:rsid w:val="004C505A"/>
    <w:rsid w:val="004C5328"/>
    <w:rsid w:val="004C5D14"/>
    <w:rsid w:val="004C641F"/>
    <w:rsid w:val="004D0BFA"/>
    <w:rsid w:val="004D20B4"/>
    <w:rsid w:val="004D33FE"/>
    <w:rsid w:val="004D4743"/>
    <w:rsid w:val="004D4CF8"/>
    <w:rsid w:val="004D523F"/>
    <w:rsid w:val="004D57C0"/>
    <w:rsid w:val="004D5A62"/>
    <w:rsid w:val="004D5CC0"/>
    <w:rsid w:val="004D6671"/>
    <w:rsid w:val="004D6A7C"/>
    <w:rsid w:val="004D71CA"/>
    <w:rsid w:val="004D7DFA"/>
    <w:rsid w:val="004E0EE9"/>
    <w:rsid w:val="004E1AD6"/>
    <w:rsid w:val="004E2258"/>
    <w:rsid w:val="004E2936"/>
    <w:rsid w:val="004E293F"/>
    <w:rsid w:val="004E2992"/>
    <w:rsid w:val="004E2C52"/>
    <w:rsid w:val="004E2D37"/>
    <w:rsid w:val="004E321A"/>
    <w:rsid w:val="004E41E8"/>
    <w:rsid w:val="004E4E26"/>
    <w:rsid w:val="004E5A25"/>
    <w:rsid w:val="004E5C23"/>
    <w:rsid w:val="004E5C2A"/>
    <w:rsid w:val="004F1204"/>
    <w:rsid w:val="004F158A"/>
    <w:rsid w:val="004F190D"/>
    <w:rsid w:val="004F2057"/>
    <w:rsid w:val="004F21E0"/>
    <w:rsid w:val="004F238A"/>
    <w:rsid w:val="004F277A"/>
    <w:rsid w:val="004F2B70"/>
    <w:rsid w:val="004F2ED1"/>
    <w:rsid w:val="004F2F12"/>
    <w:rsid w:val="004F32F0"/>
    <w:rsid w:val="004F3960"/>
    <w:rsid w:val="004F4CAC"/>
    <w:rsid w:val="004F6A71"/>
    <w:rsid w:val="004F72BD"/>
    <w:rsid w:val="004F7638"/>
    <w:rsid w:val="004F7B3B"/>
    <w:rsid w:val="004F7CA8"/>
    <w:rsid w:val="00500541"/>
    <w:rsid w:val="00500608"/>
    <w:rsid w:val="0050108D"/>
    <w:rsid w:val="005011F5"/>
    <w:rsid w:val="005013C3"/>
    <w:rsid w:val="00501611"/>
    <w:rsid w:val="00501D3E"/>
    <w:rsid w:val="005026D0"/>
    <w:rsid w:val="00503893"/>
    <w:rsid w:val="00503D62"/>
    <w:rsid w:val="00503EFC"/>
    <w:rsid w:val="00504E55"/>
    <w:rsid w:val="00506152"/>
    <w:rsid w:val="005066F6"/>
    <w:rsid w:val="00507AA6"/>
    <w:rsid w:val="005101E2"/>
    <w:rsid w:val="00510633"/>
    <w:rsid w:val="0051087F"/>
    <w:rsid w:val="005112F4"/>
    <w:rsid w:val="00511843"/>
    <w:rsid w:val="00511B25"/>
    <w:rsid w:val="00512EF4"/>
    <w:rsid w:val="00513A35"/>
    <w:rsid w:val="00513D71"/>
    <w:rsid w:val="00513DF9"/>
    <w:rsid w:val="005147E0"/>
    <w:rsid w:val="00514AB6"/>
    <w:rsid w:val="005161AA"/>
    <w:rsid w:val="00516344"/>
    <w:rsid w:val="005164F4"/>
    <w:rsid w:val="005169E7"/>
    <w:rsid w:val="00516EA1"/>
    <w:rsid w:val="00517139"/>
    <w:rsid w:val="00517217"/>
    <w:rsid w:val="0051779D"/>
    <w:rsid w:val="00521189"/>
    <w:rsid w:val="0052203E"/>
    <w:rsid w:val="00522BA0"/>
    <w:rsid w:val="00522E7B"/>
    <w:rsid w:val="0052322B"/>
    <w:rsid w:val="0052376B"/>
    <w:rsid w:val="00523933"/>
    <w:rsid w:val="0052399C"/>
    <w:rsid w:val="00523D11"/>
    <w:rsid w:val="00525234"/>
    <w:rsid w:val="00527319"/>
    <w:rsid w:val="0052757F"/>
    <w:rsid w:val="005275BD"/>
    <w:rsid w:val="005279C9"/>
    <w:rsid w:val="00530039"/>
    <w:rsid w:val="0053018F"/>
    <w:rsid w:val="00530728"/>
    <w:rsid w:val="00531266"/>
    <w:rsid w:val="0053177C"/>
    <w:rsid w:val="0053212F"/>
    <w:rsid w:val="00532609"/>
    <w:rsid w:val="00532DD2"/>
    <w:rsid w:val="0053359D"/>
    <w:rsid w:val="0053384B"/>
    <w:rsid w:val="00533A64"/>
    <w:rsid w:val="00534000"/>
    <w:rsid w:val="00536AFA"/>
    <w:rsid w:val="00536ECA"/>
    <w:rsid w:val="00541409"/>
    <w:rsid w:val="00541B47"/>
    <w:rsid w:val="005433D1"/>
    <w:rsid w:val="00543641"/>
    <w:rsid w:val="0054406E"/>
    <w:rsid w:val="005442CF"/>
    <w:rsid w:val="0054437B"/>
    <w:rsid w:val="0054498B"/>
    <w:rsid w:val="0054547D"/>
    <w:rsid w:val="005457E0"/>
    <w:rsid w:val="005462DA"/>
    <w:rsid w:val="00547F39"/>
    <w:rsid w:val="00550B22"/>
    <w:rsid w:val="00550BD2"/>
    <w:rsid w:val="00550FE3"/>
    <w:rsid w:val="00551A14"/>
    <w:rsid w:val="00552FD7"/>
    <w:rsid w:val="0055305D"/>
    <w:rsid w:val="00553061"/>
    <w:rsid w:val="00553238"/>
    <w:rsid w:val="005537FB"/>
    <w:rsid w:val="00553B11"/>
    <w:rsid w:val="00554164"/>
    <w:rsid w:val="0055470C"/>
    <w:rsid w:val="005564D5"/>
    <w:rsid w:val="00557764"/>
    <w:rsid w:val="0056041A"/>
    <w:rsid w:val="00560786"/>
    <w:rsid w:val="00561451"/>
    <w:rsid w:val="0056212B"/>
    <w:rsid w:val="00562CAB"/>
    <w:rsid w:val="00562F08"/>
    <w:rsid w:val="00563E1D"/>
    <w:rsid w:val="0056486F"/>
    <w:rsid w:val="00566E02"/>
    <w:rsid w:val="00567CF2"/>
    <w:rsid w:val="005700E4"/>
    <w:rsid w:val="00570A88"/>
    <w:rsid w:val="00570AD3"/>
    <w:rsid w:val="00570C56"/>
    <w:rsid w:val="00571094"/>
    <w:rsid w:val="0057122E"/>
    <w:rsid w:val="00572203"/>
    <w:rsid w:val="005722B3"/>
    <w:rsid w:val="00572AE8"/>
    <w:rsid w:val="005742E2"/>
    <w:rsid w:val="00574489"/>
    <w:rsid w:val="00574E79"/>
    <w:rsid w:val="005755AA"/>
    <w:rsid w:val="00575621"/>
    <w:rsid w:val="00576B4B"/>
    <w:rsid w:val="00576B53"/>
    <w:rsid w:val="00580F60"/>
    <w:rsid w:val="005810BA"/>
    <w:rsid w:val="00583115"/>
    <w:rsid w:val="005831AC"/>
    <w:rsid w:val="005836A0"/>
    <w:rsid w:val="005839E2"/>
    <w:rsid w:val="00584320"/>
    <w:rsid w:val="00584B17"/>
    <w:rsid w:val="00584E51"/>
    <w:rsid w:val="0058512E"/>
    <w:rsid w:val="005854FD"/>
    <w:rsid w:val="00585D34"/>
    <w:rsid w:val="0058659F"/>
    <w:rsid w:val="00586865"/>
    <w:rsid w:val="0058720B"/>
    <w:rsid w:val="005878DD"/>
    <w:rsid w:val="005912F3"/>
    <w:rsid w:val="005917F2"/>
    <w:rsid w:val="0059268E"/>
    <w:rsid w:val="00592C7E"/>
    <w:rsid w:val="00592F4E"/>
    <w:rsid w:val="005931C4"/>
    <w:rsid w:val="00593452"/>
    <w:rsid w:val="00593FC3"/>
    <w:rsid w:val="005944D8"/>
    <w:rsid w:val="00594CCB"/>
    <w:rsid w:val="00595DF8"/>
    <w:rsid w:val="005966B4"/>
    <w:rsid w:val="00596D33"/>
    <w:rsid w:val="00597EBB"/>
    <w:rsid w:val="005A03EC"/>
    <w:rsid w:val="005A0BCC"/>
    <w:rsid w:val="005A1C93"/>
    <w:rsid w:val="005A207C"/>
    <w:rsid w:val="005A2537"/>
    <w:rsid w:val="005A2725"/>
    <w:rsid w:val="005A2B89"/>
    <w:rsid w:val="005A31D9"/>
    <w:rsid w:val="005A3442"/>
    <w:rsid w:val="005A374C"/>
    <w:rsid w:val="005A3B00"/>
    <w:rsid w:val="005A4335"/>
    <w:rsid w:val="005A553E"/>
    <w:rsid w:val="005A5930"/>
    <w:rsid w:val="005A690F"/>
    <w:rsid w:val="005A6915"/>
    <w:rsid w:val="005A70CD"/>
    <w:rsid w:val="005A7178"/>
    <w:rsid w:val="005A7320"/>
    <w:rsid w:val="005A7688"/>
    <w:rsid w:val="005A7814"/>
    <w:rsid w:val="005A7AF7"/>
    <w:rsid w:val="005A7BC7"/>
    <w:rsid w:val="005A7DB7"/>
    <w:rsid w:val="005B00EE"/>
    <w:rsid w:val="005B03C2"/>
    <w:rsid w:val="005B145C"/>
    <w:rsid w:val="005B1CD1"/>
    <w:rsid w:val="005B20E3"/>
    <w:rsid w:val="005B27C8"/>
    <w:rsid w:val="005B28CE"/>
    <w:rsid w:val="005B2EA1"/>
    <w:rsid w:val="005B2FDD"/>
    <w:rsid w:val="005B3FC5"/>
    <w:rsid w:val="005B46BB"/>
    <w:rsid w:val="005B4B9E"/>
    <w:rsid w:val="005B72C2"/>
    <w:rsid w:val="005C00AD"/>
    <w:rsid w:val="005C0B83"/>
    <w:rsid w:val="005C0FDA"/>
    <w:rsid w:val="005C23FE"/>
    <w:rsid w:val="005C31CD"/>
    <w:rsid w:val="005C361A"/>
    <w:rsid w:val="005C39DB"/>
    <w:rsid w:val="005C39E0"/>
    <w:rsid w:val="005C4A03"/>
    <w:rsid w:val="005C4DAB"/>
    <w:rsid w:val="005C4DE6"/>
    <w:rsid w:val="005C557E"/>
    <w:rsid w:val="005C56CD"/>
    <w:rsid w:val="005C64E0"/>
    <w:rsid w:val="005C785E"/>
    <w:rsid w:val="005C78F0"/>
    <w:rsid w:val="005D0519"/>
    <w:rsid w:val="005D0B70"/>
    <w:rsid w:val="005D0ED9"/>
    <w:rsid w:val="005D1083"/>
    <w:rsid w:val="005D139A"/>
    <w:rsid w:val="005D2234"/>
    <w:rsid w:val="005D37EE"/>
    <w:rsid w:val="005D38FD"/>
    <w:rsid w:val="005D4EE7"/>
    <w:rsid w:val="005D5BC0"/>
    <w:rsid w:val="005D6D2D"/>
    <w:rsid w:val="005D6E55"/>
    <w:rsid w:val="005D7AD0"/>
    <w:rsid w:val="005E0A4B"/>
    <w:rsid w:val="005E108A"/>
    <w:rsid w:val="005E1212"/>
    <w:rsid w:val="005E12CC"/>
    <w:rsid w:val="005E1AEF"/>
    <w:rsid w:val="005E203A"/>
    <w:rsid w:val="005E3D6A"/>
    <w:rsid w:val="005E3FC4"/>
    <w:rsid w:val="005E495F"/>
    <w:rsid w:val="005E4E0A"/>
    <w:rsid w:val="005F0583"/>
    <w:rsid w:val="005F0FE8"/>
    <w:rsid w:val="005F10C7"/>
    <w:rsid w:val="005F1825"/>
    <w:rsid w:val="005F1C8D"/>
    <w:rsid w:val="005F2242"/>
    <w:rsid w:val="005F2323"/>
    <w:rsid w:val="005F24F7"/>
    <w:rsid w:val="005F44B8"/>
    <w:rsid w:val="005F4E66"/>
    <w:rsid w:val="005F593A"/>
    <w:rsid w:val="005F5BE0"/>
    <w:rsid w:val="005F6204"/>
    <w:rsid w:val="005F6EA2"/>
    <w:rsid w:val="005F71A0"/>
    <w:rsid w:val="005F74E5"/>
    <w:rsid w:val="00600970"/>
    <w:rsid w:val="00600C18"/>
    <w:rsid w:val="006030E3"/>
    <w:rsid w:val="00604C5D"/>
    <w:rsid w:val="0060516A"/>
    <w:rsid w:val="00605521"/>
    <w:rsid w:val="006055B7"/>
    <w:rsid w:val="006055D1"/>
    <w:rsid w:val="00605AF7"/>
    <w:rsid w:val="006066E6"/>
    <w:rsid w:val="006069DB"/>
    <w:rsid w:val="00607060"/>
    <w:rsid w:val="006074F5"/>
    <w:rsid w:val="0060791E"/>
    <w:rsid w:val="00607DB2"/>
    <w:rsid w:val="00607EE6"/>
    <w:rsid w:val="00607F08"/>
    <w:rsid w:val="00610305"/>
    <w:rsid w:val="00610BEB"/>
    <w:rsid w:val="006117A1"/>
    <w:rsid w:val="00611854"/>
    <w:rsid w:val="006121B6"/>
    <w:rsid w:val="006127F1"/>
    <w:rsid w:val="006137F7"/>
    <w:rsid w:val="00613BA4"/>
    <w:rsid w:val="00615056"/>
    <w:rsid w:val="006150D5"/>
    <w:rsid w:val="00615F98"/>
    <w:rsid w:val="00617B33"/>
    <w:rsid w:val="00617DD6"/>
    <w:rsid w:val="0062029E"/>
    <w:rsid w:val="00620FB4"/>
    <w:rsid w:val="0062100B"/>
    <w:rsid w:val="0062118C"/>
    <w:rsid w:val="00621E29"/>
    <w:rsid w:val="00622578"/>
    <w:rsid w:val="006230EF"/>
    <w:rsid w:val="00623130"/>
    <w:rsid w:val="00623D7C"/>
    <w:rsid w:val="00625C53"/>
    <w:rsid w:val="00625F58"/>
    <w:rsid w:val="0062659A"/>
    <w:rsid w:val="006267F3"/>
    <w:rsid w:val="00626C5F"/>
    <w:rsid w:val="00627250"/>
    <w:rsid w:val="00627F10"/>
    <w:rsid w:val="00631A4A"/>
    <w:rsid w:val="00632CB2"/>
    <w:rsid w:val="00632F63"/>
    <w:rsid w:val="00633A8C"/>
    <w:rsid w:val="00633E58"/>
    <w:rsid w:val="0063430F"/>
    <w:rsid w:val="00636040"/>
    <w:rsid w:val="00636075"/>
    <w:rsid w:val="006367B0"/>
    <w:rsid w:val="00636F2F"/>
    <w:rsid w:val="00637F84"/>
    <w:rsid w:val="0064078A"/>
    <w:rsid w:val="00640DF7"/>
    <w:rsid w:val="0064258D"/>
    <w:rsid w:val="00642B3F"/>
    <w:rsid w:val="0064312C"/>
    <w:rsid w:val="006437D1"/>
    <w:rsid w:val="00644084"/>
    <w:rsid w:val="0064465A"/>
    <w:rsid w:val="00644753"/>
    <w:rsid w:val="006502A9"/>
    <w:rsid w:val="00650C57"/>
    <w:rsid w:val="00651924"/>
    <w:rsid w:val="0065250A"/>
    <w:rsid w:val="00652A1A"/>
    <w:rsid w:val="00653061"/>
    <w:rsid w:val="006533E4"/>
    <w:rsid w:val="0065362B"/>
    <w:rsid w:val="00653B08"/>
    <w:rsid w:val="0065455E"/>
    <w:rsid w:val="00655B25"/>
    <w:rsid w:val="006573AD"/>
    <w:rsid w:val="006579AB"/>
    <w:rsid w:val="00657ACC"/>
    <w:rsid w:val="006622ED"/>
    <w:rsid w:val="00662B33"/>
    <w:rsid w:val="00663848"/>
    <w:rsid w:val="00663A45"/>
    <w:rsid w:val="00663E20"/>
    <w:rsid w:val="00663E24"/>
    <w:rsid w:val="00663E52"/>
    <w:rsid w:val="00664412"/>
    <w:rsid w:val="00667F95"/>
    <w:rsid w:val="006701D0"/>
    <w:rsid w:val="00670395"/>
    <w:rsid w:val="006722F3"/>
    <w:rsid w:val="0067437C"/>
    <w:rsid w:val="006746FC"/>
    <w:rsid w:val="00674FC1"/>
    <w:rsid w:val="00675004"/>
    <w:rsid w:val="00675B56"/>
    <w:rsid w:val="00676E43"/>
    <w:rsid w:val="006779B9"/>
    <w:rsid w:val="00681209"/>
    <w:rsid w:val="006819A5"/>
    <w:rsid w:val="00682DD9"/>
    <w:rsid w:val="00683118"/>
    <w:rsid w:val="006840C4"/>
    <w:rsid w:val="006847DD"/>
    <w:rsid w:val="00684BC9"/>
    <w:rsid w:val="0068542E"/>
    <w:rsid w:val="00686624"/>
    <w:rsid w:val="00687B5C"/>
    <w:rsid w:val="00691C4E"/>
    <w:rsid w:val="0069304D"/>
    <w:rsid w:val="006937A9"/>
    <w:rsid w:val="00694362"/>
    <w:rsid w:val="00694975"/>
    <w:rsid w:val="00694CCA"/>
    <w:rsid w:val="00695AB9"/>
    <w:rsid w:val="00695E68"/>
    <w:rsid w:val="006961C9"/>
    <w:rsid w:val="0069623B"/>
    <w:rsid w:val="00696C93"/>
    <w:rsid w:val="00696E69"/>
    <w:rsid w:val="00696F97"/>
    <w:rsid w:val="00697CA3"/>
    <w:rsid w:val="006A0138"/>
    <w:rsid w:val="006A03F8"/>
    <w:rsid w:val="006A0425"/>
    <w:rsid w:val="006A04BB"/>
    <w:rsid w:val="006A3CE8"/>
    <w:rsid w:val="006A423B"/>
    <w:rsid w:val="006A51C0"/>
    <w:rsid w:val="006A51DA"/>
    <w:rsid w:val="006A7A6F"/>
    <w:rsid w:val="006B018B"/>
    <w:rsid w:val="006B0FC3"/>
    <w:rsid w:val="006B13DA"/>
    <w:rsid w:val="006B181A"/>
    <w:rsid w:val="006B1DED"/>
    <w:rsid w:val="006B20DD"/>
    <w:rsid w:val="006B2A22"/>
    <w:rsid w:val="006B32C8"/>
    <w:rsid w:val="006B3F32"/>
    <w:rsid w:val="006B433C"/>
    <w:rsid w:val="006B4590"/>
    <w:rsid w:val="006B45FA"/>
    <w:rsid w:val="006B507A"/>
    <w:rsid w:val="006B532A"/>
    <w:rsid w:val="006B742D"/>
    <w:rsid w:val="006B7E89"/>
    <w:rsid w:val="006C056A"/>
    <w:rsid w:val="006C0C2F"/>
    <w:rsid w:val="006C1138"/>
    <w:rsid w:val="006C12C9"/>
    <w:rsid w:val="006C1CE1"/>
    <w:rsid w:val="006C1EF4"/>
    <w:rsid w:val="006C28EB"/>
    <w:rsid w:val="006C4541"/>
    <w:rsid w:val="006C45AB"/>
    <w:rsid w:val="006C5E86"/>
    <w:rsid w:val="006C6016"/>
    <w:rsid w:val="006C6B2D"/>
    <w:rsid w:val="006C76B1"/>
    <w:rsid w:val="006C7ED9"/>
    <w:rsid w:val="006D0932"/>
    <w:rsid w:val="006D09E3"/>
    <w:rsid w:val="006D2107"/>
    <w:rsid w:val="006D21C8"/>
    <w:rsid w:val="006D243A"/>
    <w:rsid w:val="006D2621"/>
    <w:rsid w:val="006D2E69"/>
    <w:rsid w:val="006D39DF"/>
    <w:rsid w:val="006D46DD"/>
    <w:rsid w:val="006D4830"/>
    <w:rsid w:val="006D4C38"/>
    <w:rsid w:val="006D51B1"/>
    <w:rsid w:val="006D603B"/>
    <w:rsid w:val="006D630F"/>
    <w:rsid w:val="006D6543"/>
    <w:rsid w:val="006D686E"/>
    <w:rsid w:val="006D766C"/>
    <w:rsid w:val="006E07CE"/>
    <w:rsid w:val="006E28B2"/>
    <w:rsid w:val="006E3293"/>
    <w:rsid w:val="006E32FF"/>
    <w:rsid w:val="006E4801"/>
    <w:rsid w:val="006E4F98"/>
    <w:rsid w:val="006E534E"/>
    <w:rsid w:val="006E5797"/>
    <w:rsid w:val="006E5FD1"/>
    <w:rsid w:val="006F049A"/>
    <w:rsid w:val="006F0B47"/>
    <w:rsid w:val="006F2EB0"/>
    <w:rsid w:val="006F34B5"/>
    <w:rsid w:val="006F365B"/>
    <w:rsid w:val="006F48F0"/>
    <w:rsid w:val="006F4D99"/>
    <w:rsid w:val="006F54CA"/>
    <w:rsid w:val="006F550A"/>
    <w:rsid w:val="006F59CE"/>
    <w:rsid w:val="006F5B68"/>
    <w:rsid w:val="006F5FEC"/>
    <w:rsid w:val="006F65B7"/>
    <w:rsid w:val="006F679A"/>
    <w:rsid w:val="006F6DCA"/>
    <w:rsid w:val="006F7EF0"/>
    <w:rsid w:val="00700F08"/>
    <w:rsid w:val="00700FAA"/>
    <w:rsid w:val="00701130"/>
    <w:rsid w:val="00701AC8"/>
    <w:rsid w:val="007023C4"/>
    <w:rsid w:val="00702E27"/>
    <w:rsid w:val="00703A0C"/>
    <w:rsid w:val="00704792"/>
    <w:rsid w:val="00704E13"/>
    <w:rsid w:val="007053FC"/>
    <w:rsid w:val="00706053"/>
    <w:rsid w:val="00706A2F"/>
    <w:rsid w:val="007101B0"/>
    <w:rsid w:val="00711666"/>
    <w:rsid w:val="00711A23"/>
    <w:rsid w:val="00711DEC"/>
    <w:rsid w:val="0071250D"/>
    <w:rsid w:val="0071288B"/>
    <w:rsid w:val="00712CE6"/>
    <w:rsid w:val="00713D23"/>
    <w:rsid w:val="00715B30"/>
    <w:rsid w:val="00715EC4"/>
    <w:rsid w:val="0071650C"/>
    <w:rsid w:val="007204A4"/>
    <w:rsid w:val="00720BB1"/>
    <w:rsid w:val="00721FE0"/>
    <w:rsid w:val="007241D6"/>
    <w:rsid w:val="0072433D"/>
    <w:rsid w:val="00724DAC"/>
    <w:rsid w:val="0072547D"/>
    <w:rsid w:val="007257B2"/>
    <w:rsid w:val="007258D6"/>
    <w:rsid w:val="00727395"/>
    <w:rsid w:val="0072754A"/>
    <w:rsid w:val="00727717"/>
    <w:rsid w:val="007308B4"/>
    <w:rsid w:val="00732F75"/>
    <w:rsid w:val="007337FE"/>
    <w:rsid w:val="007350FE"/>
    <w:rsid w:val="00735958"/>
    <w:rsid w:val="00735FD9"/>
    <w:rsid w:val="00736039"/>
    <w:rsid w:val="0073614A"/>
    <w:rsid w:val="00736321"/>
    <w:rsid w:val="0073664C"/>
    <w:rsid w:val="00736975"/>
    <w:rsid w:val="00740823"/>
    <w:rsid w:val="00740E5D"/>
    <w:rsid w:val="007412A8"/>
    <w:rsid w:val="00741613"/>
    <w:rsid w:val="00743186"/>
    <w:rsid w:val="00743284"/>
    <w:rsid w:val="007439C5"/>
    <w:rsid w:val="00743E85"/>
    <w:rsid w:val="007449C3"/>
    <w:rsid w:val="0074566D"/>
    <w:rsid w:val="00745850"/>
    <w:rsid w:val="00745B2F"/>
    <w:rsid w:val="007460EF"/>
    <w:rsid w:val="007474DC"/>
    <w:rsid w:val="00747633"/>
    <w:rsid w:val="007478BB"/>
    <w:rsid w:val="00750C04"/>
    <w:rsid w:val="007510CC"/>
    <w:rsid w:val="00751F92"/>
    <w:rsid w:val="00752022"/>
    <w:rsid w:val="00752485"/>
    <w:rsid w:val="00752DBF"/>
    <w:rsid w:val="007532EA"/>
    <w:rsid w:val="00754959"/>
    <w:rsid w:val="00755472"/>
    <w:rsid w:val="00755735"/>
    <w:rsid w:val="00755B90"/>
    <w:rsid w:val="00756E31"/>
    <w:rsid w:val="007571D0"/>
    <w:rsid w:val="007604E5"/>
    <w:rsid w:val="007611B6"/>
    <w:rsid w:val="00761FA1"/>
    <w:rsid w:val="00762CEA"/>
    <w:rsid w:val="007633FE"/>
    <w:rsid w:val="007643A1"/>
    <w:rsid w:val="007666CA"/>
    <w:rsid w:val="0077086A"/>
    <w:rsid w:val="00771EE3"/>
    <w:rsid w:val="007721F2"/>
    <w:rsid w:val="007723EF"/>
    <w:rsid w:val="00772472"/>
    <w:rsid w:val="007726AC"/>
    <w:rsid w:val="00773701"/>
    <w:rsid w:val="00774A8E"/>
    <w:rsid w:val="007758E9"/>
    <w:rsid w:val="007759A3"/>
    <w:rsid w:val="00775D92"/>
    <w:rsid w:val="007802A0"/>
    <w:rsid w:val="00780366"/>
    <w:rsid w:val="00780411"/>
    <w:rsid w:val="007806B1"/>
    <w:rsid w:val="0078074B"/>
    <w:rsid w:val="00780B2D"/>
    <w:rsid w:val="007813EB"/>
    <w:rsid w:val="007826BC"/>
    <w:rsid w:val="007827D6"/>
    <w:rsid w:val="00782BC4"/>
    <w:rsid w:val="007832A3"/>
    <w:rsid w:val="007832AE"/>
    <w:rsid w:val="00783C8B"/>
    <w:rsid w:val="007845C3"/>
    <w:rsid w:val="0078707D"/>
    <w:rsid w:val="0078723F"/>
    <w:rsid w:val="00787848"/>
    <w:rsid w:val="00790252"/>
    <w:rsid w:val="00790628"/>
    <w:rsid w:val="00790677"/>
    <w:rsid w:val="0079123A"/>
    <w:rsid w:val="00791AC1"/>
    <w:rsid w:val="00792310"/>
    <w:rsid w:val="007924D8"/>
    <w:rsid w:val="00792D61"/>
    <w:rsid w:val="00794337"/>
    <w:rsid w:val="00794C9B"/>
    <w:rsid w:val="00794D61"/>
    <w:rsid w:val="00794EAF"/>
    <w:rsid w:val="007956FA"/>
    <w:rsid w:val="00796042"/>
    <w:rsid w:val="00796172"/>
    <w:rsid w:val="0079635D"/>
    <w:rsid w:val="00796733"/>
    <w:rsid w:val="007972EF"/>
    <w:rsid w:val="00797483"/>
    <w:rsid w:val="0079777D"/>
    <w:rsid w:val="00797B1F"/>
    <w:rsid w:val="007A074A"/>
    <w:rsid w:val="007A19EC"/>
    <w:rsid w:val="007A1B23"/>
    <w:rsid w:val="007A1FED"/>
    <w:rsid w:val="007A2330"/>
    <w:rsid w:val="007A274F"/>
    <w:rsid w:val="007A2853"/>
    <w:rsid w:val="007A2930"/>
    <w:rsid w:val="007A3B68"/>
    <w:rsid w:val="007A3D45"/>
    <w:rsid w:val="007A5CDB"/>
    <w:rsid w:val="007B0385"/>
    <w:rsid w:val="007B0CFC"/>
    <w:rsid w:val="007B2474"/>
    <w:rsid w:val="007B4836"/>
    <w:rsid w:val="007B49B2"/>
    <w:rsid w:val="007B5847"/>
    <w:rsid w:val="007B74AD"/>
    <w:rsid w:val="007B792A"/>
    <w:rsid w:val="007B7B64"/>
    <w:rsid w:val="007C014F"/>
    <w:rsid w:val="007C02BB"/>
    <w:rsid w:val="007C1564"/>
    <w:rsid w:val="007C3D6F"/>
    <w:rsid w:val="007C50D5"/>
    <w:rsid w:val="007C538D"/>
    <w:rsid w:val="007C631D"/>
    <w:rsid w:val="007C670A"/>
    <w:rsid w:val="007C68EA"/>
    <w:rsid w:val="007C7A5E"/>
    <w:rsid w:val="007D03E5"/>
    <w:rsid w:val="007D056D"/>
    <w:rsid w:val="007D13A3"/>
    <w:rsid w:val="007D1C13"/>
    <w:rsid w:val="007D1FB1"/>
    <w:rsid w:val="007D1FB9"/>
    <w:rsid w:val="007D4DBE"/>
    <w:rsid w:val="007D646D"/>
    <w:rsid w:val="007D6533"/>
    <w:rsid w:val="007D68E5"/>
    <w:rsid w:val="007D6F65"/>
    <w:rsid w:val="007D722B"/>
    <w:rsid w:val="007D7812"/>
    <w:rsid w:val="007D78F4"/>
    <w:rsid w:val="007D7B86"/>
    <w:rsid w:val="007D7BAE"/>
    <w:rsid w:val="007E0AB8"/>
    <w:rsid w:val="007E179D"/>
    <w:rsid w:val="007E1952"/>
    <w:rsid w:val="007E20BF"/>
    <w:rsid w:val="007E312B"/>
    <w:rsid w:val="007E464F"/>
    <w:rsid w:val="007E4E58"/>
    <w:rsid w:val="007E5C33"/>
    <w:rsid w:val="007E7338"/>
    <w:rsid w:val="007E74B0"/>
    <w:rsid w:val="007E757C"/>
    <w:rsid w:val="007E7CFD"/>
    <w:rsid w:val="007F0801"/>
    <w:rsid w:val="007F097A"/>
    <w:rsid w:val="007F103D"/>
    <w:rsid w:val="007F120B"/>
    <w:rsid w:val="007F14AD"/>
    <w:rsid w:val="007F18D2"/>
    <w:rsid w:val="007F1BF0"/>
    <w:rsid w:val="007F1E23"/>
    <w:rsid w:val="007F1EE8"/>
    <w:rsid w:val="007F2527"/>
    <w:rsid w:val="007F27DB"/>
    <w:rsid w:val="007F2E6C"/>
    <w:rsid w:val="007F2F67"/>
    <w:rsid w:val="007F33C3"/>
    <w:rsid w:val="007F4398"/>
    <w:rsid w:val="007F485F"/>
    <w:rsid w:val="007F4944"/>
    <w:rsid w:val="007F4C82"/>
    <w:rsid w:val="007F4CA3"/>
    <w:rsid w:val="007F5F56"/>
    <w:rsid w:val="007F632D"/>
    <w:rsid w:val="007F659A"/>
    <w:rsid w:val="007F6D0D"/>
    <w:rsid w:val="007F777C"/>
    <w:rsid w:val="007F7B7B"/>
    <w:rsid w:val="007F7F07"/>
    <w:rsid w:val="00800997"/>
    <w:rsid w:val="00800B8D"/>
    <w:rsid w:val="00800F4A"/>
    <w:rsid w:val="0080181F"/>
    <w:rsid w:val="008018B9"/>
    <w:rsid w:val="00802742"/>
    <w:rsid w:val="008037C0"/>
    <w:rsid w:val="00803CD7"/>
    <w:rsid w:val="00805B04"/>
    <w:rsid w:val="00807CE4"/>
    <w:rsid w:val="0081079D"/>
    <w:rsid w:val="008107ED"/>
    <w:rsid w:val="008108E6"/>
    <w:rsid w:val="00810D0B"/>
    <w:rsid w:val="00811E07"/>
    <w:rsid w:val="008123AD"/>
    <w:rsid w:val="0081290E"/>
    <w:rsid w:val="00813B73"/>
    <w:rsid w:val="00814593"/>
    <w:rsid w:val="008154C7"/>
    <w:rsid w:val="00815DFD"/>
    <w:rsid w:val="00816A34"/>
    <w:rsid w:val="008176A5"/>
    <w:rsid w:val="008179DA"/>
    <w:rsid w:val="0082062B"/>
    <w:rsid w:val="00820E64"/>
    <w:rsid w:val="00821438"/>
    <w:rsid w:val="00821473"/>
    <w:rsid w:val="00821D7B"/>
    <w:rsid w:val="00823ED4"/>
    <w:rsid w:val="00824250"/>
    <w:rsid w:val="00824F7D"/>
    <w:rsid w:val="0082654E"/>
    <w:rsid w:val="008266A4"/>
    <w:rsid w:val="00827150"/>
    <w:rsid w:val="0083018E"/>
    <w:rsid w:val="008302E6"/>
    <w:rsid w:val="008305ED"/>
    <w:rsid w:val="00830ECC"/>
    <w:rsid w:val="008327AF"/>
    <w:rsid w:val="00832EFA"/>
    <w:rsid w:val="00833214"/>
    <w:rsid w:val="008332A1"/>
    <w:rsid w:val="008343AB"/>
    <w:rsid w:val="00834422"/>
    <w:rsid w:val="0083481E"/>
    <w:rsid w:val="00835077"/>
    <w:rsid w:val="00835EBD"/>
    <w:rsid w:val="008361BD"/>
    <w:rsid w:val="00836AB3"/>
    <w:rsid w:val="00836CBE"/>
    <w:rsid w:val="008377AB"/>
    <w:rsid w:val="00837C13"/>
    <w:rsid w:val="00837D77"/>
    <w:rsid w:val="00842C66"/>
    <w:rsid w:val="00844FDF"/>
    <w:rsid w:val="0084527E"/>
    <w:rsid w:val="0084664C"/>
    <w:rsid w:val="008469A7"/>
    <w:rsid w:val="00846B9A"/>
    <w:rsid w:val="00846F17"/>
    <w:rsid w:val="0084752F"/>
    <w:rsid w:val="008477DE"/>
    <w:rsid w:val="00847A47"/>
    <w:rsid w:val="00847B6F"/>
    <w:rsid w:val="00847CE2"/>
    <w:rsid w:val="0085040A"/>
    <w:rsid w:val="00850574"/>
    <w:rsid w:val="00850902"/>
    <w:rsid w:val="0085151E"/>
    <w:rsid w:val="00851E37"/>
    <w:rsid w:val="00852456"/>
    <w:rsid w:val="008529BD"/>
    <w:rsid w:val="008529C5"/>
    <w:rsid w:val="00852E45"/>
    <w:rsid w:val="00854171"/>
    <w:rsid w:val="00854398"/>
    <w:rsid w:val="008543E4"/>
    <w:rsid w:val="00854646"/>
    <w:rsid w:val="00856BDD"/>
    <w:rsid w:val="00856C9C"/>
    <w:rsid w:val="008579C6"/>
    <w:rsid w:val="008602B4"/>
    <w:rsid w:val="008605B6"/>
    <w:rsid w:val="00861B8C"/>
    <w:rsid w:val="00862EC8"/>
    <w:rsid w:val="00863772"/>
    <w:rsid w:val="00863D05"/>
    <w:rsid w:val="008644ED"/>
    <w:rsid w:val="00865706"/>
    <w:rsid w:val="00865BBE"/>
    <w:rsid w:val="00866157"/>
    <w:rsid w:val="00866B35"/>
    <w:rsid w:val="00867334"/>
    <w:rsid w:val="00867609"/>
    <w:rsid w:val="008701D9"/>
    <w:rsid w:val="00870318"/>
    <w:rsid w:val="00871BE4"/>
    <w:rsid w:val="0087222B"/>
    <w:rsid w:val="00873160"/>
    <w:rsid w:val="00875838"/>
    <w:rsid w:val="00876357"/>
    <w:rsid w:val="00877F0B"/>
    <w:rsid w:val="008801F1"/>
    <w:rsid w:val="008804C4"/>
    <w:rsid w:val="008808F0"/>
    <w:rsid w:val="00880F11"/>
    <w:rsid w:val="008811CF"/>
    <w:rsid w:val="0088183E"/>
    <w:rsid w:val="00881B2D"/>
    <w:rsid w:val="0088231B"/>
    <w:rsid w:val="00883B32"/>
    <w:rsid w:val="00884574"/>
    <w:rsid w:val="0088484E"/>
    <w:rsid w:val="00885514"/>
    <w:rsid w:val="00885D63"/>
    <w:rsid w:val="0088683E"/>
    <w:rsid w:val="008868F1"/>
    <w:rsid w:val="0088690E"/>
    <w:rsid w:val="00887337"/>
    <w:rsid w:val="00887A2A"/>
    <w:rsid w:val="00887CDE"/>
    <w:rsid w:val="00891379"/>
    <w:rsid w:val="008916D6"/>
    <w:rsid w:val="008920D0"/>
    <w:rsid w:val="00893483"/>
    <w:rsid w:val="00893749"/>
    <w:rsid w:val="00893A2D"/>
    <w:rsid w:val="00893F7F"/>
    <w:rsid w:val="00894572"/>
    <w:rsid w:val="00894D25"/>
    <w:rsid w:val="00894F3D"/>
    <w:rsid w:val="0089540A"/>
    <w:rsid w:val="00896124"/>
    <w:rsid w:val="0089796E"/>
    <w:rsid w:val="008A02D5"/>
    <w:rsid w:val="008A0977"/>
    <w:rsid w:val="008A09D6"/>
    <w:rsid w:val="008A19CB"/>
    <w:rsid w:val="008A2816"/>
    <w:rsid w:val="008A2923"/>
    <w:rsid w:val="008A2C0F"/>
    <w:rsid w:val="008A44AE"/>
    <w:rsid w:val="008A55A1"/>
    <w:rsid w:val="008A5AC7"/>
    <w:rsid w:val="008A5FE2"/>
    <w:rsid w:val="008A60D9"/>
    <w:rsid w:val="008A616A"/>
    <w:rsid w:val="008A62A1"/>
    <w:rsid w:val="008A6D03"/>
    <w:rsid w:val="008B002C"/>
    <w:rsid w:val="008B0742"/>
    <w:rsid w:val="008B0B7B"/>
    <w:rsid w:val="008B12D5"/>
    <w:rsid w:val="008B133B"/>
    <w:rsid w:val="008B15F8"/>
    <w:rsid w:val="008B2BB1"/>
    <w:rsid w:val="008B2DAA"/>
    <w:rsid w:val="008B302F"/>
    <w:rsid w:val="008B35D5"/>
    <w:rsid w:val="008B37F3"/>
    <w:rsid w:val="008B407D"/>
    <w:rsid w:val="008B47C2"/>
    <w:rsid w:val="008B4B15"/>
    <w:rsid w:val="008B4D37"/>
    <w:rsid w:val="008B5024"/>
    <w:rsid w:val="008B52D6"/>
    <w:rsid w:val="008B5509"/>
    <w:rsid w:val="008B7324"/>
    <w:rsid w:val="008B759F"/>
    <w:rsid w:val="008B7AF1"/>
    <w:rsid w:val="008C057A"/>
    <w:rsid w:val="008C0D65"/>
    <w:rsid w:val="008C2AFF"/>
    <w:rsid w:val="008C2BF9"/>
    <w:rsid w:val="008C32D6"/>
    <w:rsid w:val="008C39AB"/>
    <w:rsid w:val="008C3B91"/>
    <w:rsid w:val="008C4A22"/>
    <w:rsid w:val="008C4A93"/>
    <w:rsid w:val="008C4D23"/>
    <w:rsid w:val="008C4F4A"/>
    <w:rsid w:val="008C51ED"/>
    <w:rsid w:val="008C535F"/>
    <w:rsid w:val="008C6AB6"/>
    <w:rsid w:val="008C6DC4"/>
    <w:rsid w:val="008C73F3"/>
    <w:rsid w:val="008C7479"/>
    <w:rsid w:val="008C781B"/>
    <w:rsid w:val="008C7872"/>
    <w:rsid w:val="008C7F10"/>
    <w:rsid w:val="008D02FE"/>
    <w:rsid w:val="008D0690"/>
    <w:rsid w:val="008D0916"/>
    <w:rsid w:val="008D0C4B"/>
    <w:rsid w:val="008D25E0"/>
    <w:rsid w:val="008D299F"/>
    <w:rsid w:val="008D3546"/>
    <w:rsid w:val="008D3A9D"/>
    <w:rsid w:val="008D3B09"/>
    <w:rsid w:val="008D4121"/>
    <w:rsid w:val="008D416C"/>
    <w:rsid w:val="008D4D10"/>
    <w:rsid w:val="008D5653"/>
    <w:rsid w:val="008D668E"/>
    <w:rsid w:val="008D6E0E"/>
    <w:rsid w:val="008D773F"/>
    <w:rsid w:val="008E00D2"/>
    <w:rsid w:val="008E03EF"/>
    <w:rsid w:val="008E0F46"/>
    <w:rsid w:val="008E1912"/>
    <w:rsid w:val="008E19BA"/>
    <w:rsid w:val="008E3634"/>
    <w:rsid w:val="008E3766"/>
    <w:rsid w:val="008E3893"/>
    <w:rsid w:val="008E45CB"/>
    <w:rsid w:val="008E4E78"/>
    <w:rsid w:val="008E6AF5"/>
    <w:rsid w:val="008E75E1"/>
    <w:rsid w:val="008E77AC"/>
    <w:rsid w:val="008F004C"/>
    <w:rsid w:val="008F0900"/>
    <w:rsid w:val="008F1E42"/>
    <w:rsid w:val="008F1F2F"/>
    <w:rsid w:val="008F20D7"/>
    <w:rsid w:val="008F2114"/>
    <w:rsid w:val="008F384F"/>
    <w:rsid w:val="008F4604"/>
    <w:rsid w:val="008F5EA2"/>
    <w:rsid w:val="008F692E"/>
    <w:rsid w:val="008F6C48"/>
    <w:rsid w:val="008F78C8"/>
    <w:rsid w:val="009007EF"/>
    <w:rsid w:val="009008D5"/>
    <w:rsid w:val="009009C6"/>
    <w:rsid w:val="00900B71"/>
    <w:rsid w:val="00900E95"/>
    <w:rsid w:val="0090166F"/>
    <w:rsid w:val="009026BB"/>
    <w:rsid w:val="00902C5E"/>
    <w:rsid w:val="00903027"/>
    <w:rsid w:val="00903418"/>
    <w:rsid w:val="0090418B"/>
    <w:rsid w:val="00904238"/>
    <w:rsid w:val="00904B6B"/>
    <w:rsid w:val="00904E5F"/>
    <w:rsid w:val="00905787"/>
    <w:rsid w:val="0090672B"/>
    <w:rsid w:val="00906E99"/>
    <w:rsid w:val="009075E8"/>
    <w:rsid w:val="009104C4"/>
    <w:rsid w:val="00911615"/>
    <w:rsid w:val="00911663"/>
    <w:rsid w:val="00911784"/>
    <w:rsid w:val="0091199C"/>
    <w:rsid w:val="009121E7"/>
    <w:rsid w:val="00912C62"/>
    <w:rsid w:val="0091362E"/>
    <w:rsid w:val="009141CB"/>
    <w:rsid w:val="00914978"/>
    <w:rsid w:val="00914B54"/>
    <w:rsid w:val="00914FE9"/>
    <w:rsid w:val="0091582B"/>
    <w:rsid w:val="00915F5C"/>
    <w:rsid w:val="009167E8"/>
    <w:rsid w:val="00920FE1"/>
    <w:rsid w:val="009217C5"/>
    <w:rsid w:val="00921E08"/>
    <w:rsid w:val="0092207B"/>
    <w:rsid w:val="009222DB"/>
    <w:rsid w:val="009226DC"/>
    <w:rsid w:val="00922C8C"/>
    <w:rsid w:val="00924742"/>
    <w:rsid w:val="00925194"/>
    <w:rsid w:val="00925E4E"/>
    <w:rsid w:val="009268AB"/>
    <w:rsid w:val="00927E5A"/>
    <w:rsid w:val="00930DED"/>
    <w:rsid w:val="00931600"/>
    <w:rsid w:val="00931959"/>
    <w:rsid w:val="00931ACC"/>
    <w:rsid w:val="0093252C"/>
    <w:rsid w:val="00933086"/>
    <w:rsid w:val="0093343B"/>
    <w:rsid w:val="00933C56"/>
    <w:rsid w:val="00935370"/>
    <w:rsid w:val="0093550D"/>
    <w:rsid w:val="009356D6"/>
    <w:rsid w:val="009357E9"/>
    <w:rsid w:val="00935A88"/>
    <w:rsid w:val="00936683"/>
    <w:rsid w:val="009376C4"/>
    <w:rsid w:val="0094006D"/>
    <w:rsid w:val="00941943"/>
    <w:rsid w:val="00944803"/>
    <w:rsid w:val="00944F0A"/>
    <w:rsid w:val="00945039"/>
    <w:rsid w:val="009465F2"/>
    <w:rsid w:val="00946F8B"/>
    <w:rsid w:val="00947EF0"/>
    <w:rsid w:val="009503F3"/>
    <w:rsid w:val="00950D29"/>
    <w:rsid w:val="009512DE"/>
    <w:rsid w:val="00951809"/>
    <w:rsid w:val="00951AC9"/>
    <w:rsid w:val="00951C7D"/>
    <w:rsid w:val="009539DB"/>
    <w:rsid w:val="00956926"/>
    <w:rsid w:val="00956F1C"/>
    <w:rsid w:val="00956FB6"/>
    <w:rsid w:val="00957400"/>
    <w:rsid w:val="00960176"/>
    <w:rsid w:val="00960879"/>
    <w:rsid w:val="00960E1C"/>
    <w:rsid w:val="0096144D"/>
    <w:rsid w:val="009614B5"/>
    <w:rsid w:val="00961587"/>
    <w:rsid w:val="00961D4F"/>
    <w:rsid w:val="009623EB"/>
    <w:rsid w:val="00962AB5"/>
    <w:rsid w:val="00963601"/>
    <w:rsid w:val="009644CD"/>
    <w:rsid w:val="0096534B"/>
    <w:rsid w:val="00967EDF"/>
    <w:rsid w:val="0097207D"/>
    <w:rsid w:val="00973C51"/>
    <w:rsid w:val="00973CC9"/>
    <w:rsid w:val="00974448"/>
    <w:rsid w:val="0097455F"/>
    <w:rsid w:val="009750C7"/>
    <w:rsid w:val="009751AD"/>
    <w:rsid w:val="00975B29"/>
    <w:rsid w:val="00976B06"/>
    <w:rsid w:val="00976FC2"/>
    <w:rsid w:val="0097702C"/>
    <w:rsid w:val="009770FE"/>
    <w:rsid w:val="00977DED"/>
    <w:rsid w:val="00980EE7"/>
    <w:rsid w:val="009814C1"/>
    <w:rsid w:val="009814E1"/>
    <w:rsid w:val="00981A18"/>
    <w:rsid w:val="00981C07"/>
    <w:rsid w:val="00981D4C"/>
    <w:rsid w:val="00982D0B"/>
    <w:rsid w:val="00983B18"/>
    <w:rsid w:val="00983FA0"/>
    <w:rsid w:val="009848EA"/>
    <w:rsid w:val="00984B61"/>
    <w:rsid w:val="009851E1"/>
    <w:rsid w:val="00985B85"/>
    <w:rsid w:val="00986BF4"/>
    <w:rsid w:val="0098740D"/>
    <w:rsid w:val="0098773B"/>
    <w:rsid w:val="00987C1F"/>
    <w:rsid w:val="009910DB"/>
    <w:rsid w:val="00992BA2"/>
    <w:rsid w:val="009938CE"/>
    <w:rsid w:val="00993C79"/>
    <w:rsid w:val="0099458F"/>
    <w:rsid w:val="0099476B"/>
    <w:rsid w:val="009949D1"/>
    <w:rsid w:val="0099676F"/>
    <w:rsid w:val="009967D2"/>
    <w:rsid w:val="00997338"/>
    <w:rsid w:val="00997579"/>
    <w:rsid w:val="009A012E"/>
    <w:rsid w:val="009A0C1F"/>
    <w:rsid w:val="009A1815"/>
    <w:rsid w:val="009A26D3"/>
    <w:rsid w:val="009A3275"/>
    <w:rsid w:val="009A3850"/>
    <w:rsid w:val="009A4350"/>
    <w:rsid w:val="009A7355"/>
    <w:rsid w:val="009A73D5"/>
    <w:rsid w:val="009B02A3"/>
    <w:rsid w:val="009B09DF"/>
    <w:rsid w:val="009B0DCB"/>
    <w:rsid w:val="009B1905"/>
    <w:rsid w:val="009B1FB8"/>
    <w:rsid w:val="009B2060"/>
    <w:rsid w:val="009B250D"/>
    <w:rsid w:val="009B34E5"/>
    <w:rsid w:val="009B4A7A"/>
    <w:rsid w:val="009B5018"/>
    <w:rsid w:val="009B5986"/>
    <w:rsid w:val="009B5A45"/>
    <w:rsid w:val="009B71DD"/>
    <w:rsid w:val="009B7888"/>
    <w:rsid w:val="009C0249"/>
    <w:rsid w:val="009C0651"/>
    <w:rsid w:val="009C0C9C"/>
    <w:rsid w:val="009C103B"/>
    <w:rsid w:val="009C12E0"/>
    <w:rsid w:val="009C17C2"/>
    <w:rsid w:val="009C1837"/>
    <w:rsid w:val="009C1A14"/>
    <w:rsid w:val="009C1ECB"/>
    <w:rsid w:val="009C294F"/>
    <w:rsid w:val="009C2D8E"/>
    <w:rsid w:val="009C357D"/>
    <w:rsid w:val="009C3CFC"/>
    <w:rsid w:val="009C421E"/>
    <w:rsid w:val="009C447D"/>
    <w:rsid w:val="009C4BE7"/>
    <w:rsid w:val="009C4EDA"/>
    <w:rsid w:val="009C518C"/>
    <w:rsid w:val="009C63EA"/>
    <w:rsid w:val="009C63EB"/>
    <w:rsid w:val="009C6F9B"/>
    <w:rsid w:val="009C75A6"/>
    <w:rsid w:val="009C7A3D"/>
    <w:rsid w:val="009D0835"/>
    <w:rsid w:val="009D196A"/>
    <w:rsid w:val="009D1D6B"/>
    <w:rsid w:val="009D22CA"/>
    <w:rsid w:val="009D29BA"/>
    <w:rsid w:val="009D36C5"/>
    <w:rsid w:val="009D3E8A"/>
    <w:rsid w:val="009D4823"/>
    <w:rsid w:val="009D49D4"/>
    <w:rsid w:val="009D5386"/>
    <w:rsid w:val="009D5637"/>
    <w:rsid w:val="009D6E87"/>
    <w:rsid w:val="009D71FD"/>
    <w:rsid w:val="009D7925"/>
    <w:rsid w:val="009D7C64"/>
    <w:rsid w:val="009D7E9E"/>
    <w:rsid w:val="009E01F5"/>
    <w:rsid w:val="009E0412"/>
    <w:rsid w:val="009E09C3"/>
    <w:rsid w:val="009E0C0C"/>
    <w:rsid w:val="009E0E9E"/>
    <w:rsid w:val="009E1E14"/>
    <w:rsid w:val="009E2780"/>
    <w:rsid w:val="009E484F"/>
    <w:rsid w:val="009F00AF"/>
    <w:rsid w:val="009F00CB"/>
    <w:rsid w:val="009F07BD"/>
    <w:rsid w:val="009F0CBE"/>
    <w:rsid w:val="009F1721"/>
    <w:rsid w:val="009F1F34"/>
    <w:rsid w:val="009F2171"/>
    <w:rsid w:val="009F22AB"/>
    <w:rsid w:val="009F2A80"/>
    <w:rsid w:val="009F3FFD"/>
    <w:rsid w:val="009F45DE"/>
    <w:rsid w:val="009F6532"/>
    <w:rsid w:val="009F6D7C"/>
    <w:rsid w:val="009F7679"/>
    <w:rsid w:val="009F7CAD"/>
    <w:rsid w:val="00A00A68"/>
    <w:rsid w:val="00A00AE4"/>
    <w:rsid w:val="00A0204E"/>
    <w:rsid w:val="00A04322"/>
    <w:rsid w:val="00A050BD"/>
    <w:rsid w:val="00A06E5A"/>
    <w:rsid w:val="00A0708C"/>
    <w:rsid w:val="00A07227"/>
    <w:rsid w:val="00A0751B"/>
    <w:rsid w:val="00A079C7"/>
    <w:rsid w:val="00A10743"/>
    <w:rsid w:val="00A11B9A"/>
    <w:rsid w:val="00A11C09"/>
    <w:rsid w:val="00A11D52"/>
    <w:rsid w:val="00A12127"/>
    <w:rsid w:val="00A1278C"/>
    <w:rsid w:val="00A133B5"/>
    <w:rsid w:val="00A13668"/>
    <w:rsid w:val="00A1394A"/>
    <w:rsid w:val="00A13A11"/>
    <w:rsid w:val="00A1407C"/>
    <w:rsid w:val="00A14EB8"/>
    <w:rsid w:val="00A17318"/>
    <w:rsid w:val="00A1743E"/>
    <w:rsid w:val="00A20699"/>
    <w:rsid w:val="00A21968"/>
    <w:rsid w:val="00A21D03"/>
    <w:rsid w:val="00A22155"/>
    <w:rsid w:val="00A221A7"/>
    <w:rsid w:val="00A23BD0"/>
    <w:rsid w:val="00A24066"/>
    <w:rsid w:val="00A2502E"/>
    <w:rsid w:val="00A25073"/>
    <w:rsid w:val="00A2543D"/>
    <w:rsid w:val="00A26C45"/>
    <w:rsid w:val="00A3021B"/>
    <w:rsid w:val="00A323EB"/>
    <w:rsid w:val="00A32839"/>
    <w:rsid w:val="00A33694"/>
    <w:rsid w:val="00A33794"/>
    <w:rsid w:val="00A33F68"/>
    <w:rsid w:val="00A34764"/>
    <w:rsid w:val="00A34F88"/>
    <w:rsid w:val="00A35DB7"/>
    <w:rsid w:val="00A3602D"/>
    <w:rsid w:val="00A365B9"/>
    <w:rsid w:val="00A37C63"/>
    <w:rsid w:val="00A4047A"/>
    <w:rsid w:val="00A40EEA"/>
    <w:rsid w:val="00A41531"/>
    <w:rsid w:val="00A42283"/>
    <w:rsid w:val="00A4228B"/>
    <w:rsid w:val="00A43630"/>
    <w:rsid w:val="00A437C3"/>
    <w:rsid w:val="00A45421"/>
    <w:rsid w:val="00A45E5B"/>
    <w:rsid w:val="00A470E1"/>
    <w:rsid w:val="00A50380"/>
    <w:rsid w:val="00A50557"/>
    <w:rsid w:val="00A50DC8"/>
    <w:rsid w:val="00A50F13"/>
    <w:rsid w:val="00A537D0"/>
    <w:rsid w:val="00A57241"/>
    <w:rsid w:val="00A57412"/>
    <w:rsid w:val="00A60100"/>
    <w:rsid w:val="00A60220"/>
    <w:rsid w:val="00A60273"/>
    <w:rsid w:val="00A61E82"/>
    <w:rsid w:val="00A624D2"/>
    <w:rsid w:val="00A63C81"/>
    <w:rsid w:val="00A6445C"/>
    <w:rsid w:val="00A649C7"/>
    <w:rsid w:val="00A64A18"/>
    <w:rsid w:val="00A64DD5"/>
    <w:rsid w:val="00A6532A"/>
    <w:rsid w:val="00A65AB3"/>
    <w:rsid w:val="00A65D0E"/>
    <w:rsid w:val="00A66A54"/>
    <w:rsid w:val="00A675EB"/>
    <w:rsid w:val="00A677BA"/>
    <w:rsid w:val="00A67E64"/>
    <w:rsid w:val="00A67EDC"/>
    <w:rsid w:val="00A70E2A"/>
    <w:rsid w:val="00A70EC5"/>
    <w:rsid w:val="00A7182F"/>
    <w:rsid w:val="00A71A4B"/>
    <w:rsid w:val="00A73611"/>
    <w:rsid w:val="00A7369F"/>
    <w:rsid w:val="00A74255"/>
    <w:rsid w:val="00A74306"/>
    <w:rsid w:val="00A74CA8"/>
    <w:rsid w:val="00A7507B"/>
    <w:rsid w:val="00A75A26"/>
    <w:rsid w:val="00A76A5B"/>
    <w:rsid w:val="00A76CDC"/>
    <w:rsid w:val="00A77B29"/>
    <w:rsid w:val="00A80E1E"/>
    <w:rsid w:val="00A813F0"/>
    <w:rsid w:val="00A821F1"/>
    <w:rsid w:val="00A8232F"/>
    <w:rsid w:val="00A82402"/>
    <w:rsid w:val="00A82556"/>
    <w:rsid w:val="00A828D0"/>
    <w:rsid w:val="00A82EC1"/>
    <w:rsid w:val="00A838E9"/>
    <w:rsid w:val="00A84EE7"/>
    <w:rsid w:val="00A855D7"/>
    <w:rsid w:val="00A85C16"/>
    <w:rsid w:val="00A85D11"/>
    <w:rsid w:val="00A90031"/>
    <w:rsid w:val="00A900DF"/>
    <w:rsid w:val="00A90345"/>
    <w:rsid w:val="00A9156D"/>
    <w:rsid w:val="00A917CF"/>
    <w:rsid w:val="00A91D26"/>
    <w:rsid w:val="00A91DBC"/>
    <w:rsid w:val="00A91DE5"/>
    <w:rsid w:val="00A922FF"/>
    <w:rsid w:val="00A923FB"/>
    <w:rsid w:val="00A92BB0"/>
    <w:rsid w:val="00A94178"/>
    <w:rsid w:val="00A946EA"/>
    <w:rsid w:val="00A95B33"/>
    <w:rsid w:val="00A95DA6"/>
    <w:rsid w:val="00A96A1D"/>
    <w:rsid w:val="00A97888"/>
    <w:rsid w:val="00AA040A"/>
    <w:rsid w:val="00AA0467"/>
    <w:rsid w:val="00AA108D"/>
    <w:rsid w:val="00AA1B1D"/>
    <w:rsid w:val="00AA1F30"/>
    <w:rsid w:val="00AA2143"/>
    <w:rsid w:val="00AA2381"/>
    <w:rsid w:val="00AA23E3"/>
    <w:rsid w:val="00AA277E"/>
    <w:rsid w:val="00AA2B7A"/>
    <w:rsid w:val="00AA35C7"/>
    <w:rsid w:val="00AA35D7"/>
    <w:rsid w:val="00AA4BA3"/>
    <w:rsid w:val="00AA5BB4"/>
    <w:rsid w:val="00AA6101"/>
    <w:rsid w:val="00AA795D"/>
    <w:rsid w:val="00AB0B4D"/>
    <w:rsid w:val="00AB0C5C"/>
    <w:rsid w:val="00AB1143"/>
    <w:rsid w:val="00AB1165"/>
    <w:rsid w:val="00AB148B"/>
    <w:rsid w:val="00AB1B63"/>
    <w:rsid w:val="00AB2051"/>
    <w:rsid w:val="00AB22B9"/>
    <w:rsid w:val="00AB2E3E"/>
    <w:rsid w:val="00AB37AE"/>
    <w:rsid w:val="00AB65B0"/>
    <w:rsid w:val="00AB6DE8"/>
    <w:rsid w:val="00AC06E2"/>
    <w:rsid w:val="00AC0DC9"/>
    <w:rsid w:val="00AC1BDC"/>
    <w:rsid w:val="00AC27AA"/>
    <w:rsid w:val="00AC3BC8"/>
    <w:rsid w:val="00AC4071"/>
    <w:rsid w:val="00AC4978"/>
    <w:rsid w:val="00AC5255"/>
    <w:rsid w:val="00AC53B1"/>
    <w:rsid w:val="00AC5737"/>
    <w:rsid w:val="00AC57B7"/>
    <w:rsid w:val="00AC58E1"/>
    <w:rsid w:val="00AC5A68"/>
    <w:rsid w:val="00AC6330"/>
    <w:rsid w:val="00AD01AD"/>
    <w:rsid w:val="00AD0660"/>
    <w:rsid w:val="00AD0742"/>
    <w:rsid w:val="00AD0B98"/>
    <w:rsid w:val="00AD0E14"/>
    <w:rsid w:val="00AD1FF0"/>
    <w:rsid w:val="00AD22B9"/>
    <w:rsid w:val="00AD3945"/>
    <w:rsid w:val="00AD4040"/>
    <w:rsid w:val="00AD43DB"/>
    <w:rsid w:val="00AD5231"/>
    <w:rsid w:val="00AD5435"/>
    <w:rsid w:val="00AD636F"/>
    <w:rsid w:val="00AD6BD2"/>
    <w:rsid w:val="00AD6DA1"/>
    <w:rsid w:val="00AD7621"/>
    <w:rsid w:val="00AD79EB"/>
    <w:rsid w:val="00AD7DB6"/>
    <w:rsid w:val="00AE0143"/>
    <w:rsid w:val="00AE0AFE"/>
    <w:rsid w:val="00AE1487"/>
    <w:rsid w:val="00AE1771"/>
    <w:rsid w:val="00AE1DF4"/>
    <w:rsid w:val="00AE247C"/>
    <w:rsid w:val="00AE278F"/>
    <w:rsid w:val="00AE3384"/>
    <w:rsid w:val="00AE3641"/>
    <w:rsid w:val="00AE37F6"/>
    <w:rsid w:val="00AE42FA"/>
    <w:rsid w:val="00AE46F9"/>
    <w:rsid w:val="00AE523D"/>
    <w:rsid w:val="00AE5C2B"/>
    <w:rsid w:val="00AE5E6A"/>
    <w:rsid w:val="00AE62EC"/>
    <w:rsid w:val="00AE670A"/>
    <w:rsid w:val="00AE7397"/>
    <w:rsid w:val="00AF0436"/>
    <w:rsid w:val="00AF11FA"/>
    <w:rsid w:val="00AF1431"/>
    <w:rsid w:val="00AF1633"/>
    <w:rsid w:val="00AF184D"/>
    <w:rsid w:val="00AF2911"/>
    <w:rsid w:val="00AF2D33"/>
    <w:rsid w:val="00AF4AB5"/>
    <w:rsid w:val="00AF56A9"/>
    <w:rsid w:val="00AF5C10"/>
    <w:rsid w:val="00AF5E4E"/>
    <w:rsid w:val="00AF631B"/>
    <w:rsid w:val="00AF6384"/>
    <w:rsid w:val="00AF6D57"/>
    <w:rsid w:val="00AF6E55"/>
    <w:rsid w:val="00AF7792"/>
    <w:rsid w:val="00AF79C9"/>
    <w:rsid w:val="00AF7EC9"/>
    <w:rsid w:val="00AF7F1D"/>
    <w:rsid w:val="00B0097B"/>
    <w:rsid w:val="00B0357C"/>
    <w:rsid w:val="00B038D9"/>
    <w:rsid w:val="00B03B42"/>
    <w:rsid w:val="00B03E31"/>
    <w:rsid w:val="00B04013"/>
    <w:rsid w:val="00B04401"/>
    <w:rsid w:val="00B04F60"/>
    <w:rsid w:val="00B05729"/>
    <w:rsid w:val="00B06AE9"/>
    <w:rsid w:val="00B06D54"/>
    <w:rsid w:val="00B0713E"/>
    <w:rsid w:val="00B105A5"/>
    <w:rsid w:val="00B107C4"/>
    <w:rsid w:val="00B10EEB"/>
    <w:rsid w:val="00B1248E"/>
    <w:rsid w:val="00B126DF"/>
    <w:rsid w:val="00B14340"/>
    <w:rsid w:val="00B17032"/>
    <w:rsid w:val="00B17536"/>
    <w:rsid w:val="00B20DC5"/>
    <w:rsid w:val="00B20E97"/>
    <w:rsid w:val="00B229F8"/>
    <w:rsid w:val="00B23821"/>
    <w:rsid w:val="00B23967"/>
    <w:rsid w:val="00B23BFF"/>
    <w:rsid w:val="00B248D2"/>
    <w:rsid w:val="00B24917"/>
    <w:rsid w:val="00B257FE"/>
    <w:rsid w:val="00B25993"/>
    <w:rsid w:val="00B30C58"/>
    <w:rsid w:val="00B33BB1"/>
    <w:rsid w:val="00B34888"/>
    <w:rsid w:val="00B34A54"/>
    <w:rsid w:val="00B35528"/>
    <w:rsid w:val="00B35D8E"/>
    <w:rsid w:val="00B36BFF"/>
    <w:rsid w:val="00B371FB"/>
    <w:rsid w:val="00B3723E"/>
    <w:rsid w:val="00B373E8"/>
    <w:rsid w:val="00B40FD7"/>
    <w:rsid w:val="00B41353"/>
    <w:rsid w:val="00B414D0"/>
    <w:rsid w:val="00B41B6D"/>
    <w:rsid w:val="00B42CA5"/>
    <w:rsid w:val="00B42F23"/>
    <w:rsid w:val="00B43036"/>
    <w:rsid w:val="00B4314C"/>
    <w:rsid w:val="00B432A2"/>
    <w:rsid w:val="00B442A0"/>
    <w:rsid w:val="00B44898"/>
    <w:rsid w:val="00B452D4"/>
    <w:rsid w:val="00B4562D"/>
    <w:rsid w:val="00B45AF0"/>
    <w:rsid w:val="00B45B7F"/>
    <w:rsid w:val="00B46382"/>
    <w:rsid w:val="00B4691C"/>
    <w:rsid w:val="00B46AA9"/>
    <w:rsid w:val="00B50BA0"/>
    <w:rsid w:val="00B51E11"/>
    <w:rsid w:val="00B52824"/>
    <w:rsid w:val="00B545FD"/>
    <w:rsid w:val="00B549A4"/>
    <w:rsid w:val="00B54A16"/>
    <w:rsid w:val="00B54BE8"/>
    <w:rsid w:val="00B54F30"/>
    <w:rsid w:val="00B55267"/>
    <w:rsid w:val="00B55904"/>
    <w:rsid w:val="00B577E4"/>
    <w:rsid w:val="00B5798D"/>
    <w:rsid w:val="00B604CA"/>
    <w:rsid w:val="00B604F0"/>
    <w:rsid w:val="00B60F68"/>
    <w:rsid w:val="00B60F85"/>
    <w:rsid w:val="00B611A0"/>
    <w:rsid w:val="00B61341"/>
    <w:rsid w:val="00B61455"/>
    <w:rsid w:val="00B62596"/>
    <w:rsid w:val="00B6298C"/>
    <w:rsid w:val="00B62A45"/>
    <w:rsid w:val="00B639C4"/>
    <w:rsid w:val="00B63B63"/>
    <w:rsid w:val="00B63E15"/>
    <w:rsid w:val="00B63E8D"/>
    <w:rsid w:val="00B6440F"/>
    <w:rsid w:val="00B64E70"/>
    <w:rsid w:val="00B65619"/>
    <w:rsid w:val="00B67BE9"/>
    <w:rsid w:val="00B70532"/>
    <w:rsid w:val="00B71105"/>
    <w:rsid w:val="00B725EC"/>
    <w:rsid w:val="00B72AEB"/>
    <w:rsid w:val="00B739C4"/>
    <w:rsid w:val="00B73F25"/>
    <w:rsid w:val="00B741B2"/>
    <w:rsid w:val="00B744A2"/>
    <w:rsid w:val="00B74CCB"/>
    <w:rsid w:val="00B74F96"/>
    <w:rsid w:val="00B74FE8"/>
    <w:rsid w:val="00B75047"/>
    <w:rsid w:val="00B75E1A"/>
    <w:rsid w:val="00B768AB"/>
    <w:rsid w:val="00B7773B"/>
    <w:rsid w:val="00B77843"/>
    <w:rsid w:val="00B77FAA"/>
    <w:rsid w:val="00B80413"/>
    <w:rsid w:val="00B8050A"/>
    <w:rsid w:val="00B8151D"/>
    <w:rsid w:val="00B81D08"/>
    <w:rsid w:val="00B834C7"/>
    <w:rsid w:val="00B83D45"/>
    <w:rsid w:val="00B84363"/>
    <w:rsid w:val="00B85C39"/>
    <w:rsid w:val="00B8621B"/>
    <w:rsid w:val="00B864DE"/>
    <w:rsid w:val="00B868E3"/>
    <w:rsid w:val="00B86D85"/>
    <w:rsid w:val="00B86E1A"/>
    <w:rsid w:val="00B8732C"/>
    <w:rsid w:val="00B91601"/>
    <w:rsid w:val="00B91D73"/>
    <w:rsid w:val="00B92EF3"/>
    <w:rsid w:val="00B92F81"/>
    <w:rsid w:val="00B9313F"/>
    <w:rsid w:val="00B947A5"/>
    <w:rsid w:val="00B9563E"/>
    <w:rsid w:val="00B95D31"/>
    <w:rsid w:val="00B95F14"/>
    <w:rsid w:val="00B9626B"/>
    <w:rsid w:val="00BA12B1"/>
    <w:rsid w:val="00BA1611"/>
    <w:rsid w:val="00BA1694"/>
    <w:rsid w:val="00BA1D5E"/>
    <w:rsid w:val="00BA23AC"/>
    <w:rsid w:val="00BA23E6"/>
    <w:rsid w:val="00BA2B17"/>
    <w:rsid w:val="00BA2F17"/>
    <w:rsid w:val="00BA3F13"/>
    <w:rsid w:val="00BA514D"/>
    <w:rsid w:val="00BA6B74"/>
    <w:rsid w:val="00BA799A"/>
    <w:rsid w:val="00BA7E4E"/>
    <w:rsid w:val="00BB02E1"/>
    <w:rsid w:val="00BB1672"/>
    <w:rsid w:val="00BB181D"/>
    <w:rsid w:val="00BB1A73"/>
    <w:rsid w:val="00BB1B5E"/>
    <w:rsid w:val="00BB1DD5"/>
    <w:rsid w:val="00BB1E16"/>
    <w:rsid w:val="00BB37BE"/>
    <w:rsid w:val="00BB488D"/>
    <w:rsid w:val="00BB559A"/>
    <w:rsid w:val="00BB69CF"/>
    <w:rsid w:val="00BB711D"/>
    <w:rsid w:val="00BB7DBE"/>
    <w:rsid w:val="00BB7E44"/>
    <w:rsid w:val="00BC0116"/>
    <w:rsid w:val="00BC11EC"/>
    <w:rsid w:val="00BC2269"/>
    <w:rsid w:val="00BC33FC"/>
    <w:rsid w:val="00BC4F6A"/>
    <w:rsid w:val="00BC509B"/>
    <w:rsid w:val="00BC64AE"/>
    <w:rsid w:val="00BC6BDB"/>
    <w:rsid w:val="00BC7EB4"/>
    <w:rsid w:val="00BD0ABB"/>
    <w:rsid w:val="00BD0EDA"/>
    <w:rsid w:val="00BD309B"/>
    <w:rsid w:val="00BD346D"/>
    <w:rsid w:val="00BD49BC"/>
    <w:rsid w:val="00BD4A08"/>
    <w:rsid w:val="00BD5700"/>
    <w:rsid w:val="00BD691D"/>
    <w:rsid w:val="00BD709C"/>
    <w:rsid w:val="00BD741E"/>
    <w:rsid w:val="00BD752B"/>
    <w:rsid w:val="00BD7F9B"/>
    <w:rsid w:val="00BE0493"/>
    <w:rsid w:val="00BE0544"/>
    <w:rsid w:val="00BE0849"/>
    <w:rsid w:val="00BE143A"/>
    <w:rsid w:val="00BE1FB9"/>
    <w:rsid w:val="00BE2799"/>
    <w:rsid w:val="00BE28FC"/>
    <w:rsid w:val="00BE3F99"/>
    <w:rsid w:val="00BE4745"/>
    <w:rsid w:val="00BE49C7"/>
    <w:rsid w:val="00BE6464"/>
    <w:rsid w:val="00BE6D77"/>
    <w:rsid w:val="00BE70CE"/>
    <w:rsid w:val="00BF02A7"/>
    <w:rsid w:val="00BF08AB"/>
    <w:rsid w:val="00BF1092"/>
    <w:rsid w:val="00BF337F"/>
    <w:rsid w:val="00BF344B"/>
    <w:rsid w:val="00BF41AB"/>
    <w:rsid w:val="00BF4B02"/>
    <w:rsid w:val="00BF4CB2"/>
    <w:rsid w:val="00BF4D2A"/>
    <w:rsid w:val="00BF5A7B"/>
    <w:rsid w:val="00BF5BEA"/>
    <w:rsid w:val="00BF70F0"/>
    <w:rsid w:val="00BF7A5D"/>
    <w:rsid w:val="00BF7BAC"/>
    <w:rsid w:val="00C00EEA"/>
    <w:rsid w:val="00C010F8"/>
    <w:rsid w:val="00C01CAD"/>
    <w:rsid w:val="00C0247F"/>
    <w:rsid w:val="00C02C38"/>
    <w:rsid w:val="00C03FB9"/>
    <w:rsid w:val="00C044AA"/>
    <w:rsid w:val="00C04660"/>
    <w:rsid w:val="00C050D9"/>
    <w:rsid w:val="00C052FD"/>
    <w:rsid w:val="00C0585F"/>
    <w:rsid w:val="00C061BD"/>
    <w:rsid w:val="00C062F8"/>
    <w:rsid w:val="00C0681C"/>
    <w:rsid w:val="00C06C08"/>
    <w:rsid w:val="00C07472"/>
    <w:rsid w:val="00C07C8E"/>
    <w:rsid w:val="00C1063D"/>
    <w:rsid w:val="00C115FA"/>
    <w:rsid w:val="00C126E4"/>
    <w:rsid w:val="00C1329B"/>
    <w:rsid w:val="00C13399"/>
    <w:rsid w:val="00C143D4"/>
    <w:rsid w:val="00C1455C"/>
    <w:rsid w:val="00C14EB0"/>
    <w:rsid w:val="00C169C4"/>
    <w:rsid w:val="00C16B46"/>
    <w:rsid w:val="00C16F67"/>
    <w:rsid w:val="00C16FE3"/>
    <w:rsid w:val="00C1740D"/>
    <w:rsid w:val="00C17553"/>
    <w:rsid w:val="00C17974"/>
    <w:rsid w:val="00C20175"/>
    <w:rsid w:val="00C2080C"/>
    <w:rsid w:val="00C214FE"/>
    <w:rsid w:val="00C21AE1"/>
    <w:rsid w:val="00C21EAA"/>
    <w:rsid w:val="00C2233F"/>
    <w:rsid w:val="00C23BD7"/>
    <w:rsid w:val="00C24C63"/>
    <w:rsid w:val="00C257C0"/>
    <w:rsid w:val="00C268EB"/>
    <w:rsid w:val="00C26DCF"/>
    <w:rsid w:val="00C27D3E"/>
    <w:rsid w:val="00C3159F"/>
    <w:rsid w:val="00C318C5"/>
    <w:rsid w:val="00C31AB3"/>
    <w:rsid w:val="00C321DD"/>
    <w:rsid w:val="00C32E2A"/>
    <w:rsid w:val="00C332A4"/>
    <w:rsid w:val="00C33324"/>
    <w:rsid w:val="00C337BF"/>
    <w:rsid w:val="00C34080"/>
    <w:rsid w:val="00C3471E"/>
    <w:rsid w:val="00C34859"/>
    <w:rsid w:val="00C35097"/>
    <w:rsid w:val="00C351AF"/>
    <w:rsid w:val="00C37AFB"/>
    <w:rsid w:val="00C40A89"/>
    <w:rsid w:val="00C41911"/>
    <w:rsid w:val="00C41D0F"/>
    <w:rsid w:val="00C41DAC"/>
    <w:rsid w:val="00C42352"/>
    <w:rsid w:val="00C42758"/>
    <w:rsid w:val="00C42E5D"/>
    <w:rsid w:val="00C44009"/>
    <w:rsid w:val="00C44241"/>
    <w:rsid w:val="00C44488"/>
    <w:rsid w:val="00C44F79"/>
    <w:rsid w:val="00C4550B"/>
    <w:rsid w:val="00C4598F"/>
    <w:rsid w:val="00C459EE"/>
    <w:rsid w:val="00C461BD"/>
    <w:rsid w:val="00C468B6"/>
    <w:rsid w:val="00C46A29"/>
    <w:rsid w:val="00C46B0E"/>
    <w:rsid w:val="00C46D3E"/>
    <w:rsid w:val="00C47B50"/>
    <w:rsid w:val="00C51942"/>
    <w:rsid w:val="00C539C7"/>
    <w:rsid w:val="00C54857"/>
    <w:rsid w:val="00C552CC"/>
    <w:rsid w:val="00C55533"/>
    <w:rsid w:val="00C557D1"/>
    <w:rsid w:val="00C55F06"/>
    <w:rsid w:val="00C57569"/>
    <w:rsid w:val="00C60517"/>
    <w:rsid w:val="00C60B95"/>
    <w:rsid w:val="00C60D23"/>
    <w:rsid w:val="00C61166"/>
    <w:rsid w:val="00C61720"/>
    <w:rsid w:val="00C62202"/>
    <w:rsid w:val="00C6231F"/>
    <w:rsid w:val="00C62C74"/>
    <w:rsid w:val="00C631BD"/>
    <w:rsid w:val="00C63E15"/>
    <w:rsid w:val="00C65189"/>
    <w:rsid w:val="00C6604F"/>
    <w:rsid w:val="00C6626E"/>
    <w:rsid w:val="00C66FE1"/>
    <w:rsid w:val="00C67FB4"/>
    <w:rsid w:val="00C7138B"/>
    <w:rsid w:val="00C71798"/>
    <w:rsid w:val="00C71D0B"/>
    <w:rsid w:val="00C72437"/>
    <w:rsid w:val="00C73678"/>
    <w:rsid w:val="00C7402B"/>
    <w:rsid w:val="00C74031"/>
    <w:rsid w:val="00C740DD"/>
    <w:rsid w:val="00C74521"/>
    <w:rsid w:val="00C746F1"/>
    <w:rsid w:val="00C74EC2"/>
    <w:rsid w:val="00C7546E"/>
    <w:rsid w:val="00C759B6"/>
    <w:rsid w:val="00C77D70"/>
    <w:rsid w:val="00C805E8"/>
    <w:rsid w:val="00C81EAD"/>
    <w:rsid w:val="00C82035"/>
    <w:rsid w:val="00C82A84"/>
    <w:rsid w:val="00C82D1B"/>
    <w:rsid w:val="00C869E6"/>
    <w:rsid w:val="00C872B9"/>
    <w:rsid w:val="00C879AC"/>
    <w:rsid w:val="00C9043C"/>
    <w:rsid w:val="00C90507"/>
    <w:rsid w:val="00C91147"/>
    <w:rsid w:val="00C922E1"/>
    <w:rsid w:val="00C92499"/>
    <w:rsid w:val="00C944DA"/>
    <w:rsid w:val="00C9486D"/>
    <w:rsid w:val="00C95123"/>
    <w:rsid w:val="00C954A9"/>
    <w:rsid w:val="00C957AF"/>
    <w:rsid w:val="00C962AF"/>
    <w:rsid w:val="00C96F30"/>
    <w:rsid w:val="00CA007E"/>
    <w:rsid w:val="00CA142C"/>
    <w:rsid w:val="00CA1601"/>
    <w:rsid w:val="00CA1EBD"/>
    <w:rsid w:val="00CA203D"/>
    <w:rsid w:val="00CA2078"/>
    <w:rsid w:val="00CA2802"/>
    <w:rsid w:val="00CA2CC1"/>
    <w:rsid w:val="00CA4312"/>
    <w:rsid w:val="00CA4D79"/>
    <w:rsid w:val="00CA539D"/>
    <w:rsid w:val="00CA57F7"/>
    <w:rsid w:val="00CA595A"/>
    <w:rsid w:val="00CA5A26"/>
    <w:rsid w:val="00CA5FFA"/>
    <w:rsid w:val="00CA65F7"/>
    <w:rsid w:val="00CA6A8B"/>
    <w:rsid w:val="00CA72E1"/>
    <w:rsid w:val="00CA7820"/>
    <w:rsid w:val="00CB0739"/>
    <w:rsid w:val="00CB0946"/>
    <w:rsid w:val="00CB113D"/>
    <w:rsid w:val="00CB1974"/>
    <w:rsid w:val="00CB1E14"/>
    <w:rsid w:val="00CB2852"/>
    <w:rsid w:val="00CB2C6A"/>
    <w:rsid w:val="00CB3A88"/>
    <w:rsid w:val="00CB4C79"/>
    <w:rsid w:val="00CB4FD5"/>
    <w:rsid w:val="00CB5B9C"/>
    <w:rsid w:val="00CB6466"/>
    <w:rsid w:val="00CB70FE"/>
    <w:rsid w:val="00CB762A"/>
    <w:rsid w:val="00CC0001"/>
    <w:rsid w:val="00CC0580"/>
    <w:rsid w:val="00CC14F2"/>
    <w:rsid w:val="00CC333B"/>
    <w:rsid w:val="00CC395D"/>
    <w:rsid w:val="00CC3B26"/>
    <w:rsid w:val="00CC5B99"/>
    <w:rsid w:val="00CC61F1"/>
    <w:rsid w:val="00CC6F3D"/>
    <w:rsid w:val="00CC71BA"/>
    <w:rsid w:val="00CC76A2"/>
    <w:rsid w:val="00CC7CF1"/>
    <w:rsid w:val="00CD0520"/>
    <w:rsid w:val="00CD2934"/>
    <w:rsid w:val="00CD346A"/>
    <w:rsid w:val="00CD3D1F"/>
    <w:rsid w:val="00CD531B"/>
    <w:rsid w:val="00CD62F6"/>
    <w:rsid w:val="00CD7682"/>
    <w:rsid w:val="00CD7840"/>
    <w:rsid w:val="00CD7C92"/>
    <w:rsid w:val="00CE08FC"/>
    <w:rsid w:val="00CE2FB3"/>
    <w:rsid w:val="00CE353E"/>
    <w:rsid w:val="00CE389B"/>
    <w:rsid w:val="00CE3AB1"/>
    <w:rsid w:val="00CE51BA"/>
    <w:rsid w:val="00CE552F"/>
    <w:rsid w:val="00CE58B9"/>
    <w:rsid w:val="00CE5D0C"/>
    <w:rsid w:val="00CE68F5"/>
    <w:rsid w:val="00CE6D03"/>
    <w:rsid w:val="00CE7286"/>
    <w:rsid w:val="00CF09D3"/>
    <w:rsid w:val="00CF0AEA"/>
    <w:rsid w:val="00CF0D24"/>
    <w:rsid w:val="00CF0DB7"/>
    <w:rsid w:val="00CF12D8"/>
    <w:rsid w:val="00CF135C"/>
    <w:rsid w:val="00CF2622"/>
    <w:rsid w:val="00CF31E1"/>
    <w:rsid w:val="00CF3612"/>
    <w:rsid w:val="00CF45A1"/>
    <w:rsid w:val="00CF4F52"/>
    <w:rsid w:val="00CF5FC5"/>
    <w:rsid w:val="00CF6A03"/>
    <w:rsid w:val="00CF6DEA"/>
    <w:rsid w:val="00CF73FB"/>
    <w:rsid w:val="00D00B67"/>
    <w:rsid w:val="00D01084"/>
    <w:rsid w:val="00D026EF"/>
    <w:rsid w:val="00D029F1"/>
    <w:rsid w:val="00D02B2D"/>
    <w:rsid w:val="00D02B97"/>
    <w:rsid w:val="00D02D31"/>
    <w:rsid w:val="00D02F94"/>
    <w:rsid w:val="00D04328"/>
    <w:rsid w:val="00D04570"/>
    <w:rsid w:val="00D04640"/>
    <w:rsid w:val="00D06455"/>
    <w:rsid w:val="00D07331"/>
    <w:rsid w:val="00D07EFE"/>
    <w:rsid w:val="00D11E8B"/>
    <w:rsid w:val="00D12381"/>
    <w:rsid w:val="00D13A19"/>
    <w:rsid w:val="00D146AA"/>
    <w:rsid w:val="00D149B1"/>
    <w:rsid w:val="00D16629"/>
    <w:rsid w:val="00D1720C"/>
    <w:rsid w:val="00D216AA"/>
    <w:rsid w:val="00D21C8C"/>
    <w:rsid w:val="00D224B9"/>
    <w:rsid w:val="00D22BDE"/>
    <w:rsid w:val="00D23812"/>
    <w:rsid w:val="00D24701"/>
    <w:rsid w:val="00D247A6"/>
    <w:rsid w:val="00D24EBD"/>
    <w:rsid w:val="00D25591"/>
    <w:rsid w:val="00D2599F"/>
    <w:rsid w:val="00D25D4F"/>
    <w:rsid w:val="00D263E5"/>
    <w:rsid w:val="00D269ED"/>
    <w:rsid w:val="00D26A90"/>
    <w:rsid w:val="00D26E3D"/>
    <w:rsid w:val="00D2716C"/>
    <w:rsid w:val="00D272AC"/>
    <w:rsid w:val="00D27787"/>
    <w:rsid w:val="00D31078"/>
    <w:rsid w:val="00D31651"/>
    <w:rsid w:val="00D324A1"/>
    <w:rsid w:val="00D3254F"/>
    <w:rsid w:val="00D34BD4"/>
    <w:rsid w:val="00D34D29"/>
    <w:rsid w:val="00D351CE"/>
    <w:rsid w:val="00D35FF6"/>
    <w:rsid w:val="00D36496"/>
    <w:rsid w:val="00D373CC"/>
    <w:rsid w:val="00D404AA"/>
    <w:rsid w:val="00D41089"/>
    <w:rsid w:val="00D41527"/>
    <w:rsid w:val="00D41CB3"/>
    <w:rsid w:val="00D421C4"/>
    <w:rsid w:val="00D422F2"/>
    <w:rsid w:val="00D42736"/>
    <w:rsid w:val="00D43BC8"/>
    <w:rsid w:val="00D440B6"/>
    <w:rsid w:val="00D445AB"/>
    <w:rsid w:val="00D44698"/>
    <w:rsid w:val="00D4494F"/>
    <w:rsid w:val="00D4497F"/>
    <w:rsid w:val="00D449E3"/>
    <w:rsid w:val="00D45717"/>
    <w:rsid w:val="00D46BA8"/>
    <w:rsid w:val="00D47537"/>
    <w:rsid w:val="00D477C5"/>
    <w:rsid w:val="00D4792F"/>
    <w:rsid w:val="00D50307"/>
    <w:rsid w:val="00D50C80"/>
    <w:rsid w:val="00D510BD"/>
    <w:rsid w:val="00D518DB"/>
    <w:rsid w:val="00D51A81"/>
    <w:rsid w:val="00D523DB"/>
    <w:rsid w:val="00D524B5"/>
    <w:rsid w:val="00D5293D"/>
    <w:rsid w:val="00D5307A"/>
    <w:rsid w:val="00D53DB6"/>
    <w:rsid w:val="00D542DA"/>
    <w:rsid w:val="00D551FF"/>
    <w:rsid w:val="00D55486"/>
    <w:rsid w:val="00D56A92"/>
    <w:rsid w:val="00D6089C"/>
    <w:rsid w:val="00D62CA1"/>
    <w:rsid w:val="00D63608"/>
    <w:rsid w:val="00D63C89"/>
    <w:rsid w:val="00D64926"/>
    <w:rsid w:val="00D64E42"/>
    <w:rsid w:val="00D65531"/>
    <w:rsid w:val="00D65795"/>
    <w:rsid w:val="00D66BDE"/>
    <w:rsid w:val="00D678A7"/>
    <w:rsid w:val="00D7117D"/>
    <w:rsid w:val="00D71DEC"/>
    <w:rsid w:val="00D737D1"/>
    <w:rsid w:val="00D748C7"/>
    <w:rsid w:val="00D7531B"/>
    <w:rsid w:val="00D7538E"/>
    <w:rsid w:val="00D754FF"/>
    <w:rsid w:val="00D75935"/>
    <w:rsid w:val="00D7600F"/>
    <w:rsid w:val="00D76670"/>
    <w:rsid w:val="00D76DBD"/>
    <w:rsid w:val="00D76EDA"/>
    <w:rsid w:val="00D7762A"/>
    <w:rsid w:val="00D778BD"/>
    <w:rsid w:val="00D802B8"/>
    <w:rsid w:val="00D8243D"/>
    <w:rsid w:val="00D83551"/>
    <w:rsid w:val="00D836E5"/>
    <w:rsid w:val="00D84F8F"/>
    <w:rsid w:val="00D851F3"/>
    <w:rsid w:val="00D855EC"/>
    <w:rsid w:val="00D85C1E"/>
    <w:rsid w:val="00D85C65"/>
    <w:rsid w:val="00D86323"/>
    <w:rsid w:val="00D87283"/>
    <w:rsid w:val="00D8775A"/>
    <w:rsid w:val="00D87E69"/>
    <w:rsid w:val="00D9067A"/>
    <w:rsid w:val="00D90A17"/>
    <w:rsid w:val="00D91DEF"/>
    <w:rsid w:val="00D92138"/>
    <w:rsid w:val="00D925FB"/>
    <w:rsid w:val="00D92748"/>
    <w:rsid w:val="00D928F0"/>
    <w:rsid w:val="00D92A90"/>
    <w:rsid w:val="00D93225"/>
    <w:rsid w:val="00D93B3A"/>
    <w:rsid w:val="00D9403F"/>
    <w:rsid w:val="00D9454D"/>
    <w:rsid w:val="00D94F07"/>
    <w:rsid w:val="00D96014"/>
    <w:rsid w:val="00D973FF"/>
    <w:rsid w:val="00D97CD8"/>
    <w:rsid w:val="00D97F24"/>
    <w:rsid w:val="00DA152C"/>
    <w:rsid w:val="00DA1E29"/>
    <w:rsid w:val="00DA3176"/>
    <w:rsid w:val="00DA3326"/>
    <w:rsid w:val="00DA4D0D"/>
    <w:rsid w:val="00DA6073"/>
    <w:rsid w:val="00DA6C0F"/>
    <w:rsid w:val="00DA6ED2"/>
    <w:rsid w:val="00DA7164"/>
    <w:rsid w:val="00DA7249"/>
    <w:rsid w:val="00DB0B31"/>
    <w:rsid w:val="00DB1330"/>
    <w:rsid w:val="00DB13AB"/>
    <w:rsid w:val="00DB14B6"/>
    <w:rsid w:val="00DB1572"/>
    <w:rsid w:val="00DB19B9"/>
    <w:rsid w:val="00DB1B89"/>
    <w:rsid w:val="00DB2651"/>
    <w:rsid w:val="00DB3AD5"/>
    <w:rsid w:val="00DB3DC6"/>
    <w:rsid w:val="00DB40CB"/>
    <w:rsid w:val="00DB4AB3"/>
    <w:rsid w:val="00DB55E4"/>
    <w:rsid w:val="00DB5D81"/>
    <w:rsid w:val="00DB6065"/>
    <w:rsid w:val="00DB6535"/>
    <w:rsid w:val="00DB65C9"/>
    <w:rsid w:val="00DB6F97"/>
    <w:rsid w:val="00DC0041"/>
    <w:rsid w:val="00DC0597"/>
    <w:rsid w:val="00DC0E3A"/>
    <w:rsid w:val="00DC119F"/>
    <w:rsid w:val="00DC163B"/>
    <w:rsid w:val="00DC1C47"/>
    <w:rsid w:val="00DC1CFB"/>
    <w:rsid w:val="00DC24BC"/>
    <w:rsid w:val="00DC2789"/>
    <w:rsid w:val="00DC3287"/>
    <w:rsid w:val="00DC3FCF"/>
    <w:rsid w:val="00DC4979"/>
    <w:rsid w:val="00DC4A70"/>
    <w:rsid w:val="00DC590F"/>
    <w:rsid w:val="00DC602E"/>
    <w:rsid w:val="00DC60AA"/>
    <w:rsid w:val="00DC6B41"/>
    <w:rsid w:val="00DC6C62"/>
    <w:rsid w:val="00DC6CFE"/>
    <w:rsid w:val="00DC6F44"/>
    <w:rsid w:val="00DD0140"/>
    <w:rsid w:val="00DD1143"/>
    <w:rsid w:val="00DD139F"/>
    <w:rsid w:val="00DD1ADB"/>
    <w:rsid w:val="00DD201D"/>
    <w:rsid w:val="00DD2672"/>
    <w:rsid w:val="00DD2B7D"/>
    <w:rsid w:val="00DD2EAA"/>
    <w:rsid w:val="00DD300F"/>
    <w:rsid w:val="00DD33C5"/>
    <w:rsid w:val="00DD3681"/>
    <w:rsid w:val="00DD3C9D"/>
    <w:rsid w:val="00DD4734"/>
    <w:rsid w:val="00DD5C2B"/>
    <w:rsid w:val="00DD5D2A"/>
    <w:rsid w:val="00DD695C"/>
    <w:rsid w:val="00DE0696"/>
    <w:rsid w:val="00DE0DB7"/>
    <w:rsid w:val="00DE128F"/>
    <w:rsid w:val="00DE2383"/>
    <w:rsid w:val="00DE4EFA"/>
    <w:rsid w:val="00DE4F0B"/>
    <w:rsid w:val="00DE4FCA"/>
    <w:rsid w:val="00DE5230"/>
    <w:rsid w:val="00DE58C4"/>
    <w:rsid w:val="00DE6078"/>
    <w:rsid w:val="00DE638E"/>
    <w:rsid w:val="00DE71A0"/>
    <w:rsid w:val="00DF0622"/>
    <w:rsid w:val="00DF117F"/>
    <w:rsid w:val="00DF1F89"/>
    <w:rsid w:val="00DF3EE9"/>
    <w:rsid w:val="00DF48FC"/>
    <w:rsid w:val="00DF5584"/>
    <w:rsid w:val="00DF5846"/>
    <w:rsid w:val="00DF591C"/>
    <w:rsid w:val="00DF6750"/>
    <w:rsid w:val="00DF76BF"/>
    <w:rsid w:val="00E00166"/>
    <w:rsid w:val="00E00E10"/>
    <w:rsid w:val="00E00F34"/>
    <w:rsid w:val="00E01132"/>
    <w:rsid w:val="00E02078"/>
    <w:rsid w:val="00E0335F"/>
    <w:rsid w:val="00E034C5"/>
    <w:rsid w:val="00E0370E"/>
    <w:rsid w:val="00E03E4E"/>
    <w:rsid w:val="00E04058"/>
    <w:rsid w:val="00E042EC"/>
    <w:rsid w:val="00E04EBD"/>
    <w:rsid w:val="00E05836"/>
    <w:rsid w:val="00E063E7"/>
    <w:rsid w:val="00E06933"/>
    <w:rsid w:val="00E06C3C"/>
    <w:rsid w:val="00E07136"/>
    <w:rsid w:val="00E07524"/>
    <w:rsid w:val="00E0788D"/>
    <w:rsid w:val="00E07910"/>
    <w:rsid w:val="00E1016C"/>
    <w:rsid w:val="00E103DA"/>
    <w:rsid w:val="00E10825"/>
    <w:rsid w:val="00E10A9B"/>
    <w:rsid w:val="00E119BA"/>
    <w:rsid w:val="00E12064"/>
    <w:rsid w:val="00E12C7C"/>
    <w:rsid w:val="00E13118"/>
    <w:rsid w:val="00E1423D"/>
    <w:rsid w:val="00E1549C"/>
    <w:rsid w:val="00E15792"/>
    <w:rsid w:val="00E17C26"/>
    <w:rsid w:val="00E20CC2"/>
    <w:rsid w:val="00E20D88"/>
    <w:rsid w:val="00E2266D"/>
    <w:rsid w:val="00E22A69"/>
    <w:rsid w:val="00E22B5E"/>
    <w:rsid w:val="00E22C14"/>
    <w:rsid w:val="00E23980"/>
    <w:rsid w:val="00E239A7"/>
    <w:rsid w:val="00E24688"/>
    <w:rsid w:val="00E24A7E"/>
    <w:rsid w:val="00E24EEA"/>
    <w:rsid w:val="00E258D2"/>
    <w:rsid w:val="00E26128"/>
    <w:rsid w:val="00E2671C"/>
    <w:rsid w:val="00E27F89"/>
    <w:rsid w:val="00E3016A"/>
    <w:rsid w:val="00E306D7"/>
    <w:rsid w:val="00E309C5"/>
    <w:rsid w:val="00E31A29"/>
    <w:rsid w:val="00E3298B"/>
    <w:rsid w:val="00E32D81"/>
    <w:rsid w:val="00E330D7"/>
    <w:rsid w:val="00E342FA"/>
    <w:rsid w:val="00E345B4"/>
    <w:rsid w:val="00E34781"/>
    <w:rsid w:val="00E352E2"/>
    <w:rsid w:val="00E35AFA"/>
    <w:rsid w:val="00E36082"/>
    <w:rsid w:val="00E36FA9"/>
    <w:rsid w:val="00E3716C"/>
    <w:rsid w:val="00E37D47"/>
    <w:rsid w:val="00E405CE"/>
    <w:rsid w:val="00E41F4E"/>
    <w:rsid w:val="00E4242D"/>
    <w:rsid w:val="00E43F22"/>
    <w:rsid w:val="00E446A1"/>
    <w:rsid w:val="00E44EBB"/>
    <w:rsid w:val="00E45B8A"/>
    <w:rsid w:val="00E467E5"/>
    <w:rsid w:val="00E46F5D"/>
    <w:rsid w:val="00E50402"/>
    <w:rsid w:val="00E51C8F"/>
    <w:rsid w:val="00E52A87"/>
    <w:rsid w:val="00E53C4E"/>
    <w:rsid w:val="00E5533B"/>
    <w:rsid w:val="00E55747"/>
    <w:rsid w:val="00E56957"/>
    <w:rsid w:val="00E56CBF"/>
    <w:rsid w:val="00E5788D"/>
    <w:rsid w:val="00E579BA"/>
    <w:rsid w:val="00E6183C"/>
    <w:rsid w:val="00E62174"/>
    <w:rsid w:val="00E6281D"/>
    <w:rsid w:val="00E6413E"/>
    <w:rsid w:val="00E65343"/>
    <w:rsid w:val="00E655A8"/>
    <w:rsid w:val="00E66A30"/>
    <w:rsid w:val="00E673B7"/>
    <w:rsid w:val="00E67DDF"/>
    <w:rsid w:val="00E70634"/>
    <w:rsid w:val="00E70AA0"/>
    <w:rsid w:val="00E70B8D"/>
    <w:rsid w:val="00E71A07"/>
    <w:rsid w:val="00E726E8"/>
    <w:rsid w:val="00E7436A"/>
    <w:rsid w:val="00E75046"/>
    <w:rsid w:val="00E75954"/>
    <w:rsid w:val="00E75A8A"/>
    <w:rsid w:val="00E75E0E"/>
    <w:rsid w:val="00E766A6"/>
    <w:rsid w:val="00E7738C"/>
    <w:rsid w:val="00E7772E"/>
    <w:rsid w:val="00E81E9F"/>
    <w:rsid w:val="00E82D41"/>
    <w:rsid w:val="00E82D5D"/>
    <w:rsid w:val="00E8474D"/>
    <w:rsid w:val="00E84967"/>
    <w:rsid w:val="00E8523A"/>
    <w:rsid w:val="00E8730C"/>
    <w:rsid w:val="00E87585"/>
    <w:rsid w:val="00E9037E"/>
    <w:rsid w:val="00E908E9"/>
    <w:rsid w:val="00E91230"/>
    <w:rsid w:val="00E92718"/>
    <w:rsid w:val="00E93E14"/>
    <w:rsid w:val="00E948E8"/>
    <w:rsid w:val="00E94C4A"/>
    <w:rsid w:val="00E94F01"/>
    <w:rsid w:val="00E94F8A"/>
    <w:rsid w:val="00E94FE3"/>
    <w:rsid w:val="00E96203"/>
    <w:rsid w:val="00E968B3"/>
    <w:rsid w:val="00E96989"/>
    <w:rsid w:val="00E972C8"/>
    <w:rsid w:val="00E97495"/>
    <w:rsid w:val="00E977E2"/>
    <w:rsid w:val="00E97C1A"/>
    <w:rsid w:val="00EA0DAE"/>
    <w:rsid w:val="00EA144B"/>
    <w:rsid w:val="00EA1918"/>
    <w:rsid w:val="00EA3A82"/>
    <w:rsid w:val="00EA3CFD"/>
    <w:rsid w:val="00EA43CA"/>
    <w:rsid w:val="00EA467C"/>
    <w:rsid w:val="00EA4C5E"/>
    <w:rsid w:val="00EA5EA3"/>
    <w:rsid w:val="00EA643B"/>
    <w:rsid w:val="00EA6485"/>
    <w:rsid w:val="00EA6601"/>
    <w:rsid w:val="00EA6D7E"/>
    <w:rsid w:val="00EA6E53"/>
    <w:rsid w:val="00EA74DA"/>
    <w:rsid w:val="00EA7C02"/>
    <w:rsid w:val="00EA7FDB"/>
    <w:rsid w:val="00EB0898"/>
    <w:rsid w:val="00EB1162"/>
    <w:rsid w:val="00EB17F4"/>
    <w:rsid w:val="00EB1998"/>
    <w:rsid w:val="00EB32D4"/>
    <w:rsid w:val="00EB3362"/>
    <w:rsid w:val="00EB4F9F"/>
    <w:rsid w:val="00EB656C"/>
    <w:rsid w:val="00EB78B3"/>
    <w:rsid w:val="00EB7A9E"/>
    <w:rsid w:val="00EB7D96"/>
    <w:rsid w:val="00EC01B2"/>
    <w:rsid w:val="00EC03D5"/>
    <w:rsid w:val="00EC068B"/>
    <w:rsid w:val="00EC07D7"/>
    <w:rsid w:val="00EC154A"/>
    <w:rsid w:val="00EC1DD5"/>
    <w:rsid w:val="00EC1EB8"/>
    <w:rsid w:val="00EC2CBF"/>
    <w:rsid w:val="00EC362E"/>
    <w:rsid w:val="00EC472D"/>
    <w:rsid w:val="00EC4CF4"/>
    <w:rsid w:val="00EC526C"/>
    <w:rsid w:val="00EC5DB7"/>
    <w:rsid w:val="00EC6D57"/>
    <w:rsid w:val="00EC6D7A"/>
    <w:rsid w:val="00EC7213"/>
    <w:rsid w:val="00EC7229"/>
    <w:rsid w:val="00EC7ADA"/>
    <w:rsid w:val="00EC7E39"/>
    <w:rsid w:val="00ED03EE"/>
    <w:rsid w:val="00ED0C4E"/>
    <w:rsid w:val="00ED2193"/>
    <w:rsid w:val="00ED423A"/>
    <w:rsid w:val="00ED44FA"/>
    <w:rsid w:val="00ED692B"/>
    <w:rsid w:val="00ED78D3"/>
    <w:rsid w:val="00EE10B1"/>
    <w:rsid w:val="00EE1BD0"/>
    <w:rsid w:val="00EE21C3"/>
    <w:rsid w:val="00EE31A9"/>
    <w:rsid w:val="00EE3CF3"/>
    <w:rsid w:val="00EE58D1"/>
    <w:rsid w:val="00EE68B3"/>
    <w:rsid w:val="00EE6C14"/>
    <w:rsid w:val="00EE6C1F"/>
    <w:rsid w:val="00EE7449"/>
    <w:rsid w:val="00EF0435"/>
    <w:rsid w:val="00EF0598"/>
    <w:rsid w:val="00EF0F50"/>
    <w:rsid w:val="00EF1B3B"/>
    <w:rsid w:val="00EF1B73"/>
    <w:rsid w:val="00EF2182"/>
    <w:rsid w:val="00EF230A"/>
    <w:rsid w:val="00EF2BA8"/>
    <w:rsid w:val="00EF3793"/>
    <w:rsid w:val="00EF423C"/>
    <w:rsid w:val="00EF4CD3"/>
    <w:rsid w:val="00EF51A1"/>
    <w:rsid w:val="00EF68A3"/>
    <w:rsid w:val="00EF69AB"/>
    <w:rsid w:val="00EF6F02"/>
    <w:rsid w:val="00EF72E6"/>
    <w:rsid w:val="00EF7689"/>
    <w:rsid w:val="00EF77DA"/>
    <w:rsid w:val="00F00358"/>
    <w:rsid w:val="00F01081"/>
    <w:rsid w:val="00F01348"/>
    <w:rsid w:val="00F01A8E"/>
    <w:rsid w:val="00F02562"/>
    <w:rsid w:val="00F0258E"/>
    <w:rsid w:val="00F029B8"/>
    <w:rsid w:val="00F02A21"/>
    <w:rsid w:val="00F0402D"/>
    <w:rsid w:val="00F04141"/>
    <w:rsid w:val="00F043AF"/>
    <w:rsid w:val="00F049C5"/>
    <w:rsid w:val="00F04AC3"/>
    <w:rsid w:val="00F05350"/>
    <w:rsid w:val="00F055F6"/>
    <w:rsid w:val="00F057FA"/>
    <w:rsid w:val="00F068FF"/>
    <w:rsid w:val="00F07423"/>
    <w:rsid w:val="00F078C4"/>
    <w:rsid w:val="00F10A66"/>
    <w:rsid w:val="00F11514"/>
    <w:rsid w:val="00F11725"/>
    <w:rsid w:val="00F12190"/>
    <w:rsid w:val="00F12396"/>
    <w:rsid w:val="00F133BA"/>
    <w:rsid w:val="00F138BF"/>
    <w:rsid w:val="00F13908"/>
    <w:rsid w:val="00F13FD6"/>
    <w:rsid w:val="00F143B8"/>
    <w:rsid w:val="00F144A4"/>
    <w:rsid w:val="00F16F2C"/>
    <w:rsid w:val="00F17BC1"/>
    <w:rsid w:val="00F17E02"/>
    <w:rsid w:val="00F203A4"/>
    <w:rsid w:val="00F21162"/>
    <w:rsid w:val="00F23803"/>
    <w:rsid w:val="00F23FBF"/>
    <w:rsid w:val="00F244ED"/>
    <w:rsid w:val="00F24B51"/>
    <w:rsid w:val="00F25E8E"/>
    <w:rsid w:val="00F26406"/>
    <w:rsid w:val="00F265CB"/>
    <w:rsid w:val="00F26717"/>
    <w:rsid w:val="00F27256"/>
    <w:rsid w:val="00F2745D"/>
    <w:rsid w:val="00F279D6"/>
    <w:rsid w:val="00F30C1F"/>
    <w:rsid w:val="00F32A2B"/>
    <w:rsid w:val="00F34F61"/>
    <w:rsid w:val="00F35051"/>
    <w:rsid w:val="00F36081"/>
    <w:rsid w:val="00F3641E"/>
    <w:rsid w:val="00F36AF5"/>
    <w:rsid w:val="00F3716E"/>
    <w:rsid w:val="00F37329"/>
    <w:rsid w:val="00F37D93"/>
    <w:rsid w:val="00F40013"/>
    <w:rsid w:val="00F40693"/>
    <w:rsid w:val="00F410BF"/>
    <w:rsid w:val="00F41736"/>
    <w:rsid w:val="00F41B59"/>
    <w:rsid w:val="00F41FB4"/>
    <w:rsid w:val="00F42FE3"/>
    <w:rsid w:val="00F4350C"/>
    <w:rsid w:val="00F43F9E"/>
    <w:rsid w:val="00F4489E"/>
    <w:rsid w:val="00F45D9C"/>
    <w:rsid w:val="00F47493"/>
    <w:rsid w:val="00F47A7A"/>
    <w:rsid w:val="00F50888"/>
    <w:rsid w:val="00F520D7"/>
    <w:rsid w:val="00F52694"/>
    <w:rsid w:val="00F5281D"/>
    <w:rsid w:val="00F5364D"/>
    <w:rsid w:val="00F536EC"/>
    <w:rsid w:val="00F53C03"/>
    <w:rsid w:val="00F54B2D"/>
    <w:rsid w:val="00F5538C"/>
    <w:rsid w:val="00F56527"/>
    <w:rsid w:val="00F5699F"/>
    <w:rsid w:val="00F6062B"/>
    <w:rsid w:val="00F619B1"/>
    <w:rsid w:val="00F61A8B"/>
    <w:rsid w:val="00F622F9"/>
    <w:rsid w:val="00F65775"/>
    <w:rsid w:val="00F65FCB"/>
    <w:rsid w:val="00F66DFB"/>
    <w:rsid w:val="00F672FE"/>
    <w:rsid w:val="00F70434"/>
    <w:rsid w:val="00F716BD"/>
    <w:rsid w:val="00F71B97"/>
    <w:rsid w:val="00F72E09"/>
    <w:rsid w:val="00F7348F"/>
    <w:rsid w:val="00F749AB"/>
    <w:rsid w:val="00F75DCB"/>
    <w:rsid w:val="00F76145"/>
    <w:rsid w:val="00F76A42"/>
    <w:rsid w:val="00F76FAC"/>
    <w:rsid w:val="00F77197"/>
    <w:rsid w:val="00F77E7F"/>
    <w:rsid w:val="00F77FD8"/>
    <w:rsid w:val="00F80C2C"/>
    <w:rsid w:val="00F82897"/>
    <w:rsid w:val="00F84337"/>
    <w:rsid w:val="00F843EE"/>
    <w:rsid w:val="00F848B9"/>
    <w:rsid w:val="00F85F07"/>
    <w:rsid w:val="00F8604D"/>
    <w:rsid w:val="00F87176"/>
    <w:rsid w:val="00F87C8E"/>
    <w:rsid w:val="00F90819"/>
    <w:rsid w:val="00F90C6C"/>
    <w:rsid w:val="00F91E2C"/>
    <w:rsid w:val="00F9242F"/>
    <w:rsid w:val="00F9283E"/>
    <w:rsid w:val="00F929FB"/>
    <w:rsid w:val="00F92A1E"/>
    <w:rsid w:val="00F92D95"/>
    <w:rsid w:val="00F930D5"/>
    <w:rsid w:val="00F93794"/>
    <w:rsid w:val="00F93A6E"/>
    <w:rsid w:val="00F9472A"/>
    <w:rsid w:val="00F94D66"/>
    <w:rsid w:val="00F94F7B"/>
    <w:rsid w:val="00F96130"/>
    <w:rsid w:val="00F97AD6"/>
    <w:rsid w:val="00F97BBA"/>
    <w:rsid w:val="00FA08EA"/>
    <w:rsid w:val="00FA0B9C"/>
    <w:rsid w:val="00FA17C5"/>
    <w:rsid w:val="00FA1CD1"/>
    <w:rsid w:val="00FA1D03"/>
    <w:rsid w:val="00FA1EF2"/>
    <w:rsid w:val="00FA3FB7"/>
    <w:rsid w:val="00FA6EA1"/>
    <w:rsid w:val="00FB0736"/>
    <w:rsid w:val="00FB0E18"/>
    <w:rsid w:val="00FB0E98"/>
    <w:rsid w:val="00FB0FA6"/>
    <w:rsid w:val="00FB0FF5"/>
    <w:rsid w:val="00FB1692"/>
    <w:rsid w:val="00FB187F"/>
    <w:rsid w:val="00FB18E3"/>
    <w:rsid w:val="00FB19CD"/>
    <w:rsid w:val="00FB1BBE"/>
    <w:rsid w:val="00FB26A6"/>
    <w:rsid w:val="00FB3C97"/>
    <w:rsid w:val="00FB4223"/>
    <w:rsid w:val="00FB4C2E"/>
    <w:rsid w:val="00FB5AA3"/>
    <w:rsid w:val="00FB6525"/>
    <w:rsid w:val="00FB6CB9"/>
    <w:rsid w:val="00FB7226"/>
    <w:rsid w:val="00FB784C"/>
    <w:rsid w:val="00FC073F"/>
    <w:rsid w:val="00FC18CC"/>
    <w:rsid w:val="00FC3CCC"/>
    <w:rsid w:val="00FC4C40"/>
    <w:rsid w:val="00FC5058"/>
    <w:rsid w:val="00FC694C"/>
    <w:rsid w:val="00FD0467"/>
    <w:rsid w:val="00FD0843"/>
    <w:rsid w:val="00FD34F6"/>
    <w:rsid w:val="00FD3FF7"/>
    <w:rsid w:val="00FD44CC"/>
    <w:rsid w:val="00FD4E7F"/>
    <w:rsid w:val="00FD57E2"/>
    <w:rsid w:val="00FD5A20"/>
    <w:rsid w:val="00FD5E22"/>
    <w:rsid w:val="00FD5FC7"/>
    <w:rsid w:val="00FD69C7"/>
    <w:rsid w:val="00FD6FCC"/>
    <w:rsid w:val="00FD74B1"/>
    <w:rsid w:val="00FD7930"/>
    <w:rsid w:val="00FE067B"/>
    <w:rsid w:val="00FE211A"/>
    <w:rsid w:val="00FE2683"/>
    <w:rsid w:val="00FE288E"/>
    <w:rsid w:val="00FE29D1"/>
    <w:rsid w:val="00FE30F1"/>
    <w:rsid w:val="00FE3720"/>
    <w:rsid w:val="00FE4030"/>
    <w:rsid w:val="00FE443D"/>
    <w:rsid w:val="00FE4734"/>
    <w:rsid w:val="00FE4F43"/>
    <w:rsid w:val="00FE5D5A"/>
    <w:rsid w:val="00FE616B"/>
    <w:rsid w:val="00FE6CAD"/>
    <w:rsid w:val="00FE7B57"/>
    <w:rsid w:val="00FF01BF"/>
    <w:rsid w:val="00FF0AF9"/>
    <w:rsid w:val="00FF1359"/>
    <w:rsid w:val="00FF1D84"/>
    <w:rsid w:val="00FF2F71"/>
    <w:rsid w:val="00FF30C1"/>
    <w:rsid w:val="00FF4478"/>
    <w:rsid w:val="00FF45AA"/>
    <w:rsid w:val="00FF47E0"/>
    <w:rsid w:val="00FF54C6"/>
    <w:rsid w:val="00FF68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6213D9"/>
  <w15:docId w15:val="{7CD8D420-C74C-47D6-BC9C-00BCA1EE2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F1825"/>
    <w:pPr>
      <w:widowControl w:val="0"/>
    </w:pPr>
    <w:rPr>
      <w:rFonts w:ascii="Arial" w:hAnsi="Arial"/>
      <w:snapToGrid w:val="0"/>
      <w:sz w:val="24"/>
      <w:lang w:val="es-ES_tradnl"/>
    </w:rPr>
  </w:style>
  <w:style w:type="paragraph" w:styleId="Ttulo1">
    <w:name w:val="heading 1"/>
    <w:basedOn w:val="Normal"/>
    <w:next w:val="Normal"/>
    <w:qFormat/>
    <w:rsid w:val="005F1825"/>
    <w:pPr>
      <w:spacing w:before="240"/>
      <w:jc w:val="center"/>
      <w:outlineLvl w:val="0"/>
    </w:pPr>
    <w:rPr>
      <w:color w:val="000000"/>
    </w:rPr>
  </w:style>
  <w:style w:type="paragraph" w:styleId="Ttulo2">
    <w:name w:val="heading 2"/>
    <w:basedOn w:val="Normal"/>
    <w:next w:val="Normal"/>
    <w:link w:val="Ttulo2Car"/>
    <w:qFormat/>
    <w:rsid w:val="005F1825"/>
    <w:pPr>
      <w:spacing w:before="240"/>
      <w:jc w:val="center"/>
      <w:outlineLvl w:val="1"/>
    </w:pPr>
    <w:rPr>
      <w:b/>
      <w:color w:val="000000"/>
      <w:sz w:val="28"/>
    </w:rPr>
  </w:style>
  <w:style w:type="paragraph" w:styleId="Ttulo3">
    <w:name w:val="heading 3"/>
    <w:basedOn w:val="Normal"/>
    <w:next w:val="Sangranormal"/>
    <w:qFormat/>
    <w:rsid w:val="005F1825"/>
    <w:pPr>
      <w:keepNext/>
      <w:spacing w:before="240"/>
      <w:outlineLvl w:val="2"/>
    </w:pPr>
    <w:rPr>
      <w:b/>
      <w:color w:val="808080"/>
      <w:u w:val="single"/>
    </w:rPr>
  </w:style>
  <w:style w:type="paragraph" w:styleId="Ttulo4">
    <w:name w:val="heading 4"/>
    <w:basedOn w:val="Normal"/>
    <w:next w:val="Normal"/>
    <w:link w:val="Ttulo4Car"/>
    <w:unhideWhenUsed/>
    <w:qFormat/>
    <w:rsid w:val="00421A91"/>
    <w:pPr>
      <w:keepNext/>
      <w:keepLines/>
      <w:widowControl/>
      <w:spacing w:before="40"/>
      <w:jc w:val="both"/>
      <w:outlineLvl w:val="3"/>
    </w:pPr>
    <w:rPr>
      <w:rFonts w:asciiTheme="majorHAnsi" w:eastAsiaTheme="majorEastAsia" w:hAnsiTheme="majorHAnsi" w:cstheme="majorBidi"/>
      <w:i/>
      <w:iCs/>
      <w:snapToGrid/>
      <w:color w:val="365F91" w:themeColor="accent1" w:themeShade="BF"/>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normal">
    <w:name w:val="Normal Indent"/>
    <w:basedOn w:val="Normal"/>
    <w:rsid w:val="005F1825"/>
    <w:pPr>
      <w:ind w:left="720"/>
    </w:pPr>
  </w:style>
  <w:style w:type="paragraph" w:styleId="Textonotaalfinal">
    <w:name w:val="endnote text"/>
    <w:basedOn w:val="Normal"/>
    <w:semiHidden/>
    <w:rsid w:val="005F1825"/>
    <w:rPr>
      <w:sz w:val="20"/>
    </w:rPr>
  </w:style>
  <w:style w:type="paragraph" w:customStyle="1" w:styleId="Asunto">
    <w:name w:val="Asunto"/>
    <w:basedOn w:val="Normal"/>
    <w:rsid w:val="005F1825"/>
    <w:pPr>
      <w:keepLines/>
      <w:spacing w:before="240"/>
      <w:ind w:left="5040" w:hanging="1267"/>
    </w:pPr>
    <w:rPr>
      <w:rFonts w:ascii="Univers" w:hAnsi="Univers"/>
      <w:color w:val="000000"/>
      <w:u w:val="single"/>
    </w:rPr>
  </w:style>
  <w:style w:type="paragraph" w:styleId="Piedepgina">
    <w:name w:val="footer"/>
    <w:basedOn w:val="Normal"/>
    <w:link w:val="PiedepginaCar"/>
    <w:uiPriority w:val="99"/>
    <w:rsid w:val="005F1825"/>
    <w:pPr>
      <w:tabs>
        <w:tab w:val="center" w:pos="4819"/>
        <w:tab w:val="right" w:pos="9071"/>
      </w:tabs>
    </w:pPr>
  </w:style>
  <w:style w:type="paragraph" w:styleId="Encabezado">
    <w:name w:val="header"/>
    <w:basedOn w:val="Normal"/>
    <w:link w:val="EncabezadoCar"/>
    <w:uiPriority w:val="99"/>
    <w:rsid w:val="005F1825"/>
    <w:pPr>
      <w:tabs>
        <w:tab w:val="center" w:pos="4819"/>
        <w:tab w:val="right" w:pos="9071"/>
      </w:tabs>
    </w:pPr>
  </w:style>
  <w:style w:type="paragraph" w:customStyle="1" w:styleId="p0">
    <w:name w:val="p0"/>
    <w:basedOn w:val="Normal"/>
    <w:rsid w:val="005F1825"/>
    <w:pPr>
      <w:keepLines/>
      <w:spacing w:before="240"/>
      <w:jc w:val="both"/>
    </w:pPr>
    <w:rPr>
      <w:color w:val="0000FF"/>
    </w:rPr>
  </w:style>
  <w:style w:type="paragraph" w:customStyle="1" w:styleId="n0">
    <w:name w:val="n0"/>
    <w:basedOn w:val="Normal"/>
    <w:rsid w:val="005F1825"/>
    <w:pPr>
      <w:keepLines/>
      <w:spacing w:before="240"/>
      <w:ind w:left="1080" w:hanging="1080"/>
      <w:jc w:val="both"/>
    </w:pPr>
    <w:rPr>
      <w:color w:val="800080"/>
    </w:rPr>
  </w:style>
  <w:style w:type="paragraph" w:customStyle="1" w:styleId="bullet">
    <w:name w:val="bullet"/>
    <w:basedOn w:val="Normal"/>
    <w:rsid w:val="005F1825"/>
    <w:pPr>
      <w:numPr>
        <w:numId w:val="19"/>
      </w:numPr>
      <w:spacing w:before="240"/>
      <w:ind w:right="1185"/>
      <w:jc w:val="both"/>
    </w:pPr>
    <w:rPr>
      <w:b/>
      <w:color w:val="000080"/>
      <w:sz w:val="22"/>
    </w:rPr>
  </w:style>
  <w:style w:type="paragraph" w:customStyle="1" w:styleId="fecha">
    <w:name w:val="fecha"/>
    <w:basedOn w:val="Normal"/>
    <w:rsid w:val="005F1825"/>
    <w:pPr>
      <w:jc w:val="right"/>
    </w:pPr>
  </w:style>
  <w:style w:type="paragraph" w:customStyle="1" w:styleId="parra-nota">
    <w:name w:val="parra-nota"/>
    <w:basedOn w:val="p0"/>
    <w:rsid w:val="005F1825"/>
    <w:pPr>
      <w:tabs>
        <w:tab w:val="left" w:pos="567"/>
      </w:tabs>
      <w:spacing w:before="600"/>
      <w:ind w:left="567" w:right="11" w:hanging="567"/>
    </w:pPr>
  </w:style>
  <w:style w:type="paragraph" w:customStyle="1" w:styleId="parra-nota1">
    <w:name w:val="parra-nota1"/>
    <w:basedOn w:val="parra-nota"/>
    <w:rsid w:val="005F1825"/>
    <w:pPr>
      <w:tabs>
        <w:tab w:val="clear" w:pos="567"/>
      </w:tabs>
      <w:ind w:firstLine="0"/>
    </w:pPr>
  </w:style>
  <w:style w:type="paragraph" w:customStyle="1" w:styleId="Normal1">
    <w:name w:val="Normal1"/>
    <w:rsid w:val="005F1825"/>
    <w:rPr>
      <w:rFonts w:ascii="CG Times" w:hAnsi="CG Times"/>
      <w:lang w:val="es-ES_tradnl"/>
    </w:rPr>
  </w:style>
  <w:style w:type="paragraph" w:styleId="Textoindependiente">
    <w:name w:val="Body Text"/>
    <w:basedOn w:val="Normal"/>
    <w:link w:val="TextoindependienteCar"/>
    <w:rsid w:val="005F1825"/>
    <w:pPr>
      <w:widowControl/>
    </w:pPr>
    <w:rPr>
      <w:color w:val="000000"/>
      <w:lang w:val="es-ES"/>
    </w:rPr>
  </w:style>
  <w:style w:type="character" w:styleId="Hipervnculo">
    <w:name w:val="Hyperlink"/>
    <w:basedOn w:val="Fuentedeprrafopredeter"/>
    <w:rsid w:val="005F1825"/>
    <w:rPr>
      <w:color w:val="0000FF"/>
      <w:u w:val="single"/>
    </w:rPr>
  </w:style>
  <w:style w:type="paragraph" w:styleId="Textodeglobo">
    <w:name w:val="Balloon Text"/>
    <w:basedOn w:val="Normal"/>
    <w:semiHidden/>
    <w:rsid w:val="005F1825"/>
    <w:rPr>
      <w:rFonts w:ascii="Tahoma" w:hAnsi="Tahoma" w:cs="Tahoma"/>
      <w:sz w:val="16"/>
      <w:szCs w:val="16"/>
    </w:rPr>
  </w:style>
  <w:style w:type="paragraph" w:styleId="NormalWeb">
    <w:name w:val="Normal (Web)"/>
    <w:basedOn w:val="Normal"/>
    <w:uiPriority w:val="99"/>
    <w:rsid w:val="002E5C03"/>
    <w:pPr>
      <w:widowControl/>
      <w:spacing w:before="100" w:beforeAutospacing="1" w:after="100" w:afterAutospacing="1"/>
    </w:pPr>
    <w:rPr>
      <w:rFonts w:cs="Arial"/>
      <w:snapToGrid/>
      <w:color w:val="000000"/>
      <w:sz w:val="16"/>
      <w:szCs w:val="16"/>
      <w:lang w:val="es-ES"/>
    </w:rPr>
  </w:style>
  <w:style w:type="paragraph" w:customStyle="1" w:styleId="parr2">
    <w:name w:val="parr2"/>
    <w:basedOn w:val="Normal"/>
    <w:rsid w:val="002A200D"/>
    <w:pPr>
      <w:widowControl/>
      <w:spacing w:before="600"/>
      <w:ind w:left="567" w:right="15"/>
      <w:jc w:val="both"/>
    </w:pPr>
    <w:rPr>
      <w:snapToGrid/>
    </w:rPr>
  </w:style>
  <w:style w:type="paragraph" w:customStyle="1" w:styleId="parrafo1">
    <w:name w:val="parrafo1"/>
    <w:basedOn w:val="p0"/>
    <w:rsid w:val="002D0297"/>
    <w:pPr>
      <w:keepLines w:val="0"/>
      <w:widowControl/>
      <w:spacing w:before="480"/>
      <w:ind w:left="426" w:right="443"/>
    </w:pPr>
    <w:rPr>
      <w:snapToGrid/>
      <w:color w:val="auto"/>
    </w:rPr>
  </w:style>
  <w:style w:type="paragraph" w:customStyle="1" w:styleId="titdoc">
    <w:name w:val="titdoc"/>
    <w:basedOn w:val="Normal"/>
    <w:rsid w:val="00E51C8F"/>
    <w:pPr>
      <w:widowControl/>
      <w:spacing w:before="120"/>
      <w:ind w:left="709" w:hanging="709"/>
      <w:jc w:val="both"/>
    </w:pPr>
    <w:rPr>
      <w:b/>
      <w:snapToGrid/>
    </w:rPr>
  </w:style>
  <w:style w:type="paragraph" w:styleId="Textoindependiente3">
    <w:name w:val="Body Text 3"/>
    <w:basedOn w:val="Normal"/>
    <w:link w:val="Textoindependiente3Car"/>
    <w:rsid w:val="00A00A68"/>
    <w:pPr>
      <w:spacing w:after="120"/>
    </w:pPr>
    <w:rPr>
      <w:sz w:val="16"/>
      <w:szCs w:val="16"/>
    </w:rPr>
  </w:style>
  <w:style w:type="character" w:customStyle="1" w:styleId="Textoindependiente3Car">
    <w:name w:val="Texto independiente 3 Car"/>
    <w:basedOn w:val="Fuentedeprrafopredeter"/>
    <w:link w:val="Textoindependiente3"/>
    <w:rsid w:val="00A00A68"/>
    <w:rPr>
      <w:rFonts w:ascii="Arial" w:hAnsi="Arial"/>
      <w:snapToGrid w:val="0"/>
      <w:sz w:val="16"/>
      <w:szCs w:val="16"/>
      <w:lang w:val="es-ES_tradnl"/>
    </w:rPr>
  </w:style>
  <w:style w:type="character" w:customStyle="1" w:styleId="EncabezadoCar">
    <w:name w:val="Encabezado Car"/>
    <w:basedOn w:val="Fuentedeprrafopredeter"/>
    <w:link w:val="Encabezado"/>
    <w:uiPriority w:val="99"/>
    <w:rsid w:val="00B06AE9"/>
    <w:rPr>
      <w:rFonts w:ascii="Arial" w:hAnsi="Arial"/>
      <w:snapToGrid w:val="0"/>
      <w:sz w:val="24"/>
      <w:lang w:val="es-ES_tradnl"/>
    </w:rPr>
  </w:style>
  <w:style w:type="paragraph" w:customStyle="1" w:styleId="p01">
    <w:name w:val="p01"/>
    <w:basedOn w:val="Normal1"/>
    <w:next w:val="p0"/>
    <w:rsid w:val="000C55BE"/>
    <w:pPr>
      <w:keepLines/>
      <w:spacing w:before="240"/>
      <w:jc w:val="both"/>
    </w:pPr>
    <w:rPr>
      <w:rFonts w:ascii="Univers" w:hAnsi="Univers"/>
      <w:color w:val="0000FF"/>
      <w:sz w:val="24"/>
    </w:rPr>
  </w:style>
  <w:style w:type="table" w:styleId="Tablaconcuadrcula">
    <w:name w:val="Table Grid"/>
    <w:basedOn w:val="Tablanormal"/>
    <w:rsid w:val="00663A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mbre">
    <w:name w:val="nombre"/>
    <w:basedOn w:val="Normal"/>
    <w:rsid w:val="003F26EB"/>
    <w:pPr>
      <w:keepLines/>
      <w:spacing w:before="240"/>
      <w:ind w:left="1080" w:hanging="1080"/>
    </w:pPr>
    <w:rPr>
      <w:rFonts w:ascii="Helvetica" w:hAnsi="Helvetica"/>
      <w:color w:val="0000FF"/>
    </w:rPr>
  </w:style>
  <w:style w:type="paragraph" w:styleId="Textonotapie">
    <w:name w:val="footnote text"/>
    <w:basedOn w:val="Normal"/>
    <w:link w:val="TextonotapieCar"/>
    <w:uiPriority w:val="99"/>
    <w:rsid w:val="0036725F"/>
    <w:pPr>
      <w:widowControl/>
    </w:pPr>
    <w:rPr>
      <w:rFonts w:ascii="Times New Roman" w:hAnsi="Times New Roman"/>
      <w:snapToGrid/>
      <w:sz w:val="20"/>
      <w:lang w:val="es-ES"/>
    </w:rPr>
  </w:style>
  <w:style w:type="character" w:customStyle="1" w:styleId="TextonotapieCar">
    <w:name w:val="Texto nota pie Car"/>
    <w:basedOn w:val="Fuentedeprrafopredeter"/>
    <w:link w:val="Textonotapie"/>
    <w:uiPriority w:val="99"/>
    <w:rsid w:val="0036725F"/>
  </w:style>
  <w:style w:type="character" w:styleId="Refdenotaalpie">
    <w:name w:val="footnote reference"/>
    <w:basedOn w:val="Fuentedeprrafopredeter"/>
    <w:uiPriority w:val="99"/>
    <w:rsid w:val="0036725F"/>
    <w:rPr>
      <w:rFonts w:cs="Arial"/>
      <w:b/>
      <w:smallCaps/>
      <w:sz w:val="22"/>
      <w:vertAlign w:val="superscript"/>
      <w:lang w:val="es-MX"/>
    </w:rPr>
  </w:style>
  <w:style w:type="character" w:customStyle="1" w:styleId="PiedepginaCar">
    <w:name w:val="Pie de página Car"/>
    <w:basedOn w:val="Fuentedeprrafopredeter"/>
    <w:link w:val="Piedepgina"/>
    <w:uiPriority w:val="99"/>
    <w:rsid w:val="00B577E4"/>
    <w:rPr>
      <w:rFonts w:ascii="Arial" w:hAnsi="Arial"/>
      <w:snapToGrid w:val="0"/>
      <w:sz w:val="24"/>
      <w:lang w:val="es-ES_tradnl" w:eastAsia="es-ES"/>
    </w:rPr>
  </w:style>
  <w:style w:type="character" w:styleId="Refdenotaalfinal">
    <w:name w:val="endnote reference"/>
    <w:basedOn w:val="Fuentedeprrafopredeter"/>
    <w:rsid w:val="00B577E4"/>
    <w:rPr>
      <w:vertAlign w:val="superscript"/>
    </w:rPr>
  </w:style>
  <w:style w:type="paragraph" w:customStyle="1" w:styleId="p02">
    <w:name w:val="p02"/>
    <w:basedOn w:val="Normal"/>
    <w:next w:val="p0"/>
    <w:rsid w:val="009C447D"/>
    <w:pPr>
      <w:keepLines/>
      <w:widowControl/>
      <w:spacing w:before="240"/>
      <w:ind w:right="11"/>
      <w:jc w:val="both"/>
    </w:pPr>
    <w:rPr>
      <w:rFonts w:ascii="Univers" w:hAnsi="Univers"/>
      <w:snapToGrid/>
      <w:color w:val="0000FF"/>
    </w:rPr>
  </w:style>
  <w:style w:type="paragraph" w:customStyle="1" w:styleId="Profesin">
    <w:name w:val="Profesión"/>
    <w:basedOn w:val="Normal"/>
    <w:rsid w:val="0005576F"/>
    <w:pPr>
      <w:widowControl/>
      <w:jc w:val="center"/>
    </w:pPr>
    <w:rPr>
      <w:b/>
      <w:caps/>
      <w:snapToGrid/>
      <w:spacing w:val="25"/>
      <w:sz w:val="28"/>
    </w:rPr>
  </w:style>
  <w:style w:type="paragraph" w:customStyle="1" w:styleId="n01">
    <w:name w:val="n01"/>
    <w:basedOn w:val="Normal"/>
    <w:rsid w:val="002169BE"/>
    <w:pPr>
      <w:keepLines/>
      <w:widowControl/>
      <w:spacing w:before="240"/>
      <w:ind w:left="720" w:hanging="720"/>
      <w:jc w:val="both"/>
    </w:pPr>
    <w:rPr>
      <w:rFonts w:ascii="Univers (W1)" w:hAnsi="Univers (W1)"/>
      <w:snapToGrid/>
      <w:color w:val="800080"/>
    </w:rPr>
  </w:style>
  <w:style w:type="paragraph" w:customStyle="1" w:styleId="Default">
    <w:name w:val="Default"/>
    <w:rsid w:val="002169BE"/>
    <w:pPr>
      <w:widowControl w:val="0"/>
      <w:autoSpaceDE w:val="0"/>
      <w:autoSpaceDN w:val="0"/>
      <w:adjustRightInd w:val="0"/>
    </w:pPr>
    <w:rPr>
      <w:rFonts w:ascii="Arial" w:eastAsiaTheme="minorEastAsia" w:hAnsi="Arial" w:cs="Arial"/>
      <w:color w:val="000000"/>
      <w:sz w:val="24"/>
      <w:szCs w:val="24"/>
    </w:rPr>
  </w:style>
  <w:style w:type="paragraph" w:styleId="Prrafodelista">
    <w:name w:val="List Paragraph"/>
    <w:basedOn w:val="Normal"/>
    <w:uiPriority w:val="34"/>
    <w:qFormat/>
    <w:rsid w:val="00A57241"/>
    <w:pPr>
      <w:ind w:left="720"/>
      <w:contextualSpacing/>
    </w:pPr>
  </w:style>
  <w:style w:type="character" w:styleId="Refdecomentario">
    <w:name w:val="annotation reference"/>
    <w:basedOn w:val="Fuentedeprrafopredeter"/>
    <w:rsid w:val="00C3471E"/>
    <w:rPr>
      <w:sz w:val="16"/>
      <w:szCs w:val="16"/>
    </w:rPr>
  </w:style>
  <w:style w:type="character" w:customStyle="1" w:styleId="tituloproy21">
    <w:name w:val="titulo_proy21"/>
    <w:basedOn w:val="Fuentedeprrafopredeter"/>
    <w:rsid w:val="002C2C06"/>
    <w:rPr>
      <w:rFonts w:ascii="Arial" w:hAnsi="Arial" w:cs="Arial" w:hint="default"/>
      <w:b/>
      <w:bCs/>
      <w:strike w:val="0"/>
      <w:dstrike w:val="0"/>
      <w:color w:val="000000"/>
      <w:sz w:val="30"/>
      <w:szCs w:val="30"/>
      <w:u w:val="none"/>
      <w:effect w:val="none"/>
    </w:rPr>
  </w:style>
  <w:style w:type="character" w:customStyle="1" w:styleId="st1">
    <w:name w:val="st1"/>
    <w:basedOn w:val="Fuentedeprrafopredeter"/>
    <w:rsid w:val="00610305"/>
  </w:style>
  <w:style w:type="paragraph" w:styleId="Textoindependiente2">
    <w:name w:val="Body Text 2"/>
    <w:basedOn w:val="Normal"/>
    <w:link w:val="Textoindependiente2Car"/>
    <w:unhideWhenUsed/>
    <w:rsid w:val="00607F08"/>
    <w:pPr>
      <w:spacing w:after="120" w:line="480" w:lineRule="auto"/>
    </w:pPr>
  </w:style>
  <w:style w:type="character" w:customStyle="1" w:styleId="Textoindependiente2Car">
    <w:name w:val="Texto independiente 2 Car"/>
    <w:basedOn w:val="Fuentedeprrafopredeter"/>
    <w:link w:val="Textoindependiente2"/>
    <w:rsid w:val="00607F08"/>
    <w:rPr>
      <w:rFonts w:ascii="Arial" w:hAnsi="Arial"/>
      <w:snapToGrid w:val="0"/>
      <w:sz w:val="24"/>
      <w:lang w:val="es-ES_tradnl"/>
    </w:rPr>
  </w:style>
  <w:style w:type="character" w:customStyle="1" w:styleId="TextoindependienteCar">
    <w:name w:val="Texto independiente Car"/>
    <w:basedOn w:val="Fuentedeprrafopredeter"/>
    <w:link w:val="Textoindependiente"/>
    <w:rsid w:val="00837C13"/>
    <w:rPr>
      <w:rFonts w:ascii="Arial" w:hAnsi="Arial"/>
      <w:snapToGrid w:val="0"/>
      <w:color w:val="000000"/>
      <w:sz w:val="24"/>
    </w:rPr>
  </w:style>
  <w:style w:type="character" w:customStyle="1" w:styleId="Ttulo2Car">
    <w:name w:val="Título 2 Car"/>
    <w:basedOn w:val="Fuentedeprrafopredeter"/>
    <w:link w:val="Ttulo2"/>
    <w:rsid w:val="00837C13"/>
    <w:rPr>
      <w:rFonts w:ascii="Arial" w:hAnsi="Arial"/>
      <w:b/>
      <w:snapToGrid w:val="0"/>
      <w:color w:val="000000"/>
      <w:sz w:val="28"/>
      <w:lang w:val="es-ES_tradnl"/>
    </w:rPr>
  </w:style>
  <w:style w:type="character" w:styleId="Hipervnculovisitado">
    <w:name w:val="FollowedHyperlink"/>
    <w:basedOn w:val="Fuentedeprrafopredeter"/>
    <w:semiHidden/>
    <w:unhideWhenUsed/>
    <w:rsid w:val="00350744"/>
    <w:rPr>
      <w:color w:val="800080" w:themeColor="followedHyperlink"/>
      <w:u w:val="single"/>
    </w:rPr>
  </w:style>
  <w:style w:type="paragraph" w:styleId="Textocomentario">
    <w:name w:val="annotation text"/>
    <w:basedOn w:val="Normal"/>
    <w:link w:val="TextocomentarioCar"/>
    <w:semiHidden/>
    <w:unhideWhenUsed/>
    <w:rsid w:val="004B179F"/>
    <w:rPr>
      <w:sz w:val="20"/>
    </w:rPr>
  </w:style>
  <w:style w:type="character" w:customStyle="1" w:styleId="TextocomentarioCar">
    <w:name w:val="Texto comentario Car"/>
    <w:basedOn w:val="Fuentedeprrafopredeter"/>
    <w:link w:val="Textocomentario"/>
    <w:semiHidden/>
    <w:rsid w:val="004B179F"/>
    <w:rPr>
      <w:rFonts w:ascii="Arial" w:hAnsi="Arial"/>
      <w:snapToGrid w:val="0"/>
      <w:lang w:val="es-ES_tradnl"/>
    </w:rPr>
  </w:style>
  <w:style w:type="paragraph" w:styleId="Asuntodelcomentario">
    <w:name w:val="annotation subject"/>
    <w:basedOn w:val="Textocomentario"/>
    <w:next w:val="Textocomentario"/>
    <w:link w:val="AsuntodelcomentarioCar"/>
    <w:semiHidden/>
    <w:unhideWhenUsed/>
    <w:rsid w:val="004B179F"/>
    <w:rPr>
      <w:b/>
      <w:bCs/>
    </w:rPr>
  </w:style>
  <w:style w:type="character" w:customStyle="1" w:styleId="AsuntodelcomentarioCar">
    <w:name w:val="Asunto del comentario Car"/>
    <w:basedOn w:val="TextocomentarioCar"/>
    <w:link w:val="Asuntodelcomentario"/>
    <w:semiHidden/>
    <w:rsid w:val="004B179F"/>
    <w:rPr>
      <w:rFonts w:ascii="Arial" w:hAnsi="Arial"/>
      <w:b/>
      <w:bCs/>
      <w:snapToGrid w:val="0"/>
      <w:lang w:val="es-ES_tradnl"/>
    </w:rPr>
  </w:style>
  <w:style w:type="character" w:customStyle="1" w:styleId="Mencinsinresolver1">
    <w:name w:val="Mención sin resolver1"/>
    <w:basedOn w:val="Fuentedeprrafopredeter"/>
    <w:uiPriority w:val="99"/>
    <w:semiHidden/>
    <w:unhideWhenUsed/>
    <w:rsid w:val="00386B9D"/>
    <w:rPr>
      <w:color w:val="605E5C"/>
      <w:shd w:val="clear" w:color="auto" w:fill="E1DFDD"/>
    </w:rPr>
  </w:style>
  <w:style w:type="paragraph" w:customStyle="1" w:styleId="xdefault">
    <w:name w:val="x_default"/>
    <w:basedOn w:val="Normal"/>
    <w:rsid w:val="00663E24"/>
    <w:pPr>
      <w:widowControl/>
      <w:spacing w:before="100" w:beforeAutospacing="1" w:after="100" w:afterAutospacing="1"/>
    </w:pPr>
    <w:rPr>
      <w:rFonts w:ascii="Times New Roman" w:hAnsi="Times New Roman"/>
      <w:snapToGrid/>
      <w:szCs w:val="24"/>
      <w:lang w:val="es-MX" w:eastAsia="es-MX"/>
    </w:rPr>
  </w:style>
  <w:style w:type="paragraph" w:customStyle="1" w:styleId="xmsonormal">
    <w:name w:val="x_msonormal"/>
    <w:basedOn w:val="Normal"/>
    <w:rsid w:val="00663E24"/>
    <w:pPr>
      <w:widowControl/>
      <w:spacing w:before="100" w:beforeAutospacing="1" w:after="100" w:afterAutospacing="1"/>
    </w:pPr>
    <w:rPr>
      <w:rFonts w:ascii="Times New Roman" w:hAnsi="Times New Roman"/>
      <w:snapToGrid/>
      <w:szCs w:val="24"/>
      <w:lang w:val="es-MX" w:eastAsia="es-MX"/>
    </w:rPr>
  </w:style>
  <w:style w:type="paragraph" w:styleId="Revisin">
    <w:name w:val="Revision"/>
    <w:hidden/>
    <w:uiPriority w:val="99"/>
    <w:semiHidden/>
    <w:rsid w:val="00305A21"/>
    <w:rPr>
      <w:rFonts w:ascii="Arial" w:hAnsi="Arial"/>
      <w:snapToGrid w:val="0"/>
      <w:sz w:val="24"/>
      <w:lang w:val="es-ES_tradnl"/>
    </w:rPr>
  </w:style>
  <w:style w:type="character" w:customStyle="1" w:styleId="Ttulo4Car">
    <w:name w:val="Título 4 Car"/>
    <w:basedOn w:val="Fuentedeprrafopredeter"/>
    <w:link w:val="Ttulo4"/>
    <w:rsid w:val="00421A91"/>
    <w:rPr>
      <w:rFonts w:asciiTheme="majorHAnsi" w:eastAsiaTheme="majorEastAsia" w:hAnsiTheme="majorHAnsi" w:cstheme="majorBidi"/>
      <w:i/>
      <w:iCs/>
      <w:color w:val="365F91" w:themeColor="accent1" w:themeShade="BF"/>
      <w:sz w:val="24"/>
      <w:szCs w:val="24"/>
      <w:lang w:val="es-ES_tradnl"/>
    </w:rPr>
  </w:style>
  <w:style w:type="paragraph" w:customStyle="1" w:styleId="bulnot">
    <w:name w:val="bulnot"/>
    <w:basedOn w:val="Normal"/>
    <w:rsid w:val="00421A91"/>
    <w:pPr>
      <w:widowControl/>
      <w:tabs>
        <w:tab w:val="left" w:pos="851"/>
      </w:tabs>
      <w:spacing w:before="360"/>
      <w:ind w:left="1985" w:right="2036" w:hanging="273"/>
      <w:jc w:val="both"/>
    </w:pPr>
    <w:rPr>
      <w:b/>
      <w:snapToGrid/>
      <w:color w:val="0000FF"/>
      <w:spacing w:val="10"/>
      <w:sz w:val="22"/>
      <w:lang w:val="es-MX"/>
    </w:rPr>
  </w:style>
  <w:style w:type="paragraph" w:styleId="Ttulo">
    <w:name w:val="Title"/>
    <w:basedOn w:val="Normal"/>
    <w:link w:val="TtuloCar"/>
    <w:uiPriority w:val="10"/>
    <w:qFormat/>
    <w:rsid w:val="00421A91"/>
    <w:pPr>
      <w:widowControl/>
      <w:jc w:val="center"/>
    </w:pPr>
    <w:rPr>
      <w:b/>
      <w:snapToGrid/>
      <w:lang w:val="es-ES"/>
    </w:rPr>
  </w:style>
  <w:style w:type="character" w:customStyle="1" w:styleId="TtuloCar">
    <w:name w:val="Título Car"/>
    <w:basedOn w:val="Fuentedeprrafopredeter"/>
    <w:link w:val="Ttulo"/>
    <w:uiPriority w:val="10"/>
    <w:rsid w:val="00421A91"/>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4973">
      <w:bodyDiv w:val="1"/>
      <w:marLeft w:val="0"/>
      <w:marRight w:val="0"/>
      <w:marTop w:val="0"/>
      <w:marBottom w:val="0"/>
      <w:divBdr>
        <w:top w:val="none" w:sz="0" w:space="0" w:color="auto"/>
        <w:left w:val="none" w:sz="0" w:space="0" w:color="auto"/>
        <w:bottom w:val="none" w:sz="0" w:space="0" w:color="auto"/>
        <w:right w:val="none" w:sz="0" w:space="0" w:color="auto"/>
      </w:divBdr>
    </w:div>
    <w:div w:id="179663901">
      <w:bodyDiv w:val="1"/>
      <w:marLeft w:val="0"/>
      <w:marRight w:val="0"/>
      <w:marTop w:val="0"/>
      <w:marBottom w:val="0"/>
      <w:divBdr>
        <w:top w:val="none" w:sz="0" w:space="0" w:color="auto"/>
        <w:left w:val="none" w:sz="0" w:space="0" w:color="auto"/>
        <w:bottom w:val="none" w:sz="0" w:space="0" w:color="auto"/>
        <w:right w:val="none" w:sz="0" w:space="0" w:color="auto"/>
      </w:divBdr>
    </w:div>
    <w:div w:id="452095548">
      <w:bodyDiv w:val="1"/>
      <w:marLeft w:val="0"/>
      <w:marRight w:val="0"/>
      <w:marTop w:val="0"/>
      <w:marBottom w:val="0"/>
      <w:divBdr>
        <w:top w:val="none" w:sz="0" w:space="0" w:color="auto"/>
        <w:left w:val="none" w:sz="0" w:space="0" w:color="auto"/>
        <w:bottom w:val="none" w:sz="0" w:space="0" w:color="auto"/>
        <w:right w:val="none" w:sz="0" w:space="0" w:color="auto"/>
      </w:divBdr>
    </w:div>
    <w:div w:id="734087774">
      <w:bodyDiv w:val="1"/>
      <w:marLeft w:val="0"/>
      <w:marRight w:val="0"/>
      <w:marTop w:val="0"/>
      <w:marBottom w:val="0"/>
      <w:divBdr>
        <w:top w:val="none" w:sz="0" w:space="0" w:color="auto"/>
        <w:left w:val="none" w:sz="0" w:space="0" w:color="auto"/>
        <w:bottom w:val="none" w:sz="0" w:space="0" w:color="auto"/>
        <w:right w:val="none" w:sz="0" w:space="0" w:color="auto"/>
      </w:divBdr>
    </w:div>
    <w:div w:id="1048989487">
      <w:bodyDiv w:val="1"/>
      <w:marLeft w:val="0"/>
      <w:marRight w:val="0"/>
      <w:marTop w:val="0"/>
      <w:marBottom w:val="0"/>
      <w:divBdr>
        <w:top w:val="none" w:sz="0" w:space="0" w:color="auto"/>
        <w:left w:val="none" w:sz="0" w:space="0" w:color="auto"/>
        <w:bottom w:val="none" w:sz="0" w:space="0" w:color="auto"/>
        <w:right w:val="none" w:sz="0" w:space="0" w:color="auto"/>
      </w:divBdr>
    </w:div>
    <w:div w:id="1054545712">
      <w:bodyDiv w:val="1"/>
      <w:marLeft w:val="0"/>
      <w:marRight w:val="0"/>
      <w:marTop w:val="0"/>
      <w:marBottom w:val="0"/>
      <w:divBdr>
        <w:top w:val="none" w:sz="0" w:space="0" w:color="auto"/>
        <w:left w:val="none" w:sz="0" w:space="0" w:color="auto"/>
        <w:bottom w:val="none" w:sz="0" w:space="0" w:color="auto"/>
        <w:right w:val="none" w:sz="0" w:space="0" w:color="auto"/>
      </w:divBdr>
    </w:div>
    <w:div w:id="1605266309">
      <w:bodyDiv w:val="1"/>
      <w:marLeft w:val="0"/>
      <w:marRight w:val="0"/>
      <w:marTop w:val="0"/>
      <w:marBottom w:val="0"/>
      <w:divBdr>
        <w:top w:val="none" w:sz="0" w:space="0" w:color="auto"/>
        <w:left w:val="none" w:sz="0" w:space="0" w:color="auto"/>
        <w:bottom w:val="none" w:sz="0" w:space="0" w:color="auto"/>
        <w:right w:val="none" w:sz="0" w:space="0" w:color="auto"/>
      </w:divBdr>
    </w:div>
    <w:div w:id="1684865506">
      <w:bodyDiv w:val="1"/>
      <w:marLeft w:val="0"/>
      <w:marRight w:val="0"/>
      <w:marTop w:val="0"/>
      <w:marBottom w:val="0"/>
      <w:divBdr>
        <w:top w:val="none" w:sz="0" w:space="0" w:color="auto"/>
        <w:left w:val="none" w:sz="0" w:space="0" w:color="auto"/>
        <w:bottom w:val="none" w:sz="0" w:space="0" w:color="auto"/>
        <w:right w:val="none" w:sz="0" w:space="0" w:color="auto"/>
      </w:divBdr>
    </w:div>
    <w:div w:id="1830320886">
      <w:bodyDiv w:val="1"/>
      <w:marLeft w:val="0"/>
      <w:marRight w:val="0"/>
      <w:marTop w:val="0"/>
      <w:marBottom w:val="0"/>
      <w:divBdr>
        <w:top w:val="none" w:sz="0" w:space="0" w:color="auto"/>
        <w:left w:val="none" w:sz="0" w:space="0" w:color="auto"/>
        <w:bottom w:val="none" w:sz="0" w:space="0" w:color="auto"/>
        <w:right w:val="none" w:sz="0" w:space="0" w:color="auto"/>
      </w:divBdr>
    </w:div>
    <w:div w:id="1971550127">
      <w:bodyDiv w:val="1"/>
      <w:marLeft w:val="0"/>
      <w:marRight w:val="0"/>
      <w:marTop w:val="0"/>
      <w:marBottom w:val="0"/>
      <w:divBdr>
        <w:top w:val="none" w:sz="0" w:space="0" w:color="auto"/>
        <w:left w:val="none" w:sz="0" w:space="0" w:color="auto"/>
        <w:bottom w:val="none" w:sz="0" w:space="0" w:color="auto"/>
        <w:right w:val="none" w:sz="0" w:space="0" w:color="auto"/>
      </w:divBdr>
    </w:div>
    <w:div w:id="2118601402">
      <w:bodyDiv w:val="1"/>
      <w:marLeft w:val="0"/>
      <w:marRight w:val="0"/>
      <w:marTop w:val="0"/>
      <w:marBottom w:val="0"/>
      <w:divBdr>
        <w:top w:val="none" w:sz="0" w:space="0" w:color="auto"/>
        <w:left w:val="none" w:sz="0" w:space="0" w:color="auto"/>
        <w:bottom w:val="none" w:sz="0" w:space="0" w:color="auto"/>
        <w:right w:val="none" w:sz="0" w:space="0" w:color="auto"/>
      </w:divBdr>
    </w:div>
    <w:div w:id="2126850444">
      <w:bodyDiv w:val="1"/>
      <w:marLeft w:val="0"/>
      <w:marRight w:val="0"/>
      <w:marTop w:val="0"/>
      <w:marBottom w:val="0"/>
      <w:divBdr>
        <w:top w:val="none" w:sz="0" w:space="0" w:color="auto"/>
        <w:left w:val="none" w:sz="0" w:space="0" w:color="auto"/>
        <w:bottom w:val="none" w:sz="0" w:space="0" w:color="auto"/>
        <w:right w:val="none" w:sz="0" w:space="0" w:color="auto"/>
      </w:divBdr>
      <w:divsChild>
        <w:div w:id="469592732">
          <w:marLeft w:val="0"/>
          <w:marRight w:val="0"/>
          <w:marTop w:val="0"/>
          <w:marBottom w:val="0"/>
          <w:divBdr>
            <w:top w:val="none" w:sz="0" w:space="0" w:color="auto"/>
            <w:left w:val="none" w:sz="0" w:space="0" w:color="auto"/>
            <w:bottom w:val="none" w:sz="0" w:space="0" w:color="auto"/>
            <w:right w:val="none" w:sz="0" w:space="0" w:color="auto"/>
          </w:divBdr>
          <w:divsChild>
            <w:div w:id="671837456">
              <w:marLeft w:val="0"/>
              <w:marRight w:val="0"/>
              <w:marTop w:val="0"/>
              <w:marBottom w:val="0"/>
              <w:divBdr>
                <w:top w:val="none" w:sz="0" w:space="0" w:color="auto"/>
                <w:left w:val="none" w:sz="0" w:space="0" w:color="auto"/>
                <w:bottom w:val="none" w:sz="0" w:space="0" w:color="auto"/>
                <w:right w:val="none" w:sz="0" w:space="0" w:color="auto"/>
              </w:divBdr>
              <w:divsChild>
                <w:div w:id="537086065">
                  <w:marLeft w:val="15"/>
                  <w:marRight w:val="0"/>
                  <w:marTop w:val="0"/>
                  <w:marBottom w:val="0"/>
                  <w:divBdr>
                    <w:top w:val="none" w:sz="0" w:space="0" w:color="auto"/>
                    <w:left w:val="none" w:sz="0" w:space="0" w:color="auto"/>
                    <w:bottom w:val="none" w:sz="0" w:space="0" w:color="auto"/>
                    <w:right w:val="none" w:sz="0" w:space="0" w:color="auto"/>
                  </w:divBdr>
                  <w:divsChild>
                    <w:div w:id="799305079">
                      <w:marLeft w:val="0"/>
                      <w:marRight w:val="0"/>
                      <w:marTop w:val="0"/>
                      <w:marBottom w:val="0"/>
                      <w:divBdr>
                        <w:top w:val="none" w:sz="0" w:space="0" w:color="auto"/>
                        <w:left w:val="none" w:sz="0" w:space="0" w:color="auto"/>
                        <w:bottom w:val="none" w:sz="0" w:space="0" w:color="auto"/>
                        <w:right w:val="none" w:sz="0" w:space="0" w:color="auto"/>
                      </w:divBdr>
                      <w:divsChild>
                        <w:div w:id="2140996372">
                          <w:marLeft w:val="0"/>
                          <w:marRight w:val="0"/>
                          <w:marTop w:val="0"/>
                          <w:marBottom w:val="0"/>
                          <w:divBdr>
                            <w:top w:val="none" w:sz="0" w:space="0" w:color="auto"/>
                            <w:left w:val="none" w:sz="0" w:space="0" w:color="auto"/>
                            <w:bottom w:val="none" w:sz="0" w:space="0" w:color="auto"/>
                            <w:right w:val="none" w:sz="0" w:space="0" w:color="auto"/>
                          </w:divBdr>
                          <w:divsChild>
                            <w:div w:id="4860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icacionsocial@inegi.org.mx" TargetMode="External"/><Relationship Id="rId13" Type="http://schemas.openxmlformats.org/officeDocument/2006/relationships/hyperlink" Target="https://www.instagram.com/inegi_informa/" TargetMode="External"/><Relationship Id="rId18" Type="http://schemas.openxmlformats.org/officeDocument/2006/relationships/image" Target="media/image5.jpe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www.youtube.com/user/INEGIInforma" TargetMode="External"/><Relationship Id="rId25" Type="http://schemas.openxmlformats.org/officeDocument/2006/relationships/image" Target="media/image7.gif"/><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INEGIInforma/" TargetMode="External"/><Relationship Id="rId24" Type="http://schemas.openxmlformats.org/officeDocument/2006/relationships/hyperlink" Target="javascript:AddMetaDato('2951','Sistema%20de%20indicadores%20c&#237;clicos','');" TargetMode="External"/><Relationship Id="rId5" Type="http://schemas.openxmlformats.org/officeDocument/2006/relationships/webSettings" Target="webSettings.xml"/><Relationship Id="rId15" Type="http://schemas.openxmlformats.org/officeDocument/2006/relationships/hyperlink" Target="https://twitter.com/INEGI_INFORMA" TargetMode="External"/><Relationship Id="rId23" Type="http://schemas.openxmlformats.org/officeDocument/2006/relationships/hyperlink" Target="https://www.inegi.org.mx/app/biblioteca/ficha.html?upc=702825099060"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inegi.org.mx/"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oleObject" Target="file:///D:\Notas%20Trabajo%202021\PIB%20Oportuno\2022\1er%20Trim\Graficas%20PIB%20constante%20(originales)_1er_T_2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Notas%20Trabajo%202021\PIB%20Oportuno\2022\1er%20Trim\Graficas%20PIB%20constante%20(originales)_1er_T_22.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0"/>
      <c:rotY val="20"/>
      <c:depthPercent val="50"/>
      <c:rAngAx val="1"/>
    </c:view3D>
    <c:floor>
      <c:thickness val="0"/>
      <c:spPr>
        <a:noFill/>
        <a:ln>
          <a:noFill/>
        </a:ln>
        <a:effectLst/>
        <a:sp3d/>
      </c:spPr>
    </c:floor>
    <c:sideWall>
      <c:thickness val="0"/>
      <c:spPr>
        <a:noFill/>
        <a:ln>
          <a:solidFill>
            <a:schemeClr val="bg1">
              <a:lumMod val="85000"/>
            </a:schemeClr>
          </a:solidFill>
        </a:ln>
        <a:effectLst/>
        <a:sp3d>
          <a:contourClr>
            <a:schemeClr val="bg1">
              <a:lumMod val="85000"/>
            </a:schemeClr>
          </a:contourClr>
        </a:sp3d>
      </c:spPr>
    </c:sideWall>
    <c:backWall>
      <c:thickness val="0"/>
      <c:spPr>
        <a:noFill/>
        <a:ln>
          <a:solidFill>
            <a:schemeClr val="bg1">
              <a:lumMod val="85000"/>
            </a:schemeClr>
          </a:solidFill>
        </a:ln>
        <a:effectLst/>
        <a:sp3d>
          <a:contourClr>
            <a:schemeClr val="bg1">
              <a:lumMod val="85000"/>
            </a:schemeClr>
          </a:contourClr>
        </a:sp3d>
      </c:spPr>
    </c:backWall>
    <c:plotArea>
      <c:layout/>
      <c:bar3DChart>
        <c:barDir val="col"/>
        <c:grouping val="clustered"/>
        <c:varyColors val="0"/>
        <c:ser>
          <c:idx val="0"/>
          <c:order val="0"/>
          <c:spPr>
            <a:solidFill>
              <a:schemeClr val="accent1">
                <a:lumMod val="60000"/>
                <a:lumOff val="40000"/>
              </a:schemeClr>
            </a:solidFill>
            <a:ln>
              <a:noFill/>
            </a:ln>
            <a:effectLst/>
            <a:sp3d/>
          </c:spPr>
          <c:invertIfNegative val="0"/>
          <c:dPt>
            <c:idx val="0"/>
            <c:invertIfNegative val="0"/>
            <c:bubble3D val="0"/>
            <c:spPr>
              <a:solidFill>
                <a:schemeClr val="accent1">
                  <a:lumMod val="50000"/>
                </a:schemeClr>
              </a:solidFill>
              <a:ln>
                <a:noFill/>
              </a:ln>
              <a:effectLst/>
              <a:sp3d/>
            </c:spPr>
            <c:extLst>
              <c:ext xmlns:c16="http://schemas.microsoft.com/office/drawing/2014/chart" uri="{C3380CC4-5D6E-409C-BE32-E72D297353CC}">
                <c16:uniqueId val="{00000001-5378-4E51-A63E-71C5DBF1C870}"/>
              </c:ext>
            </c:extLst>
          </c:dPt>
          <c:dPt>
            <c:idx val="1"/>
            <c:invertIfNegative val="0"/>
            <c:bubble3D val="0"/>
            <c:spPr>
              <a:solidFill>
                <a:schemeClr val="accent1">
                  <a:lumMod val="60000"/>
                  <a:lumOff val="40000"/>
                </a:schemeClr>
              </a:solidFill>
              <a:ln>
                <a:noFill/>
              </a:ln>
              <a:effectLst/>
              <a:sp3d/>
            </c:spPr>
            <c:extLst>
              <c:ext xmlns:c16="http://schemas.microsoft.com/office/drawing/2014/chart" uri="{C3380CC4-5D6E-409C-BE32-E72D297353CC}">
                <c16:uniqueId val="{00000003-5378-4E51-A63E-71C5DBF1C870}"/>
              </c:ext>
            </c:extLst>
          </c:dPt>
          <c:dPt>
            <c:idx val="2"/>
            <c:invertIfNegative val="0"/>
            <c:bubble3D val="0"/>
            <c:spPr>
              <a:solidFill>
                <a:schemeClr val="accent1">
                  <a:lumMod val="60000"/>
                  <a:lumOff val="40000"/>
                </a:schemeClr>
              </a:solidFill>
              <a:ln>
                <a:noFill/>
              </a:ln>
              <a:effectLst/>
              <a:sp3d/>
            </c:spPr>
            <c:extLst>
              <c:ext xmlns:c16="http://schemas.microsoft.com/office/drawing/2014/chart" uri="{C3380CC4-5D6E-409C-BE32-E72D297353CC}">
                <c16:uniqueId val="{00000005-5378-4E51-A63E-71C5DBF1C870}"/>
              </c:ext>
            </c:extLst>
          </c:dPt>
          <c:dPt>
            <c:idx val="3"/>
            <c:invertIfNegative val="0"/>
            <c:bubble3D val="0"/>
            <c:spPr>
              <a:solidFill>
                <a:schemeClr val="accent1">
                  <a:lumMod val="60000"/>
                  <a:lumOff val="40000"/>
                </a:schemeClr>
              </a:solidFill>
              <a:ln>
                <a:noFill/>
              </a:ln>
              <a:effectLst/>
              <a:sp3d/>
            </c:spPr>
            <c:extLst>
              <c:ext xmlns:c16="http://schemas.microsoft.com/office/drawing/2014/chart" uri="{C3380CC4-5D6E-409C-BE32-E72D297353CC}">
                <c16:uniqueId val="{00000007-5378-4E51-A63E-71C5DBF1C870}"/>
              </c:ext>
            </c:extLst>
          </c:dPt>
          <c:dLbls>
            <c:dLbl>
              <c:idx val="0"/>
              <c:layout>
                <c:manualLayout>
                  <c:x val="2.1989136797554303E-2"/>
                  <c:y val="-1.01607399668630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378-4E51-A63E-71C5DBF1C870}"/>
                </c:ext>
              </c:extLst>
            </c:dLbl>
            <c:dLbl>
              <c:idx val="1"/>
              <c:layout>
                <c:manualLayout>
                  <c:x val="2.0520732634012565E-2"/>
                  <c:y val="-1.0119839618869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378-4E51-A63E-71C5DBF1C870}"/>
                </c:ext>
              </c:extLst>
            </c:dLbl>
            <c:dLbl>
              <c:idx val="2"/>
              <c:layout>
                <c:manualLayout>
                  <c:x val="8.7817793345194746E-3"/>
                  <c:y val="-4.012521515576496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378-4E51-A63E-71C5DBF1C870}"/>
                </c:ext>
              </c:extLst>
            </c:dLbl>
            <c:dLbl>
              <c:idx val="3"/>
              <c:layout>
                <c:manualLayout>
                  <c:x val="1.6132770529016224E-2"/>
                  <c:y val="-4.085580211564537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378-4E51-A63E-71C5DBF1C870}"/>
                </c:ext>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datos!$O$50:$O$53</c:f>
              <c:strCache>
                <c:ptCount val="4"/>
                <c:pt idx="0">
                  <c:v>PIB Total</c:v>
                </c:pt>
                <c:pt idx="1">
                  <c:v>Actividades Primarias</c:v>
                </c:pt>
                <c:pt idx="2">
                  <c:v>Actividades Secundarias</c:v>
                </c:pt>
                <c:pt idx="3">
                  <c:v>Actividades Terciarias</c:v>
                </c:pt>
              </c:strCache>
            </c:strRef>
          </c:cat>
          <c:val>
            <c:numRef>
              <c:f>datos!$P$50:$P$53</c:f>
              <c:numCache>
                <c:formatCode>0.0</c:formatCode>
                <c:ptCount val="4"/>
                <c:pt idx="0">
                  <c:v>1.5534031881197876</c:v>
                </c:pt>
                <c:pt idx="1">
                  <c:v>1.8285263460886796</c:v>
                </c:pt>
                <c:pt idx="2">
                  <c:v>2.9148529166927943</c:v>
                </c:pt>
                <c:pt idx="3">
                  <c:v>0.62738554562693594</c:v>
                </c:pt>
              </c:numCache>
            </c:numRef>
          </c:val>
          <c:extLst>
            <c:ext xmlns:c16="http://schemas.microsoft.com/office/drawing/2014/chart" uri="{C3380CC4-5D6E-409C-BE32-E72D297353CC}">
              <c16:uniqueId val="{00000008-5378-4E51-A63E-71C5DBF1C870}"/>
            </c:ext>
          </c:extLst>
        </c:ser>
        <c:dLbls>
          <c:showLegendKey val="0"/>
          <c:showVal val="0"/>
          <c:showCatName val="0"/>
          <c:showSerName val="0"/>
          <c:showPercent val="0"/>
          <c:showBubbleSize val="0"/>
        </c:dLbls>
        <c:gapWidth val="99"/>
        <c:gapDepth val="58"/>
        <c:shape val="box"/>
        <c:axId val="210413848"/>
        <c:axId val="210415808"/>
        <c:axId val="0"/>
      </c:bar3DChart>
      <c:catAx>
        <c:axId val="210413848"/>
        <c:scaling>
          <c:orientation val="minMax"/>
        </c:scaling>
        <c:delete val="0"/>
        <c:axPos val="b"/>
        <c:numFmt formatCode="General" sourceLinked="1"/>
        <c:majorTickMark val="none"/>
        <c:minorTickMark val="none"/>
        <c:tickLblPos val="low"/>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10415808"/>
        <c:crossesAt val="0"/>
        <c:auto val="1"/>
        <c:lblAlgn val="ctr"/>
        <c:lblOffset val="100"/>
        <c:noMultiLvlLbl val="0"/>
      </c:catAx>
      <c:valAx>
        <c:axId val="210415808"/>
        <c:scaling>
          <c:orientation val="minMax"/>
          <c:max val="4"/>
          <c:min val="0"/>
        </c:scaling>
        <c:delete val="0"/>
        <c:axPos val="l"/>
        <c:majorGridlines>
          <c:spPr>
            <a:ln w="0" cap="flat" cmpd="sng" algn="ctr">
              <a:solidFill>
                <a:schemeClr val="bg1">
                  <a:lumMod val="85000"/>
                </a:schemeClr>
              </a:solidFill>
              <a:round/>
            </a:ln>
            <a:effectLst/>
          </c:spPr>
        </c:majorGridlines>
        <c:numFmt formatCode="0.0" sourceLinked="1"/>
        <c:majorTickMark val="none"/>
        <c:minorTickMark val="none"/>
        <c:tickLblPos val="low"/>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10413848"/>
        <c:crosses val="autoZero"/>
        <c:crossBetween val="between"/>
        <c:majorUnit val="1"/>
      </c:valAx>
      <c:spPr>
        <a:noFill/>
        <a:ln>
          <a:noFill/>
        </a:ln>
        <a:effectLst/>
      </c:spPr>
    </c:plotArea>
    <c:plotVisOnly val="1"/>
    <c:dispBlanksAs val="gap"/>
    <c:showDLblsOverMax val="0"/>
  </c:chart>
  <c:spPr>
    <a:noFill/>
    <a:ln w="6350" cap="flat" cmpd="sng" algn="ctr">
      <a:solidFill>
        <a:schemeClr val="tx1"/>
      </a:solidFill>
      <a:round/>
    </a:ln>
    <a:effectLst/>
  </c:spPr>
  <c:txPr>
    <a:bodyPr/>
    <a:lstStyle/>
    <a:p>
      <a:pPr>
        <a:defRPr sz="7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20"/>
      <c:rAngAx val="0"/>
      <c:perspective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datos!$M$49</c:f>
              <c:strCache>
                <c:ptCount val="1"/>
                <c:pt idx="0">
                  <c:v>Crecimiento  Histórico</c:v>
                </c:pt>
              </c:strCache>
            </c:strRef>
          </c:tx>
          <c:spPr>
            <a:solidFill>
              <a:schemeClr val="tx2">
                <a:lumMod val="60000"/>
                <a:lumOff val="40000"/>
              </a:schemeClr>
            </a:solidFill>
            <a:ln>
              <a:noFill/>
            </a:ln>
            <a:effectLst/>
            <a:sp3d/>
          </c:spPr>
          <c:invertIfNegative val="0"/>
          <c:dPt>
            <c:idx val="12"/>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1-3DD3-4902-8C18-46984D15D6C0}"/>
              </c:ext>
            </c:extLst>
          </c:dPt>
          <c:dPt>
            <c:idx val="13"/>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3-3DD3-4902-8C18-46984D15D6C0}"/>
              </c:ext>
            </c:extLst>
          </c:dPt>
          <c:dPt>
            <c:idx val="14"/>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5-3DD3-4902-8C18-46984D15D6C0}"/>
              </c:ext>
            </c:extLst>
          </c:dPt>
          <c:dPt>
            <c:idx val="15"/>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7-3DD3-4902-8C18-46984D15D6C0}"/>
              </c:ext>
            </c:extLst>
          </c:dPt>
          <c:dPt>
            <c:idx val="16"/>
            <c:invertIfNegative val="0"/>
            <c:bubble3D val="0"/>
            <c:spPr>
              <a:solidFill>
                <a:schemeClr val="accent1">
                  <a:lumMod val="50000"/>
                </a:schemeClr>
              </a:solidFill>
              <a:ln>
                <a:noFill/>
              </a:ln>
              <a:effectLst/>
              <a:sp3d/>
            </c:spPr>
            <c:extLst>
              <c:ext xmlns:c16="http://schemas.microsoft.com/office/drawing/2014/chart" uri="{C3380CC4-5D6E-409C-BE32-E72D297353CC}">
                <c16:uniqueId val="{00000009-3DD3-4902-8C18-46984D15D6C0}"/>
              </c:ext>
            </c:extLst>
          </c:dPt>
          <c:dPt>
            <c:idx val="17"/>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B-3DD3-4902-8C18-46984D15D6C0}"/>
              </c:ext>
            </c:extLst>
          </c:dPt>
          <c:dPt>
            <c:idx val="18"/>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D-3DD3-4902-8C18-46984D15D6C0}"/>
              </c:ext>
            </c:extLst>
          </c:dPt>
          <c:dPt>
            <c:idx val="19"/>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F-3DD3-4902-8C18-46984D15D6C0}"/>
              </c:ext>
            </c:extLst>
          </c:dPt>
          <c:dLbls>
            <c:dLbl>
              <c:idx val="13"/>
              <c:layout>
                <c:manualLayout>
                  <c:x val="5.4665519121202284E-3"/>
                  <c:y val="6.246718833053897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DD3-4902-8C18-46984D15D6C0}"/>
                </c:ext>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datos!$B$67:$D$83</c:f>
              <c:multiLvlStrCache>
                <c:ptCount val="1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lvl>
                <c:lvl>
                  <c:pt idx="0">
                    <c:v>2018</c:v>
                  </c:pt>
                  <c:pt idx="4">
                    <c:v>2019</c:v>
                  </c:pt>
                  <c:pt idx="8">
                    <c:v>2020</c:v>
                  </c:pt>
                  <c:pt idx="12">
                    <c:v>2021</c:v>
                  </c:pt>
                  <c:pt idx="16">
                    <c:v>2022</c:v>
                  </c:pt>
                </c:lvl>
              </c:multiLvlStrCache>
            </c:multiLvlStrRef>
          </c:cat>
          <c:val>
            <c:numRef>
              <c:f>datos!$M$67:$M$83</c:f>
              <c:numCache>
                <c:formatCode>0.0</c:formatCode>
                <c:ptCount val="17"/>
                <c:pt idx="0">
                  <c:v>1.4678386553721667</c:v>
                </c:pt>
                <c:pt idx="1">
                  <c:v>3.2315332801806207</c:v>
                </c:pt>
                <c:pt idx="2">
                  <c:v>2.821644751876029</c:v>
                </c:pt>
                <c:pt idx="3">
                  <c:v>1.2854139329140368</c:v>
                </c:pt>
                <c:pt idx="4">
                  <c:v>1.2529211703257381</c:v>
                </c:pt>
                <c:pt idx="5">
                  <c:v>-1.0728063718526082</c:v>
                </c:pt>
                <c:pt idx="6">
                  <c:v>-0.17161100387556028</c:v>
                </c:pt>
                <c:pt idx="7">
                  <c:v>-0.69312727347586867</c:v>
                </c:pt>
                <c:pt idx="8">
                  <c:v>-0.99520943196450551</c:v>
                </c:pt>
                <c:pt idx="9">
                  <c:v>-18.712211437357031</c:v>
                </c:pt>
                <c:pt idx="10">
                  <c:v>-8.5402418350013161</c:v>
                </c:pt>
                <c:pt idx="11">
                  <c:v>-4.4146933274076927</c:v>
                </c:pt>
                <c:pt idx="12">
                  <c:v>-3.78813365838645</c:v>
                </c:pt>
                <c:pt idx="13">
                  <c:v>19.873887432825587</c:v>
                </c:pt>
                <c:pt idx="14">
                  <c:v>4.5207270920492482</c:v>
                </c:pt>
                <c:pt idx="15">
                  <c:v>1.1001596901249133</c:v>
                </c:pt>
                <c:pt idx="16">
                  <c:v>1.5534031881197841</c:v>
                </c:pt>
              </c:numCache>
            </c:numRef>
          </c:val>
          <c:extLst>
            <c:ext xmlns:c16="http://schemas.microsoft.com/office/drawing/2014/chart" uri="{C3380CC4-5D6E-409C-BE32-E72D297353CC}">
              <c16:uniqueId val="{00000010-3DD3-4902-8C18-46984D15D6C0}"/>
            </c:ext>
          </c:extLst>
        </c:ser>
        <c:ser>
          <c:idx val="1"/>
          <c:order val="1"/>
          <c:tx>
            <c:strRef>
              <c:f>datos!$N$49</c:f>
              <c:strCache>
                <c:ptCount val="1"/>
                <c:pt idx="0">
                  <c:v>Estimación Oportuna</c:v>
                </c:pt>
              </c:strCache>
            </c:strRef>
          </c:tx>
          <c:spPr>
            <a:solidFill>
              <a:schemeClr val="accent1">
                <a:lumMod val="50000"/>
              </a:schemeClr>
            </a:solidFill>
            <a:ln>
              <a:noFill/>
            </a:ln>
            <a:effectLst/>
            <a:sp3d/>
          </c:spPr>
          <c:invertIfNegative val="0"/>
          <c:cat>
            <c:multiLvlStrRef>
              <c:f>datos!$B$67:$D$83</c:f>
              <c:multiLvlStrCache>
                <c:ptCount val="1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lvl>
                <c:lvl>
                  <c:pt idx="0">
                    <c:v>2018</c:v>
                  </c:pt>
                  <c:pt idx="4">
                    <c:v>2019</c:v>
                  </c:pt>
                  <c:pt idx="8">
                    <c:v>2020</c:v>
                  </c:pt>
                  <c:pt idx="12">
                    <c:v>2021</c:v>
                  </c:pt>
                  <c:pt idx="16">
                    <c:v>2022</c:v>
                  </c:pt>
                </c:lvl>
              </c:multiLvlStrCache>
            </c:multiLvlStrRef>
          </c:cat>
          <c:val>
            <c:numRef>
              <c:f>datos!$N$67:$N$83</c:f>
              <c:numCache>
                <c:formatCode>General</c:formatCode>
                <c:ptCount val="17"/>
              </c:numCache>
            </c:numRef>
          </c:val>
          <c:extLst>
            <c:ext xmlns:c16="http://schemas.microsoft.com/office/drawing/2014/chart" uri="{C3380CC4-5D6E-409C-BE32-E72D297353CC}">
              <c16:uniqueId val="{00000011-3DD3-4902-8C18-46984D15D6C0}"/>
            </c:ext>
          </c:extLst>
        </c:ser>
        <c:dLbls>
          <c:showLegendKey val="0"/>
          <c:showVal val="0"/>
          <c:showCatName val="0"/>
          <c:showSerName val="0"/>
          <c:showPercent val="0"/>
          <c:showBubbleSize val="0"/>
        </c:dLbls>
        <c:gapWidth val="14"/>
        <c:gapDepth val="23"/>
        <c:shape val="box"/>
        <c:axId val="210415024"/>
        <c:axId val="210416592"/>
        <c:axId val="0"/>
      </c:bar3DChart>
      <c:catAx>
        <c:axId val="210415024"/>
        <c:scaling>
          <c:orientation val="minMax"/>
        </c:scaling>
        <c:delete val="0"/>
        <c:axPos val="b"/>
        <c:numFmt formatCode="General" sourceLinked="1"/>
        <c:majorTickMark val="none"/>
        <c:minorTickMark val="none"/>
        <c:tickLblPos val="low"/>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10416592"/>
        <c:crosses val="autoZero"/>
        <c:auto val="1"/>
        <c:lblAlgn val="ctr"/>
        <c:lblOffset val="100"/>
        <c:noMultiLvlLbl val="0"/>
      </c:catAx>
      <c:valAx>
        <c:axId val="210416592"/>
        <c:scaling>
          <c:orientation val="minMax"/>
          <c:max val="25"/>
          <c:min val="-25"/>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10415024"/>
        <c:crosses val="autoZero"/>
        <c:crossBetween val="between"/>
        <c:majorUnit val="5"/>
        <c:minorUnit val="0.5"/>
      </c:valAx>
      <c:spPr>
        <a:noFill/>
        <a:ln>
          <a:noFill/>
        </a:ln>
        <a:effectLst/>
      </c:spPr>
    </c:plotArea>
    <c:legend>
      <c:legendPos val="b"/>
      <c:layout>
        <c:manualLayout>
          <c:xMode val="edge"/>
          <c:yMode val="edge"/>
          <c:x val="0.15102370525487718"/>
          <c:y val="0.93650446256792397"/>
          <c:w val="0.81961121867760611"/>
          <c:h val="5.1351721678413571E-2"/>
        </c:manualLayout>
      </c:layout>
      <c:overlay val="0"/>
      <c:spPr>
        <a:noFill/>
        <a:ln>
          <a:noFill/>
        </a:ln>
        <a:effectLst/>
      </c:spPr>
      <c:txPr>
        <a:bodyPr rot="0" spcFirstLastPara="1" vertOverflow="ellipsis" vert="horz" wrap="square" anchor="ctr" anchorCtr="1"/>
        <a:lstStyle/>
        <a:p>
          <a:pPr>
            <a:defRPr sz="7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solidFill>
        <a:schemeClr val="tx1"/>
      </a:solidFill>
      <a:round/>
    </a:ln>
    <a:effectLst/>
  </c:spPr>
  <c:txPr>
    <a:bodyPr/>
    <a:lstStyle/>
    <a:p>
      <a:pPr>
        <a:defRPr sz="7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9EDDF-5F50-4232-9C2A-51DC1D4B5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1697</Words>
  <Characters>9338</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Comunicado de Prensa. Estimación Oportuna del Producto Interno Bruto. Primer Trimestre de 2022</vt:lpstr>
    </vt:vector>
  </TitlesOfParts>
  <Company>DGCNES y P.  "INEGI"</Company>
  <LinksUpToDate>false</LinksUpToDate>
  <CharactersWithSpaces>11013</CharactersWithSpaces>
  <SharedDoc>false</SharedDoc>
  <HLinks>
    <vt:vector size="24" baseType="variant">
      <vt:variant>
        <vt:i4>262227</vt:i4>
      </vt:variant>
      <vt:variant>
        <vt:i4>0</vt:i4>
      </vt:variant>
      <vt:variant>
        <vt:i4>0</vt:i4>
      </vt:variant>
      <vt:variant>
        <vt:i4>5</vt:i4>
      </vt:variant>
      <vt:variant>
        <vt:lpwstr>http://www.inegi.org.mx/</vt:lpwstr>
      </vt:variant>
      <vt:variant>
        <vt:lpwstr/>
      </vt:variant>
      <vt:variant>
        <vt:i4>196687</vt:i4>
      </vt:variant>
      <vt:variant>
        <vt:i4>0</vt:i4>
      </vt:variant>
      <vt:variant>
        <vt:i4>0</vt:i4>
      </vt:variant>
      <vt:variant>
        <vt:i4>5</vt:i4>
      </vt:variant>
      <vt:variant>
        <vt:lpwstr>http://www.censo2010.org.mx/</vt:lpwstr>
      </vt:variant>
      <vt:variant>
        <vt:lpwstr/>
      </vt:variant>
      <vt:variant>
        <vt:i4>196687</vt:i4>
      </vt:variant>
      <vt:variant>
        <vt:i4>-1</vt:i4>
      </vt:variant>
      <vt:variant>
        <vt:i4>9217</vt:i4>
      </vt:variant>
      <vt:variant>
        <vt:i4>4</vt:i4>
      </vt:variant>
      <vt:variant>
        <vt:lpwstr>http://www.censo2010.org.mx/</vt:lpwstr>
      </vt:variant>
      <vt:variant>
        <vt:lpwstr/>
      </vt:variant>
      <vt:variant>
        <vt:i4>196687</vt:i4>
      </vt:variant>
      <vt:variant>
        <vt:i4>-1</vt:i4>
      </vt:variant>
      <vt:variant>
        <vt:i4>1026</vt:i4>
      </vt:variant>
      <vt:variant>
        <vt:i4>4</vt:i4>
      </vt:variant>
      <vt:variant>
        <vt:lpwstr>http://www.censo2010.org.mx/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Estimación Oportuna del Producto Interno Bruto. Primer Trimestre de 2022</dc:title>
  <dc:creator>Laura Calles</dc:creator>
  <cp:keywords>PIB</cp:keywords>
  <cp:lastModifiedBy>GUILLEN MEDINA MOISES</cp:lastModifiedBy>
  <cp:revision>28</cp:revision>
  <cp:lastPrinted>2020-10-29T19:25:00Z</cp:lastPrinted>
  <dcterms:created xsi:type="dcterms:W3CDTF">2022-04-28T22:20:00Z</dcterms:created>
  <dcterms:modified xsi:type="dcterms:W3CDTF">2022-04-29T00:02:00Z</dcterms:modified>
  <cp:category>SCNM</cp:category>
</cp:coreProperties>
</file>