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425AF" w14:textId="77777777" w:rsidR="006C2CD9" w:rsidRDefault="006C2CD9" w:rsidP="00943865">
      <w:pPr>
        <w:pStyle w:val="Profesin"/>
        <w:ind w:right="51"/>
        <w:outlineLvl w:val="0"/>
        <w:rPr>
          <w:rFonts w:cs="Arial"/>
          <w:bCs/>
          <w:sz w:val="24"/>
          <w:szCs w:val="24"/>
          <w:lang w:eastAsia="es-MX"/>
        </w:rPr>
      </w:pPr>
      <w:bookmarkStart w:id="0" w:name="_Hlk94550422"/>
      <w:bookmarkEnd w:id="0"/>
    </w:p>
    <w:p w14:paraId="271433FF" w14:textId="77777777" w:rsidR="003C7F75" w:rsidRDefault="003C7F75" w:rsidP="003C7F75">
      <w:pPr>
        <w:pStyle w:val="Profesin"/>
        <w:ind w:right="51"/>
        <w:outlineLvl w:val="0"/>
        <w:rPr>
          <w:rFonts w:cs="Arial"/>
          <w:bCs/>
          <w:sz w:val="24"/>
          <w:szCs w:val="24"/>
          <w:lang w:eastAsia="es-MX"/>
        </w:rPr>
      </w:pPr>
    </w:p>
    <w:p w14:paraId="5A2D672E" w14:textId="5A48F634" w:rsidR="001E0C18" w:rsidRDefault="009F3107" w:rsidP="003C7F75">
      <w:pPr>
        <w:pStyle w:val="Profesin"/>
        <w:ind w:right="51"/>
        <w:outlineLvl w:val="0"/>
        <w:rPr>
          <w:rFonts w:cs="Arial"/>
          <w:bCs/>
          <w:sz w:val="24"/>
          <w:szCs w:val="24"/>
          <w:lang w:eastAsia="es-MX"/>
        </w:rPr>
      </w:pPr>
      <w:bookmarkStart w:id="1" w:name="_GoBack"/>
      <w:bookmarkEnd w:id="1"/>
      <w:r w:rsidRPr="00BA5269">
        <w:rPr>
          <w:rFonts w:cs="Arial"/>
          <w:bCs/>
          <w:sz w:val="24"/>
          <w:szCs w:val="24"/>
          <w:lang w:eastAsia="es-MX"/>
        </w:rPr>
        <w:t>Valor Agregado Bruto del Comercio Electrónico</w:t>
      </w:r>
      <w:r>
        <w:rPr>
          <w:rFonts w:cs="Arial"/>
          <w:bCs/>
          <w:sz w:val="24"/>
          <w:szCs w:val="24"/>
          <w:lang w:eastAsia="es-MX"/>
        </w:rPr>
        <w:t xml:space="preserve"> 2020</w:t>
      </w:r>
    </w:p>
    <w:p w14:paraId="238DA92B" w14:textId="77FA60ED" w:rsidR="009F3107" w:rsidRPr="007039F9" w:rsidRDefault="007B446B" w:rsidP="003C7F75">
      <w:pPr>
        <w:pStyle w:val="Profesin"/>
        <w:ind w:right="51"/>
        <w:outlineLvl w:val="0"/>
        <w:rPr>
          <w:rFonts w:cs="Arial"/>
          <w:bCs/>
          <w:sz w:val="24"/>
          <w:szCs w:val="24"/>
          <w:lang w:eastAsia="es-MX"/>
        </w:rPr>
      </w:pPr>
      <w:r>
        <w:rPr>
          <w:rFonts w:cs="Arial"/>
          <w:bCs/>
          <w:sz w:val="24"/>
          <w:szCs w:val="24"/>
          <w:lang w:eastAsia="es-MX"/>
        </w:rPr>
        <w:t xml:space="preserve"> </w:t>
      </w:r>
      <w:r w:rsidR="001E0C18">
        <w:rPr>
          <w:rFonts w:cs="Arial"/>
          <w:bCs/>
          <w:sz w:val="24"/>
          <w:szCs w:val="24"/>
          <w:lang w:eastAsia="es-MX"/>
        </w:rPr>
        <w:t>(</w:t>
      </w:r>
      <w:r>
        <w:rPr>
          <w:rFonts w:cs="Arial"/>
          <w:bCs/>
          <w:sz w:val="24"/>
          <w:szCs w:val="24"/>
          <w:lang w:eastAsia="es-MX"/>
        </w:rPr>
        <w:t>preliminar</w:t>
      </w:r>
      <w:r w:rsidR="001E0C18">
        <w:rPr>
          <w:rFonts w:cs="Arial"/>
          <w:bCs/>
          <w:sz w:val="24"/>
          <w:szCs w:val="24"/>
          <w:lang w:eastAsia="es-MX"/>
        </w:rPr>
        <w:t>)</w:t>
      </w:r>
    </w:p>
    <w:p w14:paraId="0C9F9C62" w14:textId="77777777" w:rsidR="009F3107" w:rsidRPr="00BA5269" w:rsidRDefault="009F3107" w:rsidP="003C7F75">
      <w:pPr>
        <w:pStyle w:val="Profesin"/>
        <w:ind w:right="51"/>
        <w:jc w:val="both"/>
        <w:outlineLvl w:val="0"/>
        <w:rPr>
          <w:rFonts w:cs="Arial"/>
          <w:sz w:val="24"/>
          <w:szCs w:val="24"/>
          <w:lang w:val="es-MX"/>
        </w:rPr>
      </w:pPr>
      <w:r w:rsidRPr="00BA5269">
        <w:rPr>
          <w:rFonts w:cs="Arial"/>
          <w:sz w:val="24"/>
          <w:szCs w:val="24"/>
          <w:lang w:val="es-MX"/>
        </w:rPr>
        <w:t xml:space="preserve"> </w:t>
      </w:r>
    </w:p>
    <w:p w14:paraId="623F1332" w14:textId="30D3A6B8" w:rsidR="009F3107" w:rsidRPr="00943865" w:rsidRDefault="009F3107" w:rsidP="00FF36AD">
      <w:pPr>
        <w:pStyle w:val="Prrafodelista"/>
        <w:widowControl w:val="0"/>
        <w:numPr>
          <w:ilvl w:val="0"/>
          <w:numId w:val="1"/>
        </w:numPr>
        <w:tabs>
          <w:tab w:val="clear" w:pos="1571"/>
          <w:tab w:val="left" w:pos="0"/>
        </w:tabs>
        <w:autoSpaceDE w:val="0"/>
        <w:autoSpaceDN w:val="0"/>
        <w:adjustRightInd w:val="0"/>
        <w:spacing w:after="0"/>
        <w:ind w:left="567" w:right="446" w:hanging="283"/>
        <w:rPr>
          <w:rFonts w:ascii="Arial" w:eastAsia="Times New Roman" w:hAnsi="Arial"/>
          <w:noProof/>
          <w:color w:val="000000" w:themeColor="text1"/>
          <w:lang w:eastAsia="es-MX"/>
        </w:rPr>
      </w:pPr>
      <w:r w:rsidRPr="00943865">
        <w:rPr>
          <w:rFonts w:ascii="Arial" w:eastAsia="Times New Roman" w:hAnsi="Arial"/>
          <w:noProof/>
          <w:color w:val="000000" w:themeColor="text1"/>
          <w:lang w:eastAsia="es-MX"/>
        </w:rPr>
        <w:t>En 2020</w:t>
      </w:r>
      <w:r w:rsidR="001E0C18">
        <w:rPr>
          <w:rFonts w:ascii="Arial" w:eastAsia="Times New Roman" w:hAnsi="Arial"/>
          <w:noProof/>
          <w:color w:val="000000" w:themeColor="text1"/>
          <w:lang w:eastAsia="es-MX"/>
        </w:rPr>
        <w:t>,</w:t>
      </w:r>
      <w:r w:rsidRPr="00943865">
        <w:rPr>
          <w:rFonts w:ascii="Arial" w:eastAsia="Times New Roman" w:hAnsi="Arial"/>
          <w:noProof/>
          <w:color w:val="000000" w:themeColor="text1"/>
          <w:lang w:eastAsia="es-MX"/>
        </w:rPr>
        <w:t xml:space="preserve"> la participación del comercio electrónico de bienes y servicios en el Producto Interno Bruto fue de 5.8%</w:t>
      </w:r>
      <w:r w:rsidR="00261B2D" w:rsidRPr="00943865">
        <w:rPr>
          <w:rFonts w:ascii="Arial" w:eastAsia="Times New Roman" w:hAnsi="Arial"/>
          <w:noProof/>
          <w:color w:val="000000" w:themeColor="text1"/>
          <w:lang w:eastAsia="es-MX"/>
        </w:rPr>
        <w:t xml:space="preserve"> en valores corrientes</w:t>
      </w:r>
      <w:r w:rsidR="00074511" w:rsidRPr="00943865">
        <w:rPr>
          <w:rFonts w:ascii="Arial" w:eastAsia="Times New Roman" w:hAnsi="Arial"/>
          <w:noProof/>
          <w:color w:val="000000" w:themeColor="text1"/>
          <w:lang w:eastAsia="es-MX"/>
        </w:rPr>
        <w:t>.</w:t>
      </w:r>
    </w:p>
    <w:p w14:paraId="28D05CD4" w14:textId="239DA8AA" w:rsidR="009F3107" w:rsidRPr="00943865" w:rsidRDefault="009F3107" w:rsidP="00FF36AD">
      <w:pPr>
        <w:pStyle w:val="Prrafodelista"/>
        <w:widowControl w:val="0"/>
        <w:numPr>
          <w:ilvl w:val="0"/>
          <w:numId w:val="1"/>
        </w:numPr>
        <w:tabs>
          <w:tab w:val="clear" w:pos="1571"/>
          <w:tab w:val="left" w:pos="0"/>
        </w:tabs>
        <w:autoSpaceDE w:val="0"/>
        <w:autoSpaceDN w:val="0"/>
        <w:adjustRightInd w:val="0"/>
        <w:spacing w:after="0"/>
        <w:ind w:left="567" w:right="446" w:hanging="283"/>
        <w:rPr>
          <w:rFonts w:ascii="Arial" w:eastAsia="Times New Roman" w:hAnsi="Arial"/>
          <w:noProof/>
          <w:color w:val="000000" w:themeColor="text1"/>
          <w:lang w:eastAsia="es-MX"/>
        </w:rPr>
      </w:pPr>
      <w:r w:rsidRPr="00943865">
        <w:rPr>
          <w:rFonts w:ascii="Arial" w:eastAsia="Times New Roman" w:hAnsi="Arial"/>
          <w:noProof/>
          <w:color w:val="000000" w:themeColor="text1"/>
          <w:lang w:eastAsia="es-MX"/>
        </w:rPr>
        <w:t xml:space="preserve">En el mismo año, el </w:t>
      </w:r>
      <w:r w:rsidR="00074511" w:rsidRPr="00943865">
        <w:rPr>
          <w:rFonts w:ascii="Arial" w:eastAsia="Times New Roman" w:hAnsi="Arial"/>
          <w:noProof/>
          <w:color w:val="000000" w:themeColor="text1"/>
          <w:lang w:eastAsia="es-MX"/>
        </w:rPr>
        <w:t>V</w:t>
      </w:r>
      <w:r w:rsidRPr="00943865">
        <w:rPr>
          <w:rFonts w:ascii="Arial" w:eastAsia="Times New Roman" w:hAnsi="Arial"/>
          <w:noProof/>
          <w:color w:val="000000" w:themeColor="text1"/>
          <w:lang w:eastAsia="es-MX"/>
        </w:rPr>
        <w:t xml:space="preserve">alor </w:t>
      </w:r>
      <w:r w:rsidR="00074511" w:rsidRPr="00943865">
        <w:rPr>
          <w:rFonts w:ascii="Arial" w:eastAsia="Times New Roman" w:hAnsi="Arial"/>
          <w:noProof/>
          <w:color w:val="000000" w:themeColor="text1"/>
          <w:lang w:eastAsia="es-MX"/>
        </w:rPr>
        <w:t>A</w:t>
      </w:r>
      <w:r w:rsidRPr="00943865">
        <w:rPr>
          <w:rFonts w:ascii="Arial" w:eastAsia="Times New Roman" w:hAnsi="Arial"/>
          <w:noProof/>
          <w:color w:val="000000" w:themeColor="text1"/>
          <w:lang w:eastAsia="es-MX"/>
        </w:rPr>
        <w:t xml:space="preserve">gregado </w:t>
      </w:r>
      <w:r w:rsidR="00074511" w:rsidRPr="00943865">
        <w:rPr>
          <w:rFonts w:ascii="Arial" w:eastAsia="Times New Roman" w:hAnsi="Arial"/>
          <w:noProof/>
          <w:color w:val="000000" w:themeColor="text1"/>
          <w:lang w:eastAsia="es-MX"/>
        </w:rPr>
        <w:t xml:space="preserve">Bruto </w:t>
      </w:r>
      <w:r w:rsidRPr="00943865">
        <w:rPr>
          <w:rFonts w:ascii="Arial" w:eastAsia="Times New Roman" w:hAnsi="Arial"/>
          <w:noProof/>
          <w:color w:val="000000" w:themeColor="text1"/>
          <w:lang w:eastAsia="es-MX"/>
        </w:rPr>
        <w:t>generado por el comercio electrónico fue de 1</w:t>
      </w:r>
      <w:r w:rsidR="00943865" w:rsidRPr="00943865">
        <w:rPr>
          <w:rFonts w:ascii="Arial" w:eastAsia="Times New Roman" w:hAnsi="Arial"/>
          <w:noProof/>
          <w:color w:val="000000" w:themeColor="text1"/>
          <w:lang w:eastAsia="es-MX"/>
        </w:rPr>
        <w:t>,</w:t>
      </w:r>
      <w:r w:rsidRPr="00943865">
        <w:rPr>
          <w:rFonts w:ascii="Arial" w:eastAsia="Times New Roman" w:hAnsi="Arial"/>
          <w:noProof/>
          <w:color w:val="000000" w:themeColor="text1"/>
          <w:lang w:eastAsia="es-MX"/>
        </w:rPr>
        <w:t>360</w:t>
      </w:r>
      <w:r w:rsidR="00943865" w:rsidRPr="00943865">
        <w:rPr>
          <w:rFonts w:ascii="Arial" w:eastAsia="Times New Roman" w:hAnsi="Arial"/>
          <w:noProof/>
          <w:color w:val="000000" w:themeColor="text1"/>
          <w:lang w:eastAsia="es-MX"/>
        </w:rPr>
        <w:t>,</w:t>
      </w:r>
      <w:r w:rsidRPr="00943865">
        <w:rPr>
          <w:rFonts w:ascii="Arial" w:eastAsia="Times New Roman" w:hAnsi="Arial"/>
          <w:noProof/>
          <w:color w:val="000000" w:themeColor="text1"/>
          <w:lang w:eastAsia="es-MX"/>
        </w:rPr>
        <w:t>827 millones de pesos</w:t>
      </w:r>
      <w:r w:rsidR="00261B2D" w:rsidRPr="00943865">
        <w:rPr>
          <w:rFonts w:ascii="Arial" w:eastAsia="Times New Roman" w:hAnsi="Arial"/>
          <w:noProof/>
          <w:color w:val="000000" w:themeColor="text1"/>
          <w:lang w:eastAsia="es-MX"/>
        </w:rPr>
        <w:t xml:space="preserve"> a precios corrientes</w:t>
      </w:r>
      <w:r w:rsidR="00074511" w:rsidRPr="00943865">
        <w:rPr>
          <w:rFonts w:ascii="Arial" w:eastAsia="Times New Roman" w:hAnsi="Arial"/>
          <w:noProof/>
          <w:color w:val="000000" w:themeColor="text1"/>
          <w:lang w:eastAsia="es-MX"/>
        </w:rPr>
        <w:t>.</w:t>
      </w:r>
    </w:p>
    <w:p w14:paraId="103F2DA2" w14:textId="77777777" w:rsidR="00631E87" w:rsidRPr="00943865" w:rsidRDefault="00631E87" w:rsidP="003C7F75">
      <w:pPr>
        <w:pStyle w:val="Prrafodelista"/>
        <w:widowControl w:val="0"/>
        <w:tabs>
          <w:tab w:val="left" w:pos="0"/>
        </w:tabs>
        <w:autoSpaceDE w:val="0"/>
        <w:autoSpaceDN w:val="0"/>
        <w:adjustRightInd w:val="0"/>
        <w:spacing w:after="0"/>
        <w:ind w:left="284" w:right="51" w:firstLine="0"/>
        <w:rPr>
          <w:rFonts w:ascii="Arial" w:eastAsia="Times New Roman" w:hAnsi="Arial"/>
          <w:noProof/>
          <w:color w:val="000000" w:themeColor="text1"/>
          <w:lang w:eastAsia="es-MX"/>
        </w:rPr>
      </w:pPr>
    </w:p>
    <w:p w14:paraId="6DF6097F" w14:textId="77777777" w:rsidR="00631E87" w:rsidRPr="00943865" w:rsidRDefault="00631E87" w:rsidP="003C7F75">
      <w:pPr>
        <w:widowControl w:val="0"/>
        <w:tabs>
          <w:tab w:val="left" w:pos="0"/>
        </w:tabs>
        <w:autoSpaceDE w:val="0"/>
        <w:autoSpaceDN w:val="0"/>
        <w:adjustRightInd w:val="0"/>
        <w:ind w:right="51"/>
        <w:rPr>
          <w:rFonts w:ascii="Arial" w:eastAsia="Times New Roman" w:hAnsi="Arial"/>
          <w:noProof/>
          <w:color w:val="000000" w:themeColor="text1"/>
          <w:sz w:val="24"/>
          <w:szCs w:val="24"/>
          <w:lang w:eastAsia="es-MX"/>
        </w:rPr>
      </w:pPr>
    </w:p>
    <w:p w14:paraId="5A66C272" w14:textId="1166DB23" w:rsidR="00631E87" w:rsidRPr="00943865" w:rsidRDefault="00631E87" w:rsidP="00FF36AD">
      <w:pPr>
        <w:widowControl w:val="0"/>
        <w:tabs>
          <w:tab w:val="left" w:pos="-142"/>
        </w:tabs>
        <w:autoSpaceDE w:val="0"/>
        <w:autoSpaceDN w:val="0"/>
        <w:adjustRightInd w:val="0"/>
        <w:ind w:left="-142" w:right="-121"/>
        <w:rPr>
          <w:rFonts w:ascii="Arial" w:eastAsia="Times New Roman" w:hAnsi="Arial"/>
          <w:noProof/>
          <w:color w:val="000000" w:themeColor="text1"/>
          <w:sz w:val="24"/>
          <w:szCs w:val="24"/>
          <w:lang w:eastAsia="es-MX"/>
        </w:rPr>
      </w:pPr>
      <w:r w:rsidRPr="00943865">
        <w:rPr>
          <w:rFonts w:ascii="Arial" w:eastAsia="Times New Roman" w:hAnsi="Arial"/>
          <w:noProof/>
          <w:color w:val="000000" w:themeColor="text1"/>
          <w:sz w:val="24"/>
          <w:szCs w:val="24"/>
          <w:lang w:eastAsia="es-MX"/>
        </w:rPr>
        <w:t xml:space="preserve">El INEGI, a través del Sistema de Cuentas Nacionales de México (SCNM), pone a disposición de los usuarios los resultados preliminares del Valor Agregado Bruto del Comercio Electrónico (VABCOEL) 2020, </w:t>
      </w:r>
      <w:r w:rsidR="007B446B">
        <w:rPr>
          <w:rFonts w:ascii="Arial" w:eastAsia="Times New Roman" w:hAnsi="Arial"/>
          <w:noProof/>
          <w:color w:val="000000" w:themeColor="text1"/>
          <w:sz w:val="24"/>
          <w:szCs w:val="24"/>
          <w:lang w:eastAsia="es-MX"/>
        </w:rPr>
        <w:t xml:space="preserve">preliminar, </w:t>
      </w:r>
      <w:r w:rsidR="001E0C18">
        <w:rPr>
          <w:rFonts w:ascii="Arial" w:eastAsia="Times New Roman" w:hAnsi="Arial"/>
          <w:noProof/>
          <w:color w:val="000000" w:themeColor="text1"/>
          <w:sz w:val="24"/>
          <w:szCs w:val="24"/>
          <w:lang w:eastAsia="es-MX"/>
        </w:rPr>
        <w:t>a</w:t>
      </w:r>
      <w:r w:rsidRPr="00943865">
        <w:rPr>
          <w:rFonts w:ascii="Arial" w:eastAsia="Times New Roman" w:hAnsi="Arial"/>
          <w:noProof/>
          <w:color w:val="000000" w:themeColor="text1"/>
          <w:sz w:val="24"/>
          <w:szCs w:val="24"/>
          <w:lang w:eastAsia="es-MX"/>
        </w:rPr>
        <w:t xml:space="preserve">ño </w:t>
      </w:r>
      <w:r w:rsidR="001E0C18">
        <w:rPr>
          <w:rFonts w:ascii="Arial" w:eastAsia="Times New Roman" w:hAnsi="Arial"/>
          <w:noProof/>
          <w:color w:val="000000" w:themeColor="text1"/>
          <w:sz w:val="24"/>
          <w:szCs w:val="24"/>
          <w:lang w:eastAsia="es-MX"/>
        </w:rPr>
        <w:t>b</w:t>
      </w:r>
      <w:r w:rsidRPr="00943865">
        <w:rPr>
          <w:rFonts w:ascii="Arial" w:eastAsia="Times New Roman" w:hAnsi="Arial"/>
          <w:noProof/>
          <w:color w:val="000000" w:themeColor="text1"/>
          <w:sz w:val="24"/>
          <w:szCs w:val="24"/>
          <w:lang w:eastAsia="es-MX"/>
        </w:rPr>
        <w:t>ase 2013.</w:t>
      </w:r>
    </w:p>
    <w:p w14:paraId="320D9833" w14:textId="4E94A3C9" w:rsidR="00C742D0" w:rsidRPr="00943865" w:rsidRDefault="00C742D0" w:rsidP="00FF36AD">
      <w:pPr>
        <w:widowControl w:val="0"/>
        <w:tabs>
          <w:tab w:val="left" w:pos="-142"/>
        </w:tabs>
        <w:autoSpaceDE w:val="0"/>
        <w:autoSpaceDN w:val="0"/>
        <w:adjustRightInd w:val="0"/>
        <w:ind w:left="-142" w:right="-121"/>
        <w:rPr>
          <w:rFonts w:ascii="Arial" w:eastAsia="Times New Roman" w:hAnsi="Arial"/>
          <w:noProof/>
          <w:color w:val="000000" w:themeColor="text1"/>
          <w:sz w:val="24"/>
          <w:szCs w:val="24"/>
          <w:lang w:eastAsia="es-MX"/>
        </w:rPr>
      </w:pPr>
    </w:p>
    <w:p w14:paraId="65268DCB" w14:textId="551897C0" w:rsidR="00C742D0" w:rsidRPr="00943865" w:rsidRDefault="00C742D0" w:rsidP="00FF36AD">
      <w:pPr>
        <w:widowControl w:val="0"/>
        <w:tabs>
          <w:tab w:val="left" w:pos="-142"/>
        </w:tabs>
        <w:autoSpaceDE w:val="0"/>
        <w:autoSpaceDN w:val="0"/>
        <w:adjustRightInd w:val="0"/>
        <w:ind w:left="-142" w:right="-121"/>
        <w:rPr>
          <w:rFonts w:ascii="Arial" w:eastAsia="Times New Roman" w:hAnsi="Arial"/>
          <w:noProof/>
          <w:color w:val="000000" w:themeColor="text1"/>
          <w:sz w:val="24"/>
          <w:szCs w:val="24"/>
          <w:lang w:eastAsia="es-MX"/>
        </w:rPr>
      </w:pPr>
      <w:r w:rsidRPr="00943865">
        <w:rPr>
          <w:rFonts w:ascii="Arial" w:eastAsia="Times New Roman" w:hAnsi="Arial"/>
          <w:noProof/>
          <w:color w:val="000000" w:themeColor="text1"/>
          <w:sz w:val="24"/>
          <w:szCs w:val="24"/>
          <w:lang w:eastAsia="es-MX"/>
        </w:rPr>
        <w:t xml:space="preserve">La medición del </w:t>
      </w:r>
      <w:r w:rsidR="005303E0">
        <w:rPr>
          <w:rFonts w:ascii="Arial" w:eastAsia="Times New Roman" w:hAnsi="Arial"/>
          <w:noProof/>
          <w:color w:val="000000" w:themeColor="text1"/>
          <w:sz w:val="24"/>
          <w:szCs w:val="24"/>
          <w:lang w:eastAsia="es-MX"/>
        </w:rPr>
        <w:t>VABCOEL</w:t>
      </w:r>
      <w:r w:rsidRPr="00943865">
        <w:rPr>
          <w:rFonts w:ascii="Arial" w:eastAsia="Times New Roman" w:hAnsi="Arial"/>
          <w:noProof/>
          <w:color w:val="000000" w:themeColor="text1"/>
          <w:sz w:val="24"/>
          <w:szCs w:val="24"/>
          <w:lang w:eastAsia="es-MX"/>
        </w:rPr>
        <w:t xml:space="preserve"> da cuenta de la evolución de</w:t>
      </w:r>
      <w:r w:rsidR="007B446B">
        <w:rPr>
          <w:rFonts w:ascii="Arial" w:eastAsia="Times New Roman" w:hAnsi="Arial"/>
          <w:noProof/>
          <w:color w:val="000000" w:themeColor="text1"/>
          <w:sz w:val="24"/>
          <w:szCs w:val="24"/>
          <w:lang w:eastAsia="es-MX"/>
        </w:rPr>
        <w:t xml:space="preserve">l comercio digital </w:t>
      </w:r>
      <w:r w:rsidR="003D1541" w:rsidRPr="00943865">
        <w:rPr>
          <w:rFonts w:ascii="Arial" w:eastAsia="Times New Roman" w:hAnsi="Arial"/>
          <w:noProof/>
          <w:color w:val="000000" w:themeColor="text1"/>
          <w:sz w:val="24"/>
          <w:szCs w:val="24"/>
          <w:lang w:eastAsia="es-MX"/>
        </w:rPr>
        <w:t>que es</w:t>
      </w:r>
      <w:r w:rsidRPr="00943865">
        <w:rPr>
          <w:rFonts w:ascii="Arial" w:eastAsia="Times New Roman" w:hAnsi="Arial"/>
          <w:noProof/>
          <w:color w:val="000000" w:themeColor="text1"/>
          <w:sz w:val="24"/>
          <w:szCs w:val="24"/>
          <w:lang w:eastAsia="es-MX"/>
        </w:rPr>
        <w:t xml:space="preserve"> objeto de estudio para la comunidad estadística</w:t>
      </w:r>
      <w:r w:rsidR="007B446B">
        <w:rPr>
          <w:rFonts w:ascii="Arial" w:eastAsia="Times New Roman" w:hAnsi="Arial"/>
          <w:noProof/>
          <w:color w:val="000000" w:themeColor="text1"/>
          <w:sz w:val="24"/>
          <w:szCs w:val="24"/>
          <w:lang w:eastAsia="es-MX"/>
        </w:rPr>
        <w:t xml:space="preserve"> y </w:t>
      </w:r>
      <w:r w:rsidRPr="00943865">
        <w:rPr>
          <w:rFonts w:ascii="Arial" w:eastAsia="Times New Roman" w:hAnsi="Arial"/>
          <w:noProof/>
          <w:color w:val="000000" w:themeColor="text1"/>
          <w:sz w:val="24"/>
          <w:szCs w:val="24"/>
          <w:lang w:eastAsia="es-MX"/>
        </w:rPr>
        <w:t>hace frente a los cambios en las mediciones económicas</w:t>
      </w:r>
      <w:r w:rsidR="00736D79">
        <w:rPr>
          <w:rFonts w:ascii="Arial" w:eastAsia="Times New Roman" w:hAnsi="Arial"/>
          <w:noProof/>
          <w:color w:val="000000" w:themeColor="text1"/>
          <w:sz w:val="24"/>
          <w:szCs w:val="24"/>
          <w:lang w:eastAsia="es-MX"/>
        </w:rPr>
        <w:t xml:space="preserve"> </w:t>
      </w:r>
      <w:r w:rsidRPr="00943865">
        <w:rPr>
          <w:rFonts w:ascii="Arial" w:eastAsia="Times New Roman" w:hAnsi="Arial"/>
          <w:noProof/>
          <w:color w:val="000000" w:themeColor="text1"/>
          <w:sz w:val="24"/>
          <w:szCs w:val="24"/>
          <w:lang w:eastAsia="es-MX"/>
        </w:rPr>
        <w:t>del comercio electrónico.</w:t>
      </w:r>
    </w:p>
    <w:p w14:paraId="3A346A3A" w14:textId="77777777" w:rsidR="003C7F75" w:rsidRDefault="003C7F75" w:rsidP="00FF36AD">
      <w:pPr>
        <w:pStyle w:val="bullet"/>
        <w:tabs>
          <w:tab w:val="clear" w:pos="851"/>
          <w:tab w:val="left" w:pos="-142"/>
        </w:tabs>
        <w:spacing w:before="0"/>
        <w:ind w:left="-142" w:right="-121" w:firstLine="0"/>
        <w:rPr>
          <w:b w:val="0"/>
          <w:noProof/>
          <w:color w:val="000000" w:themeColor="text1"/>
          <w:spacing w:val="0"/>
          <w:sz w:val="24"/>
          <w:szCs w:val="24"/>
          <w:lang w:eastAsia="es-MX"/>
        </w:rPr>
      </w:pPr>
    </w:p>
    <w:p w14:paraId="7CAD4573" w14:textId="1E4E3AD9" w:rsidR="003C7F75" w:rsidRPr="006943E7" w:rsidRDefault="003C7F75" w:rsidP="00FF36AD">
      <w:pPr>
        <w:pStyle w:val="bullet"/>
        <w:tabs>
          <w:tab w:val="clear" w:pos="851"/>
          <w:tab w:val="left" w:pos="-142"/>
        </w:tabs>
        <w:spacing w:before="0"/>
        <w:ind w:left="-142" w:right="-121" w:firstLine="0"/>
        <w:rPr>
          <w:rFonts w:cs="Arial"/>
          <w:smallCaps/>
          <w:color w:val="auto"/>
          <w:sz w:val="24"/>
          <w:szCs w:val="24"/>
          <w:lang w:val="es-ES"/>
        </w:rPr>
      </w:pPr>
      <w:r w:rsidRPr="006943E7">
        <w:rPr>
          <w:rFonts w:cs="Arial"/>
          <w:smallCaps/>
          <w:color w:val="auto"/>
          <w:sz w:val="24"/>
          <w:szCs w:val="24"/>
          <w:lang w:val="es-ES"/>
        </w:rPr>
        <w:t>Principales Resultados</w:t>
      </w:r>
    </w:p>
    <w:p w14:paraId="74AA69CE" w14:textId="77777777" w:rsidR="006C2CD9" w:rsidRPr="00943865" w:rsidRDefault="006C2CD9" w:rsidP="00FF36AD">
      <w:pPr>
        <w:widowControl w:val="0"/>
        <w:tabs>
          <w:tab w:val="left" w:pos="-142"/>
        </w:tabs>
        <w:autoSpaceDE w:val="0"/>
        <w:autoSpaceDN w:val="0"/>
        <w:adjustRightInd w:val="0"/>
        <w:ind w:left="-142" w:right="-121"/>
        <w:rPr>
          <w:rFonts w:ascii="Arial" w:eastAsia="Times New Roman" w:hAnsi="Arial"/>
          <w:noProof/>
          <w:color w:val="000000" w:themeColor="text1"/>
          <w:sz w:val="24"/>
          <w:szCs w:val="24"/>
          <w:lang w:eastAsia="es-MX"/>
        </w:rPr>
      </w:pPr>
    </w:p>
    <w:p w14:paraId="2B715681" w14:textId="1A6BC2F1" w:rsidR="00B028B8" w:rsidRPr="00943865" w:rsidRDefault="00B028B8" w:rsidP="00FF36AD">
      <w:pPr>
        <w:widowControl w:val="0"/>
        <w:tabs>
          <w:tab w:val="left" w:pos="-142"/>
        </w:tabs>
        <w:autoSpaceDE w:val="0"/>
        <w:autoSpaceDN w:val="0"/>
        <w:adjustRightInd w:val="0"/>
        <w:ind w:left="-142" w:right="-121"/>
        <w:rPr>
          <w:rFonts w:ascii="Arial" w:eastAsia="Times New Roman" w:hAnsi="Arial" w:cs="Arial"/>
          <w:color w:val="000000" w:themeColor="text1"/>
          <w:sz w:val="24"/>
          <w:szCs w:val="24"/>
          <w:lang w:eastAsia="es-ES"/>
        </w:rPr>
      </w:pPr>
      <w:r w:rsidRPr="00943865">
        <w:rPr>
          <w:rFonts w:ascii="Arial" w:eastAsia="Times New Roman" w:hAnsi="Arial"/>
          <w:noProof/>
          <w:color w:val="000000" w:themeColor="text1"/>
          <w:sz w:val="24"/>
          <w:szCs w:val="24"/>
          <w:lang w:eastAsia="es-MX"/>
        </w:rPr>
        <w:t>En 2020, la participación del comercio electrónico de bienes y servicios en el Producto Interno Bruto</w:t>
      </w:r>
      <w:r w:rsidR="00943865">
        <w:rPr>
          <w:rFonts w:ascii="Arial" w:eastAsia="Times New Roman" w:hAnsi="Arial"/>
          <w:noProof/>
          <w:color w:val="000000" w:themeColor="text1"/>
          <w:sz w:val="24"/>
          <w:szCs w:val="24"/>
          <w:lang w:eastAsia="es-MX"/>
        </w:rPr>
        <w:t xml:space="preserve"> (PIB)</w:t>
      </w:r>
      <w:r w:rsidRPr="00943865">
        <w:rPr>
          <w:rFonts w:ascii="Arial" w:eastAsia="Times New Roman" w:hAnsi="Arial"/>
          <w:noProof/>
          <w:color w:val="000000" w:themeColor="text1"/>
          <w:sz w:val="24"/>
          <w:szCs w:val="24"/>
          <w:lang w:eastAsia="es-MX"/>
        </w:rPr>
        <w:t xml:space="preserve"> fue de 5.8% en valores corrientes.</w:t>
      </w:r>
    </w:p>
    <w:p w14:paraId="05EC87F5" w14:textId="5E287EFE" w:rsidR="00B028B8" w:rsidRDefault="00B028B8" w:rsidP="00FF36AD">
      <w:pPr>
        <w:widowControl w:val="0"/>
        <w:tabs>
          <w:tab w:val="left" w:pos="-142"/>
        </w:tabs>
        <w:autoSpaceDE w:val="0"/>
        <w:autoSpaceDN w:val="0"/>
        <w:adjustRightInd w:val="0"/>
        <w:ind w:left="-142" w:right="-121"/>
        <w:rPr>
          <w:rFonts w:ascii="Arial" w:eastAsia="Times New Roman" w:hAnsi="Arial"/>
          <w:noProof/>
          <w:sz w:val="24"/>
          <w:szCs w:val="24"/>
          <w:lang w:eastAsia="es-MX"/>
        </w:rPr>
      </w:pPr>
    </w:p>
    <w:p w14:paraId="78173E3E" w14:textId="31F196EC" w:rsidR="003D1541" w:rsidRDefault="00B028B8" w:rsidP="00B028B8">
      <w:pPr>
        <w:widowControl w:val="0"/>
        <w:tabs>
          <w:tab w:val="left" w:pos="0"/>
        </w:tabs>
        <w:autoSpaceDE w:val="0"/>
        <w:autoSpaceDN w:val="0"/>
        <w:adjustRightInd w:val="0"/>
        <w:ind w:right="51"/>
        <w:jc w:val="center"/>
        <w:rPr>
          <w:rFonts w:ascii="Arial" w:eastAsia="Times New Roman" w:hAnsi="Arial"/>
          <w:noProof/>
          <w:sz w:val="20"/>
          <w:szCs w:val="20"/>
          <w:lang w:eastAsia="es-MX"/>
        </w:rPr>
      </w:pPr>
      <w:r w:rsidRPr="00943865">
        <w:rPr>
          <w:rFonts w:ascii="Arial" w:eastAsia="Times New Roman" w:hAnsi="Arial"/>
          <w:noProof/>
          <w:sz w:val="20"/>
          <w:szCs w:val="20"/>
          <w:lang w:eastAsia="es-MX"/>
        </w:rPr>
        <w:t>Cuadro 1</w:t>
      </w:r>
    </w:p>
    <w:p w14:paraId="20E1EAD2" w14:textId="1C9FE745" w:rsidR="00943865" w:rsidRPr="00943865" w:rsidRDefault="00943865" w:rsidP="00943865">
      <w:pPr>
        <w:widowControl w:val="0"/>
        <w:tabs>
          <w:tab w:val="left" w:pos="0"/>
        </w:tabs>
        <w:autoSpaceDE w:val="0"/>
        <w:autoSpaceDN w:val="0"/>
        <w:adjustRightInd w:val="0"/>
        <w:ind w:right="51"/>
        <w:jc w:val="center"/>
        <w:rPr>
          <w:rFonts w:ascii="Arial" w:eastAsia="Times New Roman" w:hAnsi="Arial"/>
          <w:b/>
          <w:smallCaps/>
          <w:noProof/>
          <w:lang w:eastAsia="es-MX"/>
        </w:rPr>
      </w:pPr>
      <w:r>
        <w:rPr>
          <w:rFonts w:ascii="Arial" w:eastAsia="Times New Roman" w:hAnsi="Arial"/>
          <w:b/>
          <w:smallCaps/>
          <w:noProof/>
          <w:lang w:eastAsia="es-MX"/>
        </w:rPr>
        <w:t>V</w:t>
      </w:r>
      <w:r w:rsidRPr="00943865">
        <w:rPr>
          <w:rFonts w:ascii="Arial" w:eastAsia="Times New Roman" w:hAnsi="Arial"/>
          <w:b/>
          <w:smallCaps/>
          <w:noProof/>
          <w:lang w:eastAsia="es-MX"/>
        </w:rPr>
        <w:t xml:space="preserve">alor </w:t>
      </w:r>
      <w:r>
        <w:rPr>
          <w:rFonts w:ascii="Arial" w:eastAsia="Times New Roman" w:hAnsi="Arial"/>
          <w:b/>
          <w:smallCaps/>
          <w:noProof/>
          <w:lang w:eastAsia="es-MX"/>
        </w:rPr>
        <w:t>A</w:t>
      </w:r>
      <w:r w:rsidRPr="00943865">
        <w:rPr>
          <w:rFonts w:ascii="Arial" w:eastAsia="Times New Roman" w:hAnsi="Arial"/>
          <w:b/>
          <w:smallCaps/>
          <w:noProof/>
          <w:lang w:eastAsia="es-MX"/>
        </w:rPr>
        <w:t xml:space="preserve">gregado </w:t>
      </w:r>
      <w:r>
        <w:rPr>
          <w:rFonts w:ascii="Arial" w:eastAsia="Times New Roman" w:hAnsi="Arial"/>
          <w:b/>
          <w:smallCaps/>
          <w:noProof/>
          <w:lang w:eastAsia="es-MX"/>
        </w:rPr>
        <w:t>B</w:t>
      </w:r>
      <w:r w:rsidRPr="00943865">
        <w:rPr>
          <w:rFonts w:ascii="Arial" w:eastAsia="Times New Roman" w:hAnsi="Arial"/>
          <w:b/>
          <w:smallCaps/>
          <w:noProof/>
          <w:lang w:eastAsia="es-MX"/>
        </w:rPr>
        <w:t xml:space="preserve">ruto del </w:t>
      </w:r>
      <w:r>
        <w:rPr>
          <w:rFonts w:ascii="Arial" w:eastAsia="Times New Roman" w:hAnsi="Arial"/>
          <w:b/>
          <w:smallCaps/>
          <w:noProof/>
          <w:lang w:eastAsia="es-MX"/>
        </w:rPr>
        <w:t>C</w:t>
      </w:r>
      <w:r w:rsidRPr="00943865">
        <w:rPr>
          <w:rFonts w:ascii="Arial" w:eastAsia="Times New Roman" w:hAnsi="Arial"/>
          <w:b/>
          <w:smallCaps/>
          <w:noProof/>
          <w:lang w:eastAsia="es-MX"/>
        </w:rPr>
        <w:t xml:space="preserve">omercio </w:t>
      </w:r>
      <w:r>
        <w:rPr>
          <w:rFonts w:ascii="Arial" w:eastAsia="Times New Roman" w:hAnsi="Arial"/>
          <w:b/>
          <w:smallCaps/>
          <w:noProof/>
          <w:lang w:eastAsia="es-MX"/>
        </w:rPr>
        <w:t>E</w:t>
      </w:r>
      <w:r w:rsidRPr="00943865">
        <w:rPr>
          <w:rFonts w:ascii="Arial" w:eastAsia="Times New Roman" w:hAnsi="Arial"/>
          <w:b/>
          <w:smallCaps/>
          <w:noProof/>
          <w:lang w:eastAsia="es-MX"/>
        </w:rPr>
        <w:t xml:space="preserve">lectrónico en el </w:t>
      </w:r>
      <w:r>
        <w:rPr>
          <w:rFonts w:ascii="Arial" w:eastAsia="Times New Roman" w:hAnsi="Arial"/>
          <w:b/>
          <w:smallCaps/>
          <w:noProof/>
          <w:lang w:eastAsia="es-MX"/>
        </w:rPr>
        <w:t>PIB</w:t>
      </w:r>
    </w:p>
    <w:tbl>
      <w:tblPr>
        <w:tblpPr w:leftFromText="141" w:rightFromText="141" w:vertAnchor="text" w:tblpXSpec="center" w:tblpY="1"/>
        <w:tblOverlap w:val="never"/>
        <w:tblW w:w="9488" w:type="dxa"/>
        <w:tblCellMar>
          <w:left w:w="0" w:type="dxa"/>
          <w:right w:w="0" w:type="dxa"/>
        </w:tblCellMar>
        <w:tblLook w:val="0420" w:firstRow="1" w:lastRow="0" w:firstColumn="0" w:lastColumn="0" w:noHBand="0" w:noVBand="1"/>
      </w:tblPr>
      <w:tblGrid>
        <w:gridCol w:w="1257"/>
        <w:gridCol w:w="1257"/>
        <w:gridCol w:w="1257"/>
        <w:gridCol w:w="1181"/>
        <w:gridCol w:w="1134"/>
        <w:gridCol w:w="1172"/>
        <w:gridCol w:w="1096"/>
        <w:gridCol w:w="1134"/>
      </w:tblGrid>
      <w:tr w:rsidR="00F85851" w:rsidRPr="007039F9" w14:paraId="60E0EC72" w14:textId="6A133336" w:rsidTr="00943865">
        <w:trPr>
          <w:trHeight w:val="264"/>
        </w:trPr>
        <w:tc>
          <w:tcPr>
            <w:tcW w:w="9488" w:type="dxa"/>
            <w:gridSpan w:val="8"/>
            <w:tcBorders>
              <w:top w:val="single" w:sz="8" w:space="0" w:color="000000"/>
              <w:left w:val="single" w:sz="8" w:space="0" w:color="000000"/>
              <w:bottom w:val="single" w:sz="8" w:space="0" w:color="000000"/>
              <w:right w:val="single" w:sz="8" w:space="0" w:color="000000"/>
            </w:tcBorders>
            <w:shd w:val="clear" w:color="auto" w:fill="BDD7EE"/>
          </w:tcPr>
          <w:p w14:paraId="7DA086C4" w14:textId="13695562" w:rsidR="00F85851" w:rsidRPr="007039F9" w:rsidRDefault="00F85851" w:rsidP="00943865">
            <w:pPr>
              <w:widowControl w:val="0"/>
              <w:autoSpaceDE w:val="0"/>
              <w:autoSpaceDN w:val="0"/>
              <w:adjustRightInd w:val="0"/>
              <w:ind w:right="51"/>
              <w:jc w:val="center"/>
              <w:rPr>
                <w:rFonts w:ascii="Arial" w:eastAsia="Times New Roman" w:hAnsi="Arial" w:cs="Arial"/>
                <w:b/>
                <w:bCs/>
                <w:color w:val="000000" w:themeColor="text1"/>
                <w:lang w:eastAsia="es-ES"/>
              </w:rPr>
            </w:pPr>
          </w:p>
        </w:tc>
      </w:tr>
      <w:tr w:rsidR="00F85851" w:rsidRPr="007039F9" w14:paraId="1CBF6FB8" w14:textId="125EF97A" w:rsidTr="006633A6">
        <w:trPr>
          <w:trHeight w:val="236"/>
        </w:trPr>
        <w:tc>
          <w:tcPr>
            <w:tcW w:w="1257" w:type="dxa"/>
            <w:tcBorders>
              <w:top w:val="single" w:sz="8" w:space="0" w:color="000000"/>
              <w:left w:val="single" w:sz="8" w:space="0" w:color="000000"/>
              <w:bottom w:val="single" w:sz="8" w:space="0" w:color="000000"/>
              <w:right w:val="single" w:sz="8" w:space="0" w:color="000000"/>
            </w:tcBorders>
            <w:shd w:val="clear" w:color="auto" w:fill="auto"/>
            <w:tcMar>
              <w:top w:w="72" w:type="dxa"/>
              <w:left w:w="158" w:type="dxa"/>
              <w:bottom w:w="72" w:type="dxa"/>
              <w:right w:w="158" w:type="dxa"/>
            </w:tcMar>
            <w:vAlign w:val="center"/>
            <w:hideMark/>
          </w:tcPr>
          <w:p w14:paraId="2FDBB538" w14:textId="77777777" w:rsidR="00F85851" w:rsidRPr="007039F9" w:rsidRDefault="00F85851" w:rsidP="000B0BA9">
            <w:pPr>
              <w:widowControl w:val="0"/>
              <w:autoSpaceDE w:val="0"/>
              <w:autoSpaceDN w:val="0"/>
              <w:adjustRightInd w:val="0"/>
              <w:ind w:right="51"/>
              <w:jc w:val="center"/>
              <w:rPr>
                <w:rFonts w:ascii="Arial" w:eastAsia="Times New Roman" w:hAnsi="Arial" w:cs="Arial"/>
                <w:color w:val="000000" w:themeColor="text1"/>
                <w:lang w:eastAsia="es-ES"/>
              </w:rPr>
            </w:pPr>
            <w:r w:rsidRPr="007039F9">
              <w:rPr>
                <w:rFonts w:ascii="Arial" w:eastAsia="Times New Roman" w:hAnsi="Arial" w:cs="Arial"/>
                <w:b/>
                <w:bCs/>
                <w:color w:val="000000" w:themeColor="text1"/>
                <w:lang w:eastAsia="es-ES"/>
              </w:rPr>
              <w:t>2013</w:t>
            </w:r>
          </w:p>
        </w:tc>
        <w:tc>
          <w:tcPr>
            <w:tcW w:w="1257" w:type="dxa"/>
            <w:tcBorders>
              <w:top w:val="single" w:sz="8" w:space="0" w:color="000000"/>
              <w:left w:val="single" w:sz="8" w:space="0" w:color="000000"/>
              <w:bottom w:val="single" w:sz="8" w:space="0" w:color="000000"/>
              <w:right w:val="single" w:sz="8" w:space="0" w:color="000000"/>
            </w:tcBorders>
            <w:shd w:val="clear" w:color="auto" w:fill="auto"/>
            <w:tcMar>
              <w:top w:w="72" w:type="dxa"/>
              <w:left w:w="158" w:type="dxa"/>
              <w:bottom w:w="72" w:type="dxa"/>
              <w:right w:w="158" w:type="dxa"/>
            </w:tcMar>
            <w:vAlign w:val="center"/>
            <w:hideMark/>
          </w:tcPr>
          <w:p w14:paraId="1AC3FD16" w14:textId="77777777" w:rsidR="00F85851" w:rsidRPr="007039F9" w:rsidRDefault="00F85851" w:rsidP="000B0BA9">
            <w:pPr>
              <w:widowControl w:val="0"/>
              <w:autoSpaceDE w:val="0"/>
              <w:autoSpaceDN w:val="0"/>
              <w:adjustRightInd w:val="0"/>
              <w:ind w:right="51"/>
              <w:jc w:val="center"/>
              <w:rPr>
                <w:rFonts w:ascii="Arial" w:eastAsia="Times New Roman" w:hAnsi="Arial" w:cs="Arial"/>
                <w:color w:val="000000" w:themeColor="text1"/>
                <w:lang w:eastAsia="es-ES"/>
              </w:rPr>
            </w:pPr>
            <w:r w:rsidRPr="007039F9">
              <w:rPr>
                <w:rFonts w:ascii="Arial" w:eastAsia="Times New Roman" w:hAnsi="Arial" w:cs="Arial"/>
                <w:b/>
                <w:bCs/>
                <w:color w:val="000000" w:themeColor="text1"/>
                <w:lang w:eastAsia="es-ES"/>
              </w:rPr>
              <w:t>2014</w:t>
            </w:r>
          </w:p>
        </w:tc>
        <w:tc>
          <w:tcPr>
            <w:tcW w:w="1257" w:type="dxa"/>
            <w:tcBorders>
              <w:top w:val="single" w:sz="8" w:space="0" w:color="000000"/>
              <w:left w:val="single" w:sz="8" w:space="0" w:color="000000"/>
              <w:bottom w:val="single" w:sz="8" w:space="0" w:color="000000"/>
              <w:right w:val="single" w:sz="8" w:space="0" w:color="000000"/>
            </w:tcBorders>
            <w:shd w:val="clear" w:color="auto" w:fill="auto"/>
            <w:tcMar>
              <w:top w:w="72" w:type="dxa"/>
              <w:left w:w="158" w:type="dxa"/>
              <w:bottom w:w="72" w:type="dxa"/>
              <w:right w:w="158" w:type="dxa"/>
            </w:tcMar>
            <w:vAlign w:val="center"/>
            <w:hideMark/>
          </w:tcPr>
          <w:p w14:paraId="6BD1035D" w14:textId="77777777" w:rsidR="00F85851" w:rsidRPr="007039F9" w:rsidRDefault="00F85851" w:rsidP="000B0BA9">
            <w:pPr>
              <w:widowControl w:val="0"/>
              <w:autoSpaceDE w:val="0"/>
              <w:autoSpaceDN w:val="0"/>
              <w:adjustRightInd w:val="0"/>
              <w:ind w:right="51"/>
              <w:jc w:val="center"/>
              <w:rPr>
                <w:rFonts w:ascii="Arial" w:eastAsia="Times New Roman" w:hAnsi="Arial" w:cs="Arial"/>
                <w:color w:val="000000" w:themeColor="text1"/>
                <w:lang w:eastAsia="es-ES"/>
              </w:rPr>
            </w:pPr>
            <w:r w:rsidRPr="007039F9">
              <w:rPr>
                <w:rFonts w:ascii="Arial" w:eastAsia="Times New Roman" w:hAnsi="Arial" w:cs="Arial"/>
                <w:b/>
                <w:bCs/>
                <w:color w:val="000000" w:themeColor="text1"/>
                <w:lang w:eastAsia="es-ES"/>
              </w:rPr>
              <w:t>2015</w:t>
            </w:r>
          </w:p>
        </w:tc>
        <w:tc>
          <w:tcPr>
            <w:tcW w:w="1181" w:type="dxa"/>
            <w:tcBorders>
              <w:top w:val="single" w:sz="8" w:space="0" w:color="000000"/>
              <w:left w:val="single" w:sz="8" w:space="0" w:color="000000"/>
              <w:bottom w:val="single" w:sz="8" w:space="0" w:color="000000"/>
              <w:right w:val="single" w:sz="8" w:space="0" w:color="000000"/>
            </w:tcBorders>
            <w:vAlign w:val="center"/>
          </w:tcPr>
          <w:p w14:paraId="4C7B06D6" w14:textId="77777777" w:rsidR="00F85851" w:rsidRPr="007039F9" w:rsidRDefault="00F85851" w:rsidP="000B0BA9">
            <w:pPr>
              <w:widowControl w:val="0"/>
              <w:autoSpaceDE w:val="0"/>
              <w:autoSpaceDN w:val="0"/>
              <w:adjustRightInd w:val="0"/>
              <w:ind w:right="51"/>
              <w:jc w:val="center"/>
              <w:rPr>
                <w:rFonts w:ascii="Arial" w:eastAsia="Times New Roman" w:hAnsi="Arial" w:cs="Arial"/>
                <w:color w:val="000000" w:themeColor="text1"/>
                <w:lang w:eastAsia="es-ES"/>
              </w:rPr>
            </w:pPr>
            <w:r>
              <w:rPr>
                <w:rFonts w:ascii="Arial" w:eastAsia="Times New Roman" w:hAnsi="Arial" w:cs="Arial"/>
                <w:b/>
                <w:bCs/>
                <w:color w:val="000000" w:themeColor="text1"/>
                <w:lang w:eastAsia="es-ES"/>
              </w:rPr>
              <w:t>2016</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58" w:type="dxa"/>
              <w:bottom w:w="72" w:type="dxa"/>
              <w:right w:w="158" w:type="dxa"/>
            </w:tcMar>
            <w:vAlign w:val="center"/>
            <w:hideMark/>
          </w:tcPr>
          <w:p w14:paraId="26C229EB" w14:textId="77777777" w:rsidR="00F85851" w:rsidRPr="007039F9" w:rsidRDefault="00F85851" w:rsidP="000B0BA9">
            <w:pPr>
              <w:widowControl w:val="0"/>
              <w:autoSpaceDE w:val="0"/>
              <w:autoSpaceDN w:val="0"/>
              <w:adjustRightInd w:val="0"/>
              <w:ind w:right="51"/>
              <w:jc w:val="center"/>
              <w:rPr>
                <w:rFonts w:ascii="Arial" w:eastAsia="Times New Roman" w:hAnsi="Arial" w:cs="Arial"/>
                <w:color w:val="000000" w:themeColor="text1"/>
                <w:lang w:eastAsia="es-ES"/>
              </w:rPr>
            </w:pPr>
            <w:r w:rsidRPr="007039F9">
              <w:rPr>
                <w:rFonts w:ascii="Arial" w:eastAsia="Times New Roman" w:hAnsi="Arial" w:cs="Arial"/>
                <w:b/>
                <w:bCs/>
                <w:color w:val="000000" w:themeColor="text1"/>
                <w:lang w:eastAsia="es-ES"/>
              </w:rPr>
              <w:t>201</w:t>
            </w:r>
            <w:r>
              <w:rPr>
                <w:rFonts w:ascii="Arial" w:eastAsia="Times New Roman" w:hAnsi="Arial" w:cs="Arial"/>
                <w:b/>
                <w:bCs/>
                <w:color w:val="000000" w:themeColor="text1"/>
                <w:lang w:eastAsia="es-ES"/>
              </w:rPr>
              <w:t>7</w:t>
            </w:r>
            <w:r w:rsidRPr="007039F9">
              <w:rPr>
                <w:rFonts w:ascii="Arial" w:eastAsia="Times New Roman" w:hAnsi="Arial" w:cs="Arial"/>
                <w:b/>
                <w:bCs/>
                <w:color w:val="000000" w:themeColor="text1"/>
                <w:lang w:eastAsia="es-ES"/>
              </w:rPr>
              <w:t xml:space="preserve"> </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72" w:type="dxa"/>
              <w:left w:w="158" w:type="dxa"/>
              <w:bottom w:w="72" w:type="dxa"/>
              <w:right w:w="158" w:type="dxa"/>
            </w:tcMar>
            <w:vAlign w:val="center"/>
            <w:hideMark/>
          </w:tcPr>
          <w:p w14:paraId="01CEDE9D" w14:textId="080627CE" w:rsidR="00F85851" w:rsidRPr="007039F9" w:rsidRDefault="00F85851" w:rsidP="000B0BA9">
            <w:pPr>
              <w:widowControl w:val="0"/>
              <w:autoSpaceDE w:val="0"/>
              <w:autoSpaceDN w:val="0"/>
              <w:adjustRightInd w:val="0"/>
              <w:ind w:right="51"/>
              <w:jc w:val="center"/>
              <w:rPr>
                <w:rFonts w:ascii="Arial" w:eastAsia="Times New Roman" w:hAnsi="Arial" w:cs="Arial"/>
                <w:color w:val="000000" w:themeColor="text1"/>
                <w:lang w:eastAsia="es-ES"/>
              </w:rPr>
            </w:pPr>
            <w:r w:rsidRPr="007039F9">
              <w:rPr>
                <w:rFonts w:ascii="Arial" w:eastAsia="Times New Roman" w:hAnsi="Arial" w:cs="Arial"/>
                <w:b/>
                <w:bCs/>
                <w:color w:val="000000" w:themeColor="text1"/>
                <w:lang w:eastAsia="es-ES"/>
              </w:rPr>
              <w:t>201</w:t>
            </w:r>
            <w:r>
              <w:rPr>
                <w:rFonts w:ascii="Arial" w:eastAsia="Times New Roman" w:hAnsi="Arial" w:cs="Arial"/>
                <w:b/>
                <w:bCs/>
                <w:color w:val="000000" w:themeColor="text1"/>
                <w:lang w:eastAsia="es-ES"/>
              </w:rPr>
              <w:t>8</w:t>
            </w:r>
          </w:p>
        </w:tc>
        <w:tc>
          <w:tcPr>
            <w:tcW w:w="1096" w:type="dxa"/>
            <w:tcBorders>
              <w:top w:val="single" w:sz="8" w:space="0" w:color="000000"/>
              <w:left w:val="single" w:sz="8" w:space="0" w:color="000000"/>
              <w:bottom w:val="single" w:sz="8" w:space="0" w:color="000000"/>
              <w:right w:val="single" w:sz="8" w:space="0" w:color="000000"/>
            </w:tcBorders>
            <w:vAlign w:val="center"/>
          </w:tcPr>
          <w:p w14:paraId="783ED006" w14:textId="00A8E45D" w:rsidR="00F85851" w:rsidRPr="007039F9" w:rsidRDefault="00F85851" w:rsidP="000B0BA9">
            <w:pPr>
              <w:widowControl w:val="0"/>
              <w:autoSpaceDE w:val="0"/>
              <w:autoSpaceDN w:val="0"/>
              <w:adjustRightInd w:val="0"/>
              <w:ind w:right="51"/>
              <w:jc w:val="center"/>
              <w:rPr>
                <w:rFonts w:ascii="Arial" w:eastAsia="Times New Roman" w:hAnsi="Arial" w:cs="Arial"/>
                <w:color w:val="000000" w:themeColor="text1"/>
                <w:lang w:eastAsia="es-ES"/>
              </w:rPr>
            </w:pPr>
            <w:r w:rsidRPr="007039F9">
              <w:rPr>
                <w:rFonts w:ascii="Arial" w:eastAsia="Times New Roman" w:hAnsi="Arial" w:cs="Arial"/>
                <w:b/>
                <w:bCs/>
                <w:color w:val="000000" w:themeColor="text1"/>
                <w:lang w:eastAsia="es-ES"/>
              </w:rPr>
              <w:t>201</w:t>
            </w:r>
            <w:r>
              <w:rPr>
                <w:rFonts w:ascii="Arial" w:eastAsia="Times New Roman" w:hAnsi="Arial" w:cs="Arial"/>
                <w:b/>
                <w:bCs/>
                <w:color w:val="000000" w:themeColor="text1"/>
                <w:lang w:eastAsia="es-ES"/>
              </w:rPr>
              <w:t>9</w:t>
            </w:r>
            <w:r w:rsidR="0073480B" w:rsidRPr="00E3266D">
              <w:rPr>
                <w:rFonts w:ascii="Arial" w:eastAsia="Times New Roman" w:hAnsi="Arial" w:cs="Arial"/>
                <w:b/>
                <w:bCs/>
                <w:color w:val="000000" w:themeColor="text1"/>
                <w:vertAlign w:val="superscript"/>
                <w:lang w:eastAsia="es-ES"/>
              </w:rPr>
              <w:t>R</w:t>
            </w:r>
            <w:r w:rsidRPr="007039F9">
              <w:rPr>
                <w:rFonts w:ascii="Arial" w:eastAsia="Times New Roman" w:hAnsi="Arial" w:cs="Arial"/>
                <w:b/>
                <w:bCs/>
                <w:color w:val="000000" w:themeColor="text1"/>
                <w:lang w:eastAsia="es-ES"/>
              </w:rPr>
              <w:t xml:space="preserve"> </w:t>
            </w:r>
          </w:p>
        </w:tc>
        <w:tc>
          <w:tcPr>
            <w:tcW w:w="1134" w:type="dxa"/>
            <w:tcBorders>
              <w:top w:val="single" w:sz="8" w:space="0" w:color="000000"/>
              <w:left w:val="single" w:sz="8" w:space="0" w:color="000000"/>
              <w:bottom w:val="single" w:sz="8" w:space="0" w:color="000000"/>
              <w:right w:val="single" w:sz="8" w:space="0" w:color="000000"/>
            </w:tcBorders>
            <w:vAlign w:val="center"/>
          </w:tcPr>
          <w:p w14:paraId="609582ED" w14:textId="6A4D77B5" w:rsidR="00F85851" w:rsidRPr="007039F9" w:rsidRDefault="00F85851" w:rsidP="000B0BA9">
            <w:pPr>
              <w:widowControl w:val="0"/>
              <w:autoSpaceDE w:val="0"/>
              <w:autoSpaceDN w:val="0"/>
              <w:adjustRightInd w:val="0"/>
              <w:ind w:right="51"/>
              <w:jc w:val="center"/>
              <w:rPr>
                <w:rFonts w:ascii="Arial" w:eastAsia="Times New Roman" w:hAnsi="Arial" w:cs="Arial"/>
                <w:b/>
                <w:bCs/>
                <w:color w:val="000000" w:themeColor="text1"/>
                <w:lang w:eastAsia="es-ES"/>
              </w:rPr>
            </w:pPr>
            <w:r w:rsidRPr="007039F9">
              <w:rPr>
                <w:rFonts w:ascii="Arial" w:eastAsia="Times New Roman" w:hAnsi="Arial" w:cs="Arial"/>
                <w:b/>
                <w:bCs/>
                <w:color w:val="000000" w:themeColor="text1"/>
                <w:lang w:eastAsia="es-ES"/>
              </w:rPr>
              <w:t>20</w:t>
            </w:r>
            <w:r>
              <w:rPr>
                <w:rFonts w:ascii="Arial" w:eastAsia="Times New Roman" w:hAnsi="Arial" w:cs="Arial"/>
                <w:b/>
                <w:bCs/>
                <w:color w:val="000000" w:themeColor="text1"/>
                <w:lang w:eastAsia="es-ES"/>
              </w:rPr>
              <w:t>20</w:t>
            </w:r>
            <w:r w:rsidR="0073480B" w:rsidRPr="00E3266D">
              <w:rPr>
                <w:rFonts w:ascii="Arial" w:eastAsia="Times New Roman" w:hAnsi="Arial" w:cs="Arial"/>
                <w:b/>
                <w:bCs/>
                <w:color w:val="000000" w:themeColor="text1"/>
                <w:vertAlign w:val="superscript"/>
                <w:lang w:eastAsia="es-ES"/>
              </w:rPr>
              <w:t>P</w:t>
            </w:r>
            <w:r w:rsidRPr="007039F9">
              <w:rPr>
                <w:rFonts w:ascii="Arial" w:eastAsia="Times New Roman" w:hAnsi="Arial" w:cs="Arial"/>
                <w:b/>
                <w:bCs/>
                <w:color w:val="000000" w:themeColor="text1"/>
                <w:lang w:eastAsia="es-ES"/>
              </w:rPr>
              <w:t xml:space="preserve"> </w:t>
            </w:r>
          </w:p>
        </w:tc>
      </w:tr>
      <w:tr w:rsidR="00F85851" w:rsidRPr="007039F9" w14:paraId="593F7A41" w14:textId="62CCB47C" w:rsidTr="006633A6">
        <w:trPr>
          <w:trHeight w:val="214"/>
        </w:trPr>
        <w:tc>
          <w:tcPr>
            <w:tcW w:w="1257" w:type="dxa"/>
            <w:tcBorders>
              <w:top w:val="single" w:sz="8" w:space="0" w:color="000000"/>
              <w:left w:val="single" w:sz="8" w:space="0" w:color="000000"/>
              <w:bottom w:val="single" w:sz="8" w:space="0" w:color="000000"/>
              <w:right w:val="single" w:sz="8" w:space="0" w:color="000000"/>
            </w:tcBorders>
            <w:shd w:val="clear" w:color="auto" w:fill="auto"/>
            <w:tcMar>
              <w:top w:w="72" w:type="dxa"/>
              <w:left w:w="158" w:type="dxa"/>
              <w:bottom w:w="72" w:type="dxa"/>
              <w:right w:w="158" w:type="dxa"/>
            </w:tcMar>
            <w:vAlign w:val="bottom"/>
            <w:hideMark/>
          </w:tcPr>
          <w:p w14:paraId="772DA1DC" w14:textId="15F7A3AB" w:rsidR="00F85851" w:rsidRPr="007039F9" w:rsidRDefault="00F85851" w:rsidP="000B0BA9">
            <w:pPr>
              <w:widowControl w:val="0"/>
              <w:autoSpaceDE w:val="0"/>
              <w:autoSpaceDN w:val="0"/>
              <w:adjustRightInd w:val="0"/>
              <w:ind w:right="51"/>
              <w:jc w:val="center"/>
              <w:rPr>
                <w:rFonts w:ascii="Arial" w:eastAsia="Times New Roman" w:hAnsi="Arial" w:cs="Arial"/>
                <w:color w:val="000000" w:themeColor="text1"/>
                <w:lang w:eastAsia="es-ES"/>
              </w:rPr>
            </w:pPr>
            <w:r>
              <w:rPr>
                <w:rFonts w:cs="Calibri"/>
                <w:color w:val="000000"/>
              </w:rPr>
              <w:t>3.0%</w:t>
            </w:r>
          </w:p>
        </w:tc>
        <w:tc>
          <w:tcPr>
            <w:tcW w:w="1257" w:type="dxa"/>
            <w:tcBorders>
              <w:top w:val="single" w:sz="8" w:space="0" w:color="000000"/>
              <w:left w:val="single" w:sz="8" w:space="0" w:color="000000"/>
              <w:bottom w:val="single" w:sz="8" w:space="0" w:color="000000"/>
              <w:right w:val="single" w:sz="8" w:space="0" w:color="000000"/>
            </w:tcBorders>
            <w:shd w:val="clear" w:color="auto" w:fill="auto"/>
            <w:tcMar>
              <w:top w:w="72" w:type="dxa"/>
              <w:left w:w="158" w:type="dxa"/>
              <w:bottom w:w="72" w:type="dxa"/>
              <w:right w:w="158" w:type="dxa"/>
            </w:tcMar>
            <w:vAlign w:val="bottom"/>
            <w:hideMark/>
          </w:tcPr>
          <w:p w14:paraId="2CA761B8" w14:textId="584E9D7A" w:rsidR="00F85851" w:rsidRPr="007039F9" w:rsidRDefault="00F85851" w:rsidP="000B0BA9">
            <w:pPr>
              <w:widowControl w:val="0"/>
              <w:autoSpaceDE w:val="0"/>
              <w:autoSpaceDN w:val="0"/>
              <w:adjustRightInd w:val="0"/>
              <w:ind w:right="51"/>
              <w:jc w:val="center"/>
              <w:rPr>
                <w:rFonts w:ascii="Arial" w:eastAsia="Times New Roman" w:hAnsi="Arial" w:cs="Arial"/>
                <w:color w:val="000000" w:themeColor="text1"/>
                <w:lang w:eastAsia="es-ES"/>
              </w:rPr>
            </w:pPr>
            <w:r>
              <w:rPr>
                <w:rFonts w:cs="Calibri"/>
                <w:color w:val="000000"/>
              </w:rPr>
              <w:t>3.4%</w:t>
            </w:r>
          </w:p>
        </w:tc>
        <w:tc>
          <w:tcPr>
            <w:tcW w:w="1257" w:type="dxa"/>
            <w:tcBorders>
              <w:top w:val="single" w:sz="8" w:space="0" w:color="000000"/>
              <w:left w:val="single" w:sz="8" w:space="0" w:color="000000"/>
              <w:bottom w:val="single" w:sz="8" w:space="0" w:color="000000"/>
              <w:right w:val="single" w:sz="8" w:space="0" w:color="000000"/>
            </w:tcBorders>
            <w:shd w:val="clear" w:color="auto" w:fill="auto"/>
            <w:tcMar>
              <w:top w:w="72" w:type="dxa"/>
              <w:left w:w="158" w:type="dxa"/>
              <w:bottom w:w="72" w:type="dxa"/>
              <w:right w:w="158" w:type="dxa"/>
            </w:tcMar>
            <w:vAlign w:val="bottom"/>
            <w:hideMark/>
          </w:tcPr>
          <w:p w14:paraId="2C5C9FCB" w14:textId="5AFC40AA" w:rsidR="00F85851" w:rsidRPr="00EA16C4" w:rsidRDefault="00F85851" w:rsidP="000B0BA9">
            <w:pPr>
              <w:widowControl w:val="0"/>
              <w:autoSpaceDE w:val="0"/>
              <w:autoSpaceDN w:val="0"/>
              <w:adjustRightInd w:val="0"/>
              <w:ind w:right="51"/>
              <w:jc w:val="center"/>
              <w:rPr>
                <w:rFonts w:ascii="Arial" w:eastAsia="Times New Roman" w:hAnsi="Arial" w:cs="Arial"/>
                <w:color w:val="000000" w:themeColor="text1"/>
                <w:lang w:eastAsia="es-ES"/>
              </w:rPr>
            </w:pPr>
            <w:r>
              <w:rPr>
                <w:rFonts w:cs="Calibri"/>
                <w:color w:val="000000"/>
              </w:rPr>
              <w:t>3.6%</w:t>
            </w:r>
          </w:p>
        </w:tc>
        <w:tc>
          <w:tcPr>
            <w:tcW w:w="1181" w:type="dxa"/>
            <w:tcBorders>
              <w:top w:val="single" w:sz="8" w:space="0" w:color="000000"/>
              <w:left w:val="single" w:sz="8" w:space="0" w:color="000000"/>
              <w:bottom w:val="single" w:sz="8" w:space="0" w:color="000000"/>
              <w:right w:val="single" w:sz="8" w:space="0" w:color="000000"/>
            </w:tcBorders>
            <w:vAlign w:val="bottom"/>
          </w:tcPr>
          <w:p w14:paraId="786B0150" w14:textId="1A499074" w:rsidR="00F85851" w:rsidRPr="00EA16C4" w:rsidRDefault="00F85851" w:rsidP="000B0BA9">
            <w:pPr>
              <w:widowControl w:val="0"/>
              <w:autoSpaceDE w:val="0"/>
              <w:autoSpaceDN w:val="0"/>
              <w:adjustRightInd w:val="0"/>
              <w:ind w:right="51"/>
              <w:jc w:val="center"/>
              <w:rPr>
                <w:rFonts w:ascii="Arial" w:eastAsia="Times New Roman" w:hAnsi="Arial" w:cs="Arial"/>
                <w:color w:val="000000" w:themeColor="text1"/>
                <w:lang w:eastAsia="es-ES"/>
              </w:rPr>
            </w:pPr>
            <w:r>
              <w:rPr>
                <w:rFonts w:cs="Calibri"/>
                <w:color w:val="000000"/>
              </w:rPr>
              <w:t>4.1%</w:t>
            </w:r>
          </w:p>
        </w:tc>
        <w:tc>
          <w:tcPr>
            <w:tcW w:w="1134" w:type="dxa"/>
            <w:tcBorders>
              <w:top w:val="single" w:sz="8" w:space="0" w:color="000000"/>
              <w:left w:val="single" w:sz="8" w:space="0" w:color="000000"/>
              <w:bottom w:val="single" w:sz="8" w:space="0" w:color="000000"/>
              <w:right w:val="single" w:sz="8" w:space="0" w:color="000000"/>
            </w:tcBorders>
            <w:shd w:val="clear" w:color="auto" w:fill="auto"/>
            <w:tcMar>
              <w:top w:w="72" w:type="dxa"/>
              <w:left w:w="158" w:type="dxa"/>
              <w:bottom w:w="72" w:type="dxa"/>
              <w:right w:w="158" w:type="dxa"/>
            </w:tcMar>
            <w:vAlign w:val="bottom"/>
            <w:hideMark/>
          </w:tcPr>
          <w:p w14:paraId="3C1E60B6" w14:textId="13376BB0" w:rsidR="00F85851" w:rsidRPr="007039F9" w:rsidRDefault="00F85851" w:rsidP="000B0BA9">
            <w:pPr>
              <w:widowControl w:val="0"/>
              <w:autoSpaceDE w:val="0"/>
              <w:autoSpaceDN w:val="0"/>
              <w:adjustRightInd w:val="0"/>
              <w:ind w:right="51"/>
              <w:jc w:val="center"/>
              <w:rPr>
                <w:rFonts w:ascii="Arial" w:eastAsia="Times New Roman" w:hAnsi="Arial" w:cs="Arial"/>
                <w:color w:val="000000" w:themeColor="text1"/>
                <w:lang w:eastAsia="es-ES"/>
              </w:rPr>
            </w:pPr>
            <w:r>
              <w:rPr>
                <w:rFonts w:cs="Calibri"/>
                <w:color w:val="000000"/>
              </w:rPr>
              <w:t>4.6%</w:t>
            </w:r>
          </w:p>
        </w:tc>
        <w:tc>
          <w:tcPr>
            <w:tcW w:w="1172" w:type="dxa"/>
            <w:tcBorders>
              <w:top w:val="single" w:sz="8" w:space="0" w:color="000000"/>
              <w:left w:val="single" w:sz="8" w:space="0" w:color="000000"/>
              <w:bottom w:val="single" w:sz="8" w:space="0" w:color="000000"/>
              <w:right w:val="single" w:sz="8" w:space="0" w:color="000000"/>
            </w:tcBorders>
            <w:shd w:val="clear" w:color="auto" w:fill="auto"/>
            <w:tcMar>
              <w:top w:w="72" w:type="dxa"/>
              <w:left w:w="158" w:type="dxa"/>
              <w:bottom w:w="72" w:type="dxa"/>
              <w:right w:w="158" w:type="dxa"/>
            </w:tcMar>
            <w:vAlign w:val="bottom"/>
            <w:hideMark/>
          </w:tcPr>
          <w:p w14:paraId="7470E953" w14:textId="502B0598" w:rsidR="00F85851" w:rsidRPr="007039F9" w:rsidRDefault="00F85851" w:rsidP="000B0BA9">
            <w:pPr>
              <w:widowControl w:val="0"/>
              <w:autoSpaceDE w:val="0"/>
              <w:autoSpaceDN w:val="0"/>
              <w:adjustRightInd w:val="0"/>
              <w:ind w:right="51"/>
              <w:jc w:val="center"/>
              <w:rPr>
                <w:rFonts w:ascii="Arial" w:eastAsia="Times New Roman" w:hAnsi="Arial" w:cs="Arial"/>
                <w:color w:val="000000" w:themeColor="text1"/>
                <w:lang w:eastAsia="es-ES"/>
              </w:rPr>
            </w:pPr>
            <w:r>
              <w:rPr>
                <w:rFonts w:cs="Calibri"/>
                <w:color w:val="000000"/>
              </w:rPr>
              <w:t>4.9%</w:t>
            </w:r>
          </w:p>
        </w:tc>
        <w:tc>
          <w:tcPr>
            <w:tcW w:w="1096" w:type="dxa"/>
            <w:tcBorders>
              <w:top w:val="single" w:sz="8" w:space="0" w:color="000000"/>
              <w:left w:val="single" w:sz="8" w:space="0" w:color="000000"/>
              <w:bottom w:val="single" w:sz="8" w:space="0" w:color="000000"/>
              <w:right w:val="single" w:sz="8" w:space="0" w:color="000000"/>
            </w:tcBorders>
            <w:vAlign w:val="bottom"/>
          </w:tcPr>
          <w:p w14:paraId="2AB412BC" w14:textId="1D827D13" w:rsidR="00F85851" w:rsidRDefault="00F85851" w:rsidP="000B0BA9">
            <w:pPr>
              <w:widowControl w:val="0"/>
              <w:autoSpaceDE w:val="0"/>
              <w:autoSpaceDN w:val="0"/>
              <w:adjustRightInd w:val="0"/>
              <w:ind w:right="51"/>
              <w:jc w:val="center"/>
              <w:rPr>
                <w:rFonts w:ascii="Arial" w:eastAsia="Times New Roman" w:hAnsi="Arial" w:cs="Arial"/>
                <w:color w:val="000000" w:themeColor="text1"/>
                <w:lang w:eastAsia="es-ES"/>
              </w:rPr>
            </w:pPr>
            <w:r>
              <w:rPr>
                <w:rFonts w:cs="Calibri"/>
                <w:color w:val="000000"/>
              </w:rPr>
              <w:t>5.8%</w:t>
            </w:r>
          </w:p>
        </w:tc>
        <w:tc>
          <w:tcPr>
            <w:tcW w:w="1134" w:type="dxa"/>
            <w:tcBorders>
              <w:top w:val="single" w:sz="8" w:space="0" w:color="000000"/>
              <w:left w:val="single" w:sz="8" w:space="0" w:color="000000"/>
              <w:bottom w:val="single" w:sz="8" w:space="0" w:color="000000"/>
              <w:right w:val="single" w:sz="8" w:space="0" w:color="000000"/>
            </w:tcBorders>
            <w:vAlign w:val="bottom"/>
          </w:tcPr>
          <w:p w14:paraId="6234D296" w14:textId="3205081D" w:rsidR="00F85851" w:rsidRDefault="00F85851" w:rsidP="000B0BA9">
            <w:pPr>
              <w:widowControl w:val="0"/>
              <w:autoSpaceDE w:val="0"/>
              <w:autoSpaceDN w:val="0"/>
              <w:adjustRightInd w:val="0"/>
              <w:ind w:right="51"/>
              <w:jc w:val="center"/>
              <w:rPr>
                <w:rFonts w:ascii="Arial" w:eastAsia="Times New Roman" w:hAnsi="Arial" w:cs="Arial"/>
                <w:color w:val="000000" w:themeColor="text1"/>
                <w:lang w:eastAsia="es-ES"/>
              </w:rPr>
            </w:pPr>
            <w:r>
              <w:rPr>
                <w:rFonts w:cs="Calibri"/>
                <w:color w:val="000000"/>
              </w:rPr>
              <w:t>5.8%</w:t>
            </w:r>
          </w:p>
        </w:tc>
      </w:tr>
      <w:tr w:rsidR="00F85851" w:rsidRPr="007039F9" w14:paraId="6AD3E926" w14:textId="1F7FA0A8" w:rsidTr="006633A6">
        <w:trPr>
          <w:trHeight w:val="363"/>
        </w:trPr>
        <w:tc>
          <w:tcPr>
            <w:tcW w:w="9488" w:type="dxa"/>
            <w:gridSpan w:val="8"/>
            <w:tcBorders>
              <w:top w:val="single" w:sz="8" w:space="0" w:color="000000"/>
              <w:left w:val="single" w:sz="8" w:space="0" w:color="000000"/>
              <w:bottom w:val="single" w:sz="8" w:space="0" w:color="000000"/>
              <w:right w:val="single" w:sz="8" w:space="0" w:color="000000"/>
            </w:tcBorders>
          </w:tcPr>
          <w:p w14:paraId="7E43108A" w14:textId="114B2C07" w:rsidR="00F85851" w:rsidRDefault="00F85851" w:rsidP="000B0BA9">
            <w:pPr>
              <w:widowControl w:val="0"/>
              <w:autoSpaceDE w:val="0"/>
              <w:autoSpaceDN w:val="0"/>
              <w:adjustRightInd w:val="0"/>
              <w:ind w:right="51"/>
              <w:rPr>
                <w:rFonts w:ascii="Arial" w:eastAsia="Times New Roman" w:hAnsi="Arial" w:cs="Arial"/>
                <w:color w:val="000000" w:themeColor="text1"/>
                <w:sz w:val="16"/>
                <w:szCs w:val="16"/>
                <w:lang w:eastAsia="es-ES"/>
              </w:rPr>
            </w:pPr>
          </w:p>
        </w:tc>
      </w:tr>
    </w:tbl>
    <w:p w14:paraId="2D1C1ABB" w14:textId="38F6563D" w:rsidR="00943865" w:rsidRDefault="0073480B" w:rsidP="00943865">
      <w:pPr>
        <w:widowControl w:val="0"/>
        <w:tabs>
          <w:tab w:val="left" w:pos="0"/>
        </w:tabs>
        <w:autoSpaceDE w:val="0"/>
        <w:autoSpaceDN w:val="0"/>
        <w:adjustRightInd w:val="0"/>
        <w:ind w:right="51"/>
        <w:rPr>
          <w:rFonts w:ascii="Arial" w:eastAsia="Times New Roman" w:hAnsi="Arial" w:cs="Arial"/>
          <w:color w:val="000000" w:themeColor="text1"/>
          <w:sz w:val="16"/>
          <w:szCs w:val="16"/>
          <w:lang w:eastAsia="es-ES"/>
        </w:rPr>
      </w:pPr>
      <w:r w:rsidRPr="00E3266D">
        <w:rPr>
          <w:rFonts w:ascii="Arial" w:eastAsia="Times New Roman" w:hAnsi="Arial" w:cs="Arial"/>
          <w:color w:val="000000" w:themeColor="text1"/>
          <w:sz w:val="16"/>
          <w:szCs w:val="16"/>
          <w:vertAlign w:val="superscript"/>
          <w:lang w:eastAsia="es-ES"/>
        </w:rPr>
        <w:t>R</w:t>
      </w:r>
      <w:r w:rsidR="00943865">
        <w:rPr>
          <w:rFonts w:ascii="Arial" w:eastAsia="Times New Roman" w:hAnsi="Arial" w:cs="Arial"/>
          <w:color w:val="000000" w:themeColor="text1"/>
          <w:sz w:val="16"/>
          <w:szCs w:val="16"/>
          <w:lang w:eastAsia="es-ES"/>
        </w:rPr>
        <w:t xml:space="preserve"> Cifras revisadas</w:t>
      </w:r>
    </w:p>
    <w:p w14:paraId="725DCE1E" w14:textId="5D572E49" w:rsidR="003D1541" w:rsidRDefault="0073480B" w:rsidP="00943865">
      <w:pPr>
        <w:widowControl w:val="0"/>
        <w:tabs>
          <w:tab w:val="left" w:pos="0"/>
        </w:tabs>
        <w:autoSpaceDE w:val="0"/>
        <w:autoSpaceDN w:val="0"/>
        <w:adjustRightInd w:val="0"/>
        <w:ind w:right="51"/>
        <w:rPr>
          <w:rFonts w:ascii="Arial" w:eastAsia="Times New Roman" w:hAnsi="Arial" w:cs="Arial"/>
          <w:color w:val="000000" w:themeColor="text1"/>
          <w:sz w:val="16"/>
          <w:szCs w:val="16"/>
          <w:lang w:eastAsia="es-ES"/>
        </w:rPr>
      </w:pPr>
      <w:r w:rsidRPr="00E3266D">
        <w:rPr>
          <w:rFonts w:ascii="Arial" w:eastAsia="Times New Roman" w:hAnsi="Arial" w:cs="Arial"/>
          <w:color w:val="000000" w:themeColor="text1"/>
          <w:sz w:val="16"/>
          <w:szCs w:val="16"/>
          <w:vertAlign w:val="superscript"/>
          <w:lang w:eastAsia="es-ES"/>
        </w:rPr>
        <w:t>P</w:t>
      </w:r>
      <w:r w:rsidR="00943865" w:rsidRPr="007039F9">
        <w:rPr>
          <w:rFonts w:ascii="Arial" w:eastAsia="Times New Roman" w:hAnsi="Arial" w:cs="Arial"/>
          <w:color w:val="000000" w:themeColor="text1"/>
          <w:sz w:val="16"/>
          <w:szCs w:val="16"/>
          <w:lang w:eastAsia="es-ES"/>
        </w:rPr>
        <w:t xml:space="preserve"> Cifras preliminares</w:t>
      </w:r>
    </w:p>
    <w:p w14:paraId="420A5984" w14:textId="77777777" w:rsidR="00943865" w:rsidRPr="00C742D0" w:rsidRDefault="00943865" w:rsidP="00943865">
      <w:pPr>
        <w:widowControl w:val="0"/>
        <w:tabs>
          <w:tab w:val="left" w:pos="0"/>
        </w:tabs>
        <w:autoSpaceDE w:val="0"/>
        <w:autoSpaceDN w:val="0"/>
        <w:adjustRightInd w:val="0"/>
        <w:ind w:right="51"/>
        <w:rPr>
          <w:rFonts w:ascii="Arial" w:eastAsia="Times New Roman" w:hAnsi="Arial"/>
          <w:noProof/>
          <w:sz w:val="23"/>
          <w:szCs w:val="23"/>
          <w:lang w:eastAsia="es-MX"/>
        </w:rPr>
      </w:pPr>
    </w:p>
    <w:p w14:paraId="782B8E99" w14:textId="10A07CC2" w:rsidR="000B0BA9" w:rsidRDefault="000B0BA9" w:rsidP="00FF36AD">
      <w:pPr>
        <w:widowControl w:val="0"/>
        <w:tabs>
          <w:tab w:val="left" w:pos="-142"/>
        </w:tabs>
        <w:autoSpaceDE w:val="0"/>
        <w:autoSpaceDN w:val="0"/>
        <w:adjustRightInd w:val="0"/>
        <w:ind w:left="-142" w:right="-121"/>
        <w:rPr>
          <w:rFonts w:ascii="Arial" w:eastAsia="Times New Roman" w:hAnsi="Arial"/>
          <w:noProof/>
          <w:sz w:val="24"/>
          <w:szCs w:val="24"/>
          <w:lang w:eastAsia="es-MX"/>
        </w:rPr>
      </w:pPr>
      <w:r w:rsidRPr="003D4581">
        <w:rPr>
          <w:rFonts w:ascii="Arial" w:eastAsia="Times New Roman" w:hAnsi="Arial"/>
          <w:noProof/>
          <w:sz w:val="24"/>
          <w:szCs w:val="24"/>
          <w:lang w:eastAsia="es-MX"/>
        </w:rPr>
        <w:t xml:space="preserve">El Valor </w:t>
      </w:r>
      <w:r w:rsidR="00CB2982">
        <w:rPr>
          <w:rFonts w:ascii="Arial" w:eastAsia="Times New Roman" w:hAnsi="Arial"/>
          <w:noProof/>
          <w:sz w:val="24"/>
          <w:szCs w:val="24"/>
          <w:lang w:eastAsia="es-MX"/>
        </w:rPr>
        <w:t>A</w:t>
      </w:r>
      <w:r w:rsidRPr="003D4581">
        <w:rPr>
          <w:rFonts w:ascii="Arial" w:eastAsia="Times New Roman" w:hAnsi="Arial"/>
          <w:noProof/>
          <w:sz w:val="24"/>
          <w:szCs w:val="24"/>
          <w:lang w:eastAsia="es-MX"/>
        </w:rPr>
        <w:t xml:space="preserve">gregado </w:t>
      </w:r>
      <w:r w:rsidR="00CB2982">
        <w:rPr>
          <w:rFonts w:ascii="Arial" w:eastAsia="Times New Roman" w:hAnsi="Arial"/>
          <w:noProof/>
          <w:sz w:val="24"/>
          <w:szCs w:val="24"/>
          <w:lang w:eastAsia="es-MX"/>
        </w:rPr>
        <w:t xml:space="preserve">Bruto (VAB) </w:t>
      </w:r>
      <w:r w:rsidRPr="003D4581">
        <w:rPr>
          <w:rFonts w:ascii="Arial" w:eastAsia="Times New Roman" w:hAnsi="Arial"/>
          <w:noProof/>
          <w:sz w:val="24"/>
          <w:szCs w:val="24"/>
          <w:lang w:eastAsia="es-MX"/>
        </w:rPr>
        <w:t>generado por el comercio electrónico en 2020 fue de 1</w:t>
      </w:r>
      <w:r w:rsidR="00943865">
        <w:rPr>
          <w:rFonts w:ascii="Arial" w:eastAsia="Times New Roman" w:hAnsi="Arial"/>
          <w:noProof/>
          <w:sz w:val="24"/>
          <w:szCs w:val="24"/>
          <w:lang w:eastAsia="es-MX"/>
        </w:rPr>
        <w:t>,</w:t>
      </w:r>
      <w:r w:rsidRPr="003D4581">
        <w:rPr>
          <w:rFonts w:ascii="Arial" w:eastAsia="Times New Roman" w:hAnsi="Arial"/>
          <w:noProof/>
          <w:sz w:val="24"/>
          <w:szCs w:val="24"/>
          <w:lang w:eastAsia="es-MX"/>
        </w:rPr>
        <w:t>360</w:t>
      </w:r>
      <w:r w:rsidR="00943865">
        <w:rPr>
          <w:rFonts w:ascii="Arial" w:eastAsia="Times New Roman" w:hAnsi="Arial"/>
          <w:noProof/>
          <w:sz w:val="24"/>
          <w:szCs w:val="24"/>
          <w:lang w:eastAsia="es-MX"/>
        </w:rPr>
        <w:t>,</w:t>
      </w:r>
      <w:r w:rsidRPr="003D4581">
        <w:rPr>
          <w:rFonts w:ascii="Arial" w:eastAsia="Times New Roman" w:hAnsi="Arial"/>
          <w:noProof/>
          <w:sz w:val="24"/>
          <w:szCs w:val="24"/>
          <w:lang w:eastAsia="es-MX"/>
        </w:rPr>
        <w:t>827 millones de pesos</w:t>
      </w:r>
      <w:r w:rsidR="00261B2D" w:rsidRPr="003D4581">
        <w:rPr>
          <w:rFonts w:ascii="Arial" w:eastAsia="Times New Roman" w:hAnsi="Arial"/>
          <w:noProof/>
          <w:sz w:val="24"/>
          <w:szCs w:val="24"/>
          <w:lang w:eastAsia="es-MX"/>
        </w:rPr>
        <w:t xml:space="preserve"> a precios corrientes</w:t>
      </w:r>
      <w:r w:rsidRPr="003D4581">
        <w:rPr>
          <w:rFonts w:ascii="Arial" w:eastAsia="Times New Roman" w:hAnsi="Arial"/>
          <w:noProof/>
          <w:sz w:val="24"/>
          <w:szCs w:val="24"/>
          <w:lang w:eastAsia="es-MX"/>
        </w:rPr>
        <w:t xml:space="preserve">, que representa una caída </w:t>
      </w:r>
      <w:r w:rsidR="00E25A88">
        <w:rPr>
          <w:rFonts w:ascii="Arial" w:eastAsia="Times New Roman" w:hAnsi="Arial"/>
          <w:noProof/>
          <w:sz w:val="24"/>
          <w:szCs w:val="24"/>
          <w:lang w:eastAsia="es-MX"/>
        </w:rPr>
        <w:t xml:space="preserve">anual </w:t>
      </w:r>
      <w:r w:rsidRPr="003D4581">
        <w:rPr>
          <w:rFonts w:ascii="Arial" w:eastAsia="Times New Roman" w:hAnsi="Arial"/>
          <w:noProof/>
          <w:sz w:val="24"/>
          <w:szCs w:val="24"/>
          <w:lang w:eastAsia="es-MX"/>
        </w:rPr>
        <w:t>de 8.7%</w:t>
      </w:r>
      <w:r w:rsidR="00261B2D" w:rsidRPr="003D4581">
        <w:rPr>
          <w:rFonts w:ascii="Arial" w:eastAsia="Times New Roman" w:hAnsi="Arial"/>
          <w:noProof/>
          <w:sz w:val="24"/>
          <w:szCs w:val="24"/>
          <w:lang w:eastAsia="es-MX"/>
        </w:rPr>
        <w:t xml:space="preserve"> en términos reales.</w:t>
      </w:r>
      <w:r w:rsidRPr="006943E7">
        <w:rPr>
          <w:rFonts w:ascii="Arial" w:eastAsia="Times New Roman" w:hAnsi="Arial"/>
          <w:noProof/>
          <w:sz w:val="24"/>
          <w:szCs w:val="24"/>
          <w:lang w:eastAsia="es-MX"/>
        </w:rPr>
        <w:t xml:space="preserve"> </w:t>
      </w:r>
    </w:p>
    <w:p w14:paraId="375C25E5" w14:textId="77777777" w:rsidR="00C742D0" w:rsidRPr="00631E87" w:rsidRDefault="00C742D0" w:rsidP="00FF36AD">
      <w:pPr>
        <w:widowControl w:val="0"/>
        <w:tabs>
          <w:tab w:val="left" w:pos="-142"/>
        </w:tabs>
        <w:autoSpaceDE w:val="0"/>
        <w:autoSpaceDN w:val="0"/>
        <w:adjustRightInd w:val="0"/>
        <w:ind w:left="-142" w:right="-121"/>
        <w:rPr>
          <w:rFonts w:ascii="Arial" w:eastAsia="Times New Roman" w:hAnsi="Arial"/>
          <w:noProof/>
          <w:sz w:val="23"/>
          <w:szCs w:val="23"/>
          <w:lang w:eastAsia="es-MX"/>
        </w:rPr>
      </w:pPr>
    </w:p>
    <w:p w14:paraId="7F8180C1" w14:textId="73CC75FF" w:rsidR="000B0BA9" w:rsidRDefault="00194C8D" w:rsidP="00FF36AD">
      <w:pPr>
        <w:widowControl w:val="0"/>
        <w:tabs>
          <w:tab w:val="left" w:pos="-142"/>
        </w:tabs>
        <w:autoSpaceDE w:val="0"/>
        <w:autoSpaceDN w:val="0"/>
        <w:adjustRightInd w:val="0"/>
        <w:ind w:left="-142" w:right="-121"/>
        <w:rPr>
          <w:rFonts w:ascii="Arial" w:eastAsia="Times New Roman" w:hAnsi="Arial"/>
          <w:noProof/>
          <w:sz w:val="24"/>
          <w:szCs w:val="24"/>
          <w:lang w:eastAsia="es-MX"/>
        </w:rPr>
      </w:pPr>
      <w:r w:rsidRPr="003D4581">
        <w:rPr>
          <w:rFonts w:ascii="Arial" w:eastAsia="Times New Roman" w:hAnsi="Arial"/>
          <w:noProof/>
          <w:sz w:val="24"/>
          <w:szCs w:val="24"/>
          <w:lang w:eastAsia="es-MX"/>
        </w:rPr>
        <w:t>Estos resultados reflejan l</w:t>
      </w:r>
      <w:r>
        <w:rPr>
          <w:rFonts w:ascii="Arial" w:eastAsia="Times New Roman" w:hAnsi="Arial"/>
          <w:noProof/>
          <w:sz w:val="24"/>
          <w:szCs w:val="24"/>
          <w:lang w:eastAsia="es-MX"/>
        </w:rPr>
        <w:t xml:space="preserve">os </w:t>
      </w:r>
      <w:r w:rsidRPr="003D4581">
        <w:rPr>
          <w:rFonts w:ascii="Arial" w:eastAsia="Times New Roman" w:hAnsi="Arial"/>
          <w:noProof/>
          <w:sz w:val="24"/>
          <w:szCs w:val="24"/>
          <w:lang w:eastAsia="es-MX"/>
        </w:rPr>
        <w:t>efectos</w:t>
      </w:r>
      <w:r w:rsidRPr="00194C8D">
        <w:rPr>
          <w:rFonts w:ascii="Arial" w:eastAsia="Times New Roman" w:hAnsi="Arial"/>
          <w:noProof/>
          <w:sz w:val="24"/>
          <w:szCs w:val="24"/>
          <w:lang w:eastAsia="es-MX"/>
        </w:rPr>
        <w:t xml:space="preserve"> </w:t>
      </w:r>
      <w:r>
        <w:rPr>
          <w:rFonts w:ascii="Arial" w:eastAsia="Times New Roman" w:hAnsi="Arial"/>
          <w:noProof/>
          <w:sz w:val="24"/>
          <w:szCs w:val="24"/>
          <w:lang w:eastAsia="es-MX"/>
        </w:rPr>
        <w:t>de</w:t>
      </w:r>
      <w:r w:rsidRPr="003D4581">
        <w:rPr>
          <w:rFonts w:ascii="Arial" w:eastAsia="Times New Roman" w:hAnsi="Arial"/>
          <w:noProof/>
          <w:sz w:val="24"/>
          <w:szCs w:val="24"/>
          <w:lang w:eastAsia="es-MX"/>
        </w:rPr>
        <w:t xml:space="preserve">l aislamiento social </w:t>
      </w:r>
      <w:r>
        <w:rPr>
          <w:rFonts w:ascii="Arial" w:eastAsia="Times New Roman" w:hAnsi="Arial"/>
          <w:noProof/>
          <w:sz w:val="24"/>
          <w:szCs w:val="24"/>
          <w:lang w:eastAsia="es-MX"/>
        </w:rPr>
        <w:t>derivado de</w:t>
      </w:r>
      <w:r w:rsidRPr="003D4581">
        <w:rPr>
          <w:rFonts w:ascii="Arial" w:eastAsia="Times New Roman" w:hAnsi="Arial"/>
          <w:noProof/>
          <w:sz w:val="24"/>
          <w:szCs w:val="24"/>
          <w:lang w:eastAsia="es-MX"/>
        </w:rPr>
        <w:t xml:space="preserve"> la pandemia</w:t>
      </w:r>
      <w:r>
        <w:rPr>
          <w:rFonts w:ascii="Arial" w:eastAsia="Times New Roman" w:hAnsi="Arial"/>
          <w:noProof/>
          <w:sz w:val="24"/>
          <w:szCs w:val="24"/>
          <w:lang w:eastAsia="es-MX"/>
        </w:rPr>
        <w:t xml:space="preserve"> ocasionado por la COVID-19. P</w:t>
      </w:r>
      <w:r w:rsidRPr="003D4581">
        <w:rPr>
          <w:rFonts w:ascii="Arial" w:eastAsia="Times New Roman" w:hAnsi="Arial"/>
          <w:noProof/>
          <w:sz w:val="24"/>
          <w:szCs w:val="24"/>
          <w:lang w:eastAsia="es-MX"/>
        </w:rPr>
        <w:t>or un lado</w:t>
      </w:r>
      <w:r>
        <w:rPr>
          <w:rFonts w:ascii="Arial" w:eastAsia="Times New Roman" w:hAnsi="Arial"/>
          <w:noProof/>
          <w:sz w:val="24"/>
          <w:szCs w:val="24"/>
          <w:lang w:eastAsia="es-MX"/>
        </w:rPr>
        <w:t>,</w:t>
      </w:r>
      <w:r w:rsidRPr="003D4581">
        <w:rPr>
          <w:rFonts w:ascii="Arial" w:eastAsia="Times New Roman" w:hAnsi="Arial"/>
          <w:noProof/>
          <w:sz w:val="24"/>
          <w:szCs w:val="24"/>
          <w:lang w:eastAsia="es-MX"/>
        </w:rPr>
        <w:t xml:space="preserve"> un aumento en la comercialización de bienes a través de internet y</w:t>
      </w:r>
      <w:r>
        <w:rPr>
          <w:rFonts w:ascii="Arial" w:eastAsia="Times New Roman" w:hAnsi="Arial"/>
          <w:noProof/>
          <w:sz w:val="24"/>
          <w:szCs w:val="24"/>
          <w:lang w:eastAsia="es-MX"/>
        </w:rPr>
        <w:t>,</w:t>
      </w:r>
      <w:r w:rsidRPr="003D4581">
        <w:rPr>
          <w:rFonts w:ascii="Arial" w:eastAsia="Times New Roman" w:hAnsi="Arial"/>
          <w:noProof/>
          <w:sz w:val="24"/>
          <w:szCs w:val="24"/>
          <w:lang w:eastAsia="es-MX"/>
        </w:rPr>
        <w:t xml:space="preserve"> por otro</w:t>
      </w:r>
      <w:r>
        <w:rPr>
          <w:rFonts w:ascii="Arial" w:eastAsia="Times New Roman" w:hAnsi="Arial"/>
          <w:noProof/>
          <w:sz w:val="24"/>
          <w:szCs w:val="24"/>
          <w:lang w:eastAsia="es-MX"/>
        </w:rPr>
        <w:t>,</w:t>
      </w:r>
      <w:r w:rsidRPr="003D4581">
        <w:rPr>
          <w:rFonts w:ascii="Arial" w:eastAsia="Times New Roman" w:hAnsi="Arial"/>
          <w:noProof/>
          <w:sz w:val="24"/>
          <w:szCs w:val="24"/>
          <w:lang w:eastAsia="es-MX"/>
        </w:rPr>
        <w:t xml:space="preserve"> la caída de servicios (</w:t>
      </w:r>
      <w:r>
        <w:rPr>
          <w:rFonts w:ascii="Arial" w:eastAsia="Times New Roman" w:hAnsi="Arial"/>
          <w:noProof/>
          <w:sz w:val="24"/>
          <w:szCs w:val="24"/>
          <w:lang w:eastAsia="es-MX"/>
        </w:rPr>
        <w:t>a</w:t>
      </w:r>
      <w:r w:rsidRPr="003D4581">
        <w:rPr>
          <w:rFonts w:ascii="Arial" w:eastAsia="Times New Roman" w:hAnsi="Arial"/>
          <w:noProof/>
          <w:sz w:val="24"/>
          <w:szCs w:val="24"/>
          <w:lang w:eastAsia="es-MX"/>
        </w:rPr>
        <w:t xml:space="preserve">lojamiento, transporte, esparcimiento, entre otros) adquiridos por la misma </w:t>
      </w:r>
      <w:r>
        <w:rPr>
          <w:rFonts w:ascii="Arial" w:eastAsia="Times New Roman" w:hAnsi="Arial"/>
          <w:noProof/>
          <w:sz w:val="24"/>
          <w:szCs w:val="24"/>
          <w:lang w:eastAsia="es-MX"/>
        </w:rPr>
        <w:t>modalidad de compra.</w:t>
      </w:r>
      <w:r w:rsidRPr="006943E7">
        <w:rPr>
          <w:rFonts w:ascii="Arial" w:eastAsia="Times New Roman" w:hAnsi="Arial"/>
          <w:noProof/>
          <w:sz w:val="24"/>
          <w:szCs w:val="24"/>
          <w:lang w:eastAsia="es-MX"/>
        </w:rPr>
        <w:t xml:space="preserve"> </w:t>
      </w:r>
    </w:p>
    <w:p w14:paraId="05D7A03E" w14:textId="77777777" w:rsidR="00FF36AD" w:rsidRPr="006943E7" w:rsidRDefault="00FF36AD" w:rsidP="00FF36AD">
      <w:pPr>
        <w:widowControl w:val="0"/>
        <w:tabs>
          <w:tab w:val="left" w:pos="-142"/>
        </w:tabs>
        <w:autoSpaceDE w:val="0"/>
        <w:autoSpaceDN w:val="0"/>
        <w:adjustRightInd w:val="0"/>
        <w:ind w:left="-142" w:right="-121"/>
        <w:rPr>
          <w:rFonts w:ascii="Arial" w:eastAsia="Times New Roman" w:hAnsi="Arial"/>
          <w:noProof/>
          <w:sz w:val="24"/>
          <w:szCs w:val="24"/>
          <w:lang w:eastAsia="es-MX"/>
        </w:rPr>
      </w:pPr>
    </w:p>
    <w:p w14:paraId="0CE47D1C" w14:textId="74979556" w:rsidR="005303E0" w:rsidRDefault="005303E0" w:rsidP="00FF36AD">
      <w:pPr>
        <w:tabs>
          <w:tab w:val="left" w:pos="-142"/>
        </w:tabs>
        <w:ind w:left="-142" w:right="-121"/>
        <w:rPr>
          <w:rFonts w:ascii="Arial" w:eastAsia="Times New Roman" w:hAnsi="Arial" w:cs="Arial"/>
          <w:sz w:val="24"/>
          <w:szCs w:val="24"/>
          <w:lang w:eastAsia="es-ES"/>
        </w:rPr>
      </w:pPr>
      <w:r>
        <w:rPr>
          <w:rFonts w:ascii="Arial" w:eastAsia="Times New Roman" w:hAnsi="Arial" w:cs="Arial"/>
          <w:sz w:val="24"/>
          <w:szCs w:val="24"/>
          <w:lang w:eastAsia="es-ES"/>
        </w:rPr>
        <w:t>En 2020, de l</w:t>
      </w:r>
      <w:r w:rsidR="000B0BA9" w:rsidRPr="006943E7">
        <w:rPr>
          <w:rFonts w:ascii="Arial" w:eastAsia="Times New Roman" w:hAnsi="Arial" w:cs="Arial"/>
          <w:sz w:val="24"/>
          <w:szCs w:val="24"/>
          <w:lang w:eastAsia="es-ES"/>
        </w:rPr>
        <w:t>a participación porcentua</w:t>
      </w:r>
      <w:r w:rsidR="00B028B8">
        <w:rPr>
          <w:rFonts w:ascii="Arial" w:eastAsia="Times New Roman" w:hAnsi="Arial" w:cs="Arial"/>
          <w:sz w:val="24"/>
          <w:szCs w:val="24"/>
          <w:lang w:eastAsia="es-ES"/>
        </w:rPr>
        <w:t>l</w:t>
      </w:r>
      <w:r w:rsidR="000B0BA9" w:rsidRPr="006943E7">
        <w:rPr>
          <w:rFonts w:ascii="Arial" w:eastAsia="Times New Roman" w:hAnsi="Arial" w:cs="Arial"/>
          <w:sz w:val="24"/>
          <w:szCs w:val="24"/>
          <w:lang w:eastAsia="es-ES"/>
        </w:rPr>
        <w:t xml:space="preserve"> </w:t>
      </w:r>
      <w:r w:rsidR="00D956EB">
        <w:rPr>
          <w:rFonts w:ascii="Arial" w:eastAsia="Times New Roman" w:hAnsi="Arial" w:cs="Arial"/>
          <w:sz w:val="24"/>
          <w:szCs w:val="24"/>
          <w:lang w:eastAsia="es-ES"/>
        </w:rPr>
        <w:t>d</w:t>
      </w:r>
      <w:r w:rsidR="000B0BA9" w:rsidRPr="006943E7">
        <w:rPr>
          <w:rFonts w:ascii="Arial" w:eastAsia="Times New Roman" w:hAnsi="Arial" w:cs="Arial"/>
          <w:sz w:val="24"/>
          <w:szCs w:val="24"/>
          <w:lang w:eastAsia="es-ES"/>
        </w:rPr>
        <w:t xml:space="preserve">el </w:t>
      </w:r>
      <w:r w:rsidR="00CB2982">
        <w:rPr>
          <w:rFonts w:ascii="Arial" w:eastAsia="Times New Roman" w:hAnsi="Arial" w:cs="Arial"/>
          <w:sz w:val="24"/>
          <w:szCs w:val="24"/>
          <w:lang w:eastAsia="es-ES"/>
        </w:rPr>
        <w:t>VAB</w:t>
      </w:r>
      <w:r w:rsidR="000B0BA9" w:rsidRPr="006943E7">
        <w:rPr>
          <w:rFonts w:ascii="Arial" w:eastAsia="Times New Roman" w:hAnsi="Arial" w:cs="Arial"/>
          <w:sz w:val="24"/>
          <w:szCs w:val="24"/>
          <w:lang w:eastAsia="es-ES"/>
        </w:rPr>
        <w:t xml:space="preserve"> generado por el comercio electrónico</w:t>
      </w:r>
      <w:r>
        <w:rPr>
          <w:rFonts w:ascii="Arial" w:eastAsia="Times New Roman" w:hAnsi="Arial" w:cs="Arial"/>
          <w:sz w:val="24"/>
          <w:szCs w:val="24"/>
          <w:lang w:eastAsia="es-ES"/>
        </w:rPr>
        <w:t>,</w:t>
      </w:r>
      <w:r w:rsidR="00CB2982">
        <w:rPr>
          <w:rFonts w:ascii="Arial" w:eastAsia="Times New Roman" w:hAnsi="Arial" w:cs="Arial"/>
          <w:sz w:val="24"/>
          <w:szCs w:val="24"/>
          <w:lang w:eastAsia="es-ES"/>
        </w:rPr>
        <w:t xml:space="preserve"> 40.4% </w:t>
      </w:r>
      <w:r>
        <w:rPr>
          <w:rFonts w:ascii="Arial" w:eastAsia="Times New Roman" w:hAnsi="Arial" w:cs="Arial"/>
          <w:sz w:val="24"/>
          <w:szCs w:val="24"/>
          <w:lang w:eastAsia="es-ES"/>
        </w:rPr>
        <w:t>correspond</w:t>
      </w:r>
      <w:r w:rsidR="00E25A88">
        <w:rPr>
          <w:rFonts w:ascii="Arial" w:eastAsia="Times New Roman" w:hAnsi="Arial" w:cs="Arial"/>
          <w:sz w:val="24"/>
          <w:szCs w:val="24"/>
          <w:lang w:eastAsia="es-ES"/>
        </w:rPr>
        <w:t>ió</w:t>
      </w:r>
      <w:r>
        <w:rPr>
          <w:rFonts w:ascii="Arial" w:eastAsia="Times New Roman" w:hAnsi="Arial" w:cs="Arial"/>
          <w:sz w:val="24"/>
          <w:szCs w:val="24"/>
          <w:lang w:eastAsia="es-ES"/>
        </w:rPr>
        <w:t xml:space="preserve"> </w:t>
      </w:r>
      <w:r w:rsidR="000B0BA9" w:rsidRPr="006943E7">
        <w:rPr>
          <w:rFonts w:ascii="Arial" w:eastAsia="Times New Roman" w:hAnsi="Arial" w:cs="Arial"/>
          <w:sz w:val="24"/>
          <w:szCs w:val="24"/>
          <w:lang w:eastAsia="es-ES"/>
        </w:rPr>
        <w:t>al comercio al por menor de bienes</w:t>
      </w:r>
      <w:r w:rsidR="00CB2982">
        <w:rPr>
          <w:rFonts w:ascii="Arial" w:eastAsia="Times New Roman" w:hAnsi="Arial" w:cs="Arial"/>
          <w:sz w:val="24"/>
          <w:szCs w:val="24"/>
          <w:lang w:eastAsia="es-ES"/>
        </w:rPr>
        <w:t xml:space="preserve">, 24.9% </w:t>
      </w:r>
      <w:r w:rsidR="000B0BA9" w:rsidRPr="006943E7">
        <w:rPr>
          <w:rFonts w:ascii="Arial" w:eastAsia="Times New Roman" w:hAnsi="Arial" w:cs="Arial"/>
          <w:sz w:val="24"/>
          <w:szCs w:val="24"/>
          <w:lang w:eastAsia="es-ES"/>
        </w:rPr>
        <w:t>al comercio al por mayor de bienes</w:t>
      </w:r>
      <w:r w:rsidR="000B0BA9">
        <w:rPr>
          <w:rFonts w:ascii="Arial" w:eastAsia="Times New Roman" w:hAnsi="Arial" w:cs="Arial"/>
          <w:sz w:val="24"/>
          <w:szCs w:val="24"/>
          <w:lang w:eastAsia="es-ES"/>
        </w:rPr>
        <w:t xml:space="preserve"> </w:t>
      </w:r>
      <w:r w:rsidR="000B0BA9" w:rsidRPr="006943E7">
        <w:rPr>
          <w:rFonts w:ascii="Arial" w:eastAsia="Times New Roman" w:hAnsi="Arial" w:cs="Arial"/>
          <w:sz w:val="24"/>
          <w:szCs w:val="24"/>
          <w:lang w:eastAsia="es-ES"/>
        </w:rPr>
        <w:t>y</w:t>
      </w:r>
      <w:r w:rsidR="00CB2982">
        <w:rPr>
          <w:rFonts w:ascii="Arial" w:eastAsia="Times New Roman" w:hAnsi="Arial" w:cs="Arial"/>
          <w:sz w:val="24"/>
          <w:szCs w:val="24"/>
          <w:lang w:eastAsia="es-ES"/>
        </w:rPr>
        <w:t xml:space="preserve"> 34.7%</w:t>
      </w:r>
      <w:r w:rsidR="000B0BA9" w:rsidRPr="006943E7">
        <w:rPr>
          <w:rFonts w:ascii="Arial" w:eastAsia="Times New Roman" w:hAnsi="Arial" w:cs="Arial"/>
          <w:sz w:val="24"/>
          <w:szCs w:val="24"/>
          <w:lang w:eastAsia="es-ES"/>
        </w:rPr>
        <w:t xml:space="preserve"> al resto de los servicios. </w:t>
      </w:r>
    </w:p>
    <w:p w14:paraId="07884A5D" w14:textId="77777777" w:rsidR="005303E0" w:rsidRDefault="005303E0" w:rsidP="003C7F75">
      <w:pPr>
        <w:ind w:right="49"/>
        <w:rPr>
          <w:rFonts w:ascii="Arial" w:eastAsia="Times New Roman" w:hAnsi="Arial" w:cs="Arial"/>
          <w:sz w:val="24"/>
          <w:szCs w:val="24"/>
          <w:lang w:eastAsia="es-ES"/>
        </w:rPr>
      </w:pPr>
    </w:p>
    <w:p w14:paraId="03B2FD4F" w14:textId="04AC66AA" w:rsidR="00FF36AD" w:rsidRDefault="00FF36AD" w:rsidP="003C7F75">
      <w:pPr>
        <w:ind w:right="49"/>
        <w:rPr>
          <w:rFonts w:ascii="Arial" w:eastAsia="Times New Roman" w:hAnsi="Arial" w:cs="Arial"/>
          <w:sz w:val="24"/>
          <w:szCs w:val="24"/>
          <w:lang w:eastAsia="es-ES"/>
        </w:rPr>
      </w:pPr>
    </w:p>
    <w:p w14:paraId="64EB4C9D" w14:textId="77777777" w:rsidR="00FF36AD" w:rsidRPr="00FF36AD" w:rsidRDefault="00FF36AD" w:rsidP="00FF36AD">
      <w:pPr>
        <w:jc w:val="center"/>
        <w:rPr>
          <w:rFonts w:ascii="Arial" w:eastAsia="Times New Roman" w:hAnsi="Arial" w:cs="Arial"/>
          <w:sz w:val="24"/>
          <w:szCs w:val="24"/>
          <w:lang w:eastAsia="es-ES"/>
        </w:rPr>
      </w:pPr>
    </w:p>
    <w:p w14:paraId="208413BE" w14:textId="77777777" w:rsidR="00FF36AD" w:rsidRDefault="00FF36AD" w:rsidP="003C7F75">
      <w:pPr>
        <w:ind w:right="49"/>
        <w:rPr>
          <w:rFonts w:ascii="Arial" w:eastAsia="Times New Roman" w:hAnsi="Arial" w:cs="Arial"/>
          <w:sz w:val="24"/>
          <w:szCs w:val="24"/>
          <w:lang w:eastAsia="es-ES"/>
        </w:rPr>
      </w:pPr>
    </w:p>
    <w:p w14:paraId="753A9917" w14:textId="77777777" w:rsidR="00FF36AD" w:rsidRDefault="00FF36AD" w:rsidP="003C7F75">
      <w:pPr>
        <w:ind w:right="49"/>
        <w:rPr>
          <w:rFonts w:ascii="Arial" w:eastAsia="Times New Roman" w:hAnsi="Arial" w:cs="Arial"/>
          <w:sz w:val="24"/>
          <w:szCs w:val="24"/>
          <w:lang w:eastAsia="es-ES"/>
        </w:rPr>
      </w:pPr>
    </w:p>
    <w:p w14:paraId="2A77D82E" w14:textId="7648F6E1" w:rsidR="00B76CC4" w:rsidRDefault="005303E0" w:rsidP="00FF36AD">
      <w:pPr>
        <w:ind w:left="-142" w:right="-121"/>
        <w:rPr>
          <w:rFonts w:ascii="Arial" w:eastAsia="Times New Roman" w:hAnsi="Arial" w:cs="Arial"/>
          <w:sz w:val="24"/>
          <w:szCs w:val="24"/>
          <w:lang w:eastAsia="es-ES"/>
        </w:rPr>
      </w:pPr>
      <w:r>
        <w:rPr>
          <w:rFonts w:ascii="Arial" w:eastAsia="Times New Roman" w:hAnsi="Arial" w:cs="Arial"/>
          <w:sz w:val="24"/>
          <w:szCs w:val="24"/>
          <w:lang w:eastAsia="es-ES"/>
        </w:rPr>
        <w:t>E</w:t>
      </w:r>
      <w:r w:rsidR="000B0BA9" w:rsidRPr="006943E7">
        <w:rPr>
          <w:rFonts w:ascii="Arial" w:eastAsia="Times New Roman" w:hAnsi="Arial" w:cs="Arial"/>
          <w:sz w:val="24"/>
          <w:szCs w:val="24"/>
          <w:lang w:eastAsia="es-ES"/>
        </w:rPr>
        <w:t xml:space="preserve">l </w:t>
      </w:r>
      <w:r w:rsidR="00CB2982">
        <w:rPr>
          <w:rFonts w:ascii="Arial" w:eastAsia="Times New Roman" w:hAnsi="Arial" w:cs="Arial"/>
          <w:sz w:val="24"/>
          <w:szCs w:val="24"/>
          <w:lang w:eastAsia="es-ES"/>
        </w:rPr>
        <w:t>VAB</w:t>
      </w:r>
      <w:r w:rsidR="000B0BA9" w:rsidRPr="006943E7">
        <w:rPr>
          <w:rFonts w:ascii="Arial" w:eastAsia="Times New Roman" w:hAnsi="Arial" w:cs="Arial"/>
          <w:sz w:val="24"/>
          <w:szCs w:val="24"/>
          <w:lang w:eastAsia="es-ES"/>
        </w:rPr>
        <w:t xml:space="preserve"> generado por el comercio electrónico de los bienes al por menor </w:t>
      </w:r>
      <w:r>
        <w:rPr>
          <w:rFonts w:ascii="Arial" w:eastAsia="Times New Roman" w:hAnsi="Arial" w:cs="Arial"/>
          <w:sz w:val="24"/>
          <w:szCs w:val="24"/>
          <w:lang w:eastAsia="es-ES"/>
        </w:rPr>
        <w:t xml:space="preserve">fue </w:t>
      </w:r>
      <w:r w:rsidR="000B0BA9" w:rsidRPr="006943E7">
        <w:rPr>
          <w:rFonts w:ascii="Arial" w:eastAsia="Times New Roman" w:hAnsi="Arial" w:cs="Arial"/>
          <w:sz w:val="24"/>
          <w:szCs w:val="24"/>
          <w:lang w:eastAsia="es-ES"/>
        </w:rPr>
        <w:t>el más dinámico y present</w:t>
      </w:r>
      <w:r>
        <w:rPr>
          <w:rFonts w:ascii="Arial" w:eastAsia="Times New Roman" w:hAnsi="Arial" w:cs="Arial"/>
          <w:sz w:val="24"/>
          <w:szCs w:val="24"/>
          <w:lang w:eastAsia="es-ES"/>
        </w:rPr>
        <w:t>a</w:t>
      </w:r>
      <w:r w:rsidR="000B0BA9" w:rsidRPr="006943E7">
        <w:rPr>
          <w:rFonts w:ascii="Arial" w:eastAsia="Times New Roman" w:hAnsi="Arial" w:cs="Arial"/>
          <w:sz w:val="24"/>
          <w:szCs w:val="24"/>
          <w:lang w:eastAsia="es-ES"/>
        </w:rPr>
        <w:t xml:space="preserve"> </w:t>
      </w:r>
      <w:r w:rsidR="000B0BA9" w:rsidRPr="0042573E">
        <w:rPr>
          <w:rFonts w:ascii="Arial" w:eastAsia="Times New Roman" w:hAnsi="Arial" w:cs="Arial"/>
          <w:sz w:val="24"/>
          <w:szCs w:val="24"/>
          <w:lang w:eastAsia="es-ES"/>
        </w:rPr>
        <w:t xml:space="preserve">una participación </w:t>
      </w:r>
      <w:r w:rsidR="00F227B3" w:rsidRPr="0042573E">
        <w:rPr>
          <w:rFonts w:ascii="Arial" w:eastAsia="Times New Roman" w:hAnsi="Arial" w:cs="Arial"/>
          <w:sz w:val="24"/>
          <w:szCs w:val="24"/>
          <w:lang w:eastAsia="es-ES"/>
        </w:rPr>
        <w:t xml:space="preserve">anual </w:t>
      </w:r>
      <w:r w:rsidR="000B0BA9" w:rsidRPr="0042573E">
        <w:rPr>
          <w:rFonts w:ascii="Arial" w:eastAsia="Times New Roman" w:hAnsi="Arial" w:cs="Arial"/>
          <w:sz w:val="24"/>
          <w:szCs w:val="24"/>
          <w:lang w:eastAsia="es-ES"/>
        </w:rPr>
        <w:t>creciente</w:t>
      </w:r>
      <w:r w:rsidR="00F227B3" w:rsidRPr="0042573E">
        <w:rPr>
          <w:rFonts w:ascii="Arial" w:eastAsia="Times New Roman" w:hAnsi="Arial" w:cs="Arial"/>
          <w:sz w:val="24"/>
          <w:szCs w:val="24"/>
          <w:lang w:eastAsia="es-ES"/>
        </w:rPr>
        <w:t>,</w:t>
      </w:r>
      <w:r w:rsidR="000B0BA9" w:rsidRPr="0042573E">
        <w:rPr>
          <w:rFonts w:ascii="Arial" w:eastAsia="Times New Roman" w:hAnsi="Arial" w:cs="Arial"/>
          <w:sz w:val="24"/>
          <w:szCs w:val="24"/>
          <w:lang w:eastAsia="es-ES"/>
        </w:rPr>
        <w:t xml:space="preserve"> debido</w:t>
      </w:r>
      <w:r w:rsidR="000B0BA9" w:rsidRPr="006943E7">
        <w:rPr>
          <w:rFonts w:ascii="Arial" w:eastAsia="Times New Roman" w:hAnsi="Arial" w:cs="Arial"/>
          <w:sz w:val="24"/>
          <w:szCs w:val="24"/>
          <w:lang w:eastAsia="es-ES"/>
        </w:rPr>
        <w:t xml:space="preserve"> a que las empresas utilizan cada vez más </w:t>
      </w:r>
      <w:r>
        <w:rPr>
          <w:rFonts w:ascii="Arial" w:eastAsia="Times New Roman" w:hAnsi="Arial" w:cs="Arial"/>
          <w:sz w:val="24"/>
          <w:szCs w:val="24"/>
          <w:lang w:eastAsia="es-ES"/>
        </w:rPr>
        <w:t xml:space="preserve">el internet </w:t>
      </w:r>
      <w:r w:rsidR="000B0BA9" w:rsidRPr="006943E7">
        <w:rPr>
          <w:rFonts w:ascii="Arial" w:eastAsia="Times New Roman" w:hAnsi="Arial" w:cs="Arial"/>
          <w:sz w:val="24"/>
          <w:szCs w:val="24"/>
          <w:lang w:eastAsia="es-ES"/>
        </w:rPr>
        <w:t>como medio de comercialización y</w:t>
      </w:r>
      <w:r>
        <w:rPr>
          <w:rFonts w:ascii="Arial" w:eastAsia="Times New Roman" w:hAnsi="Arial" w:cs="Arial"/>
          <w:sz w:val="24"/>
          <w:szCs w:val="24"/>
          <w:lang w:eastAsia="es-ES"/>
        </w:rPr>
        <w:t xml:space="preserve"> </w:t>
      </w:r>
      <w:r w:rsidR="00E25A88">
        <w:rPr>
          <w:rFonts w:ascii="Arial" w:eastAsia="Times New Roman" w:hAnsi="Arial" w:cs="Arial"/>
          <w:sz w:val="24"/>
          <w:szCs w:val="24"/>
          <w:lang w:eastAsia="es-ES"/>
        </w:rPr>
        <w:t xml:space="preserve">a </w:t>
      </w:r>
      <w:r>
        <w:rPr>
          <w:rFonts w:ascii="Arial" w:eastAsia="Times New Roman" w:hAnsi="Arial" w:cs="Arial"/>
          <w:sz w:val="24"/>
          <w:szCs w:val="24"/>
          <w:lang w:eastAsia="es-ES"/>
        </w:rPr>
        <w:t>que las compras de los hogares por esta modalidad también se incrementan.</w:t>
      </w:r>
    </w:p>
    <w:p w14:paraId="0FD7D49A" w14:textId="1CF0EA0F" w:rsidR="00CB2982" w:rsidRDefault="00CB2982" w:rsidP="003C7F75">
      <w:pPr>
        <w:ind w:right="49"/>
        <w:jc w:val="center"/>
        <w:rPr>
          <w:rFonts w:ascii="Arial" w:eastAsia="Times New Roman" w:hAnsi="Arial" w:cs="Arial"/>
          <w:sz w:val="20"/>
          <w:szCs w:val="20"/>
          <w:lang w:eastAsia="es-ES"/>
        </w:rPr>
      </w:pPr>
    </w:p>
    <w:p w14:paraId="615013B8" w14:textId="77777777" w:rsidR="006C2CD9" w:rsidRDefault="006C2CD9" w:rsidP="000B0BA9">
      <w:pPr>
        <w:ind w:right="49"/>
        <w:jc w:val="center"/>
        <w:rPr>
          <w:rFonts w:ascii="Arial" w:eastAsia="Times New Roman" w:hAnsi="Arial" w:cs="Arial"/>
          <w:sz w:val="20"/>
          <w:szCs w:val="20"/>
          <w:lang w:eastAsia="es-ES"/>
        </w:rPr>
      </w:pPr>
    </w:p>
    <w:p w14:paraId="5F3AC943" w14:textId="683412A4" w:rsidR="000B0BA9" w:rsidRPr="005303E0" w:rsidRDefault="000B0BA9" w:rsidP="000B0BA9">
      <w:pPr>
        <w:ind w:right="49"/>
        <w:jc w:val="center"/>
        <w:rPr>
          <w:rFonts w:ascii="Arial" w:eastAsia="Times New Roman" w:hAnsi="Arial" w:cs="Arial"/>
          <w:sz w:val="20"/>
          <w:szCs w:val="20"/>
          <w:lang w:eastAsia="es-ES"/>
        </w:rPr>
      </w:pPr>
      <w:r w:rsidRPr="005303E0">
        <w:rPr>
          <w:rFonts w:ascii="Arial" w:eastAsia="Times New Roman" w:hAnsi="Arial" w:cs="Arial"/>
          <w:sz w:val="20"/>
          <w:szCs w:val="20"/>
          <w:lang w:eastAsia="es-ES"/>
        </w:rPr>
        <w:t>Gráfica 1</w:t>
      </w:r>
    </w:p>
    <w:p w14:paraId="6D47F790" w14:textId="5427591B" w:rsidR="000B0BA9" w:rsidRDefault="005303E0" w:rsidP="000B0BA9">
      <w:pPr>
        <w:ind w:right="49"/>
        <w:jc w:val="center"/>
        <w:rPr>
          <w:rFonts w:ascii="Arial" w:eastAsia="Times New Roman" w:hAnsi="Arial" w:cs="Arial"/>
          <w:b/>
          <w:bCs/>
          <w:smallCaps/>
          <w:lang w:eastAsia="es-ES"/>
        </w:rPr>
      </w:pPr>
      <w:r w:rsidRPr="005303E0">
        <w:rPr>
          <w:rFonts w:ascii="Arial" w:eastAsia="Times New Roman" w:hAnsi="Arial" w:cs="Arial"/>
          <w:b/>
          <w:bCs/>
          <w:smallCaps/>
          <w:lang w:eastAsia="es-ES"/>
        </w:rPr>
        <w:t>valor agregado bruto del comercio electrónico</w:t>
      </w:r>
    </w:p>
    <w:p w14:paraId="04924A50" w14:textId="257889DA" w:rsidR="005303E0" w:rsidRPr="005303E0" w:rsidRDefault="005303E0" w:rsidP="000B0BA9">
      <w:pPr>
        <w:ind w:right="49"/>
        <w:jc w:val="center"/>
        <w:rPr>
          <w:rFonts w:ascii="Arial" w:eastAsia="Times New Roman" w:hAnsi="Arial" w:cs="Arial"/>
          <w:bCs/>
          <w:sz w:val="18"/>
          <w:szCs w:val="18"/>
          <w:lang w:eastAsia="es-ES"/>
        </w:rPr>
      </w:pPr>
      <w:r w:rsidRPr="005303E0">
        <w:rPr>
          <w:rFonts w:ascii="Arial" w:eastAsia="Times New Roman" w:hAnsi="Arial" w:cs="Arial"/>
          <w:bCs/>
          <w:sz w:val="18"/>
          <w:szCs w:val="18"/>
          <w:lang w:eastAsia="es-ES"/>
        </w:rPr>
        <w:t>(Estructura  porcentual)</w:t>
      </w:r>
    </w:p>
    <w:p w14:paraId="7CF1428D" w14:textId="28B8FF4F" w:rsidR="000B0BA9" w:rsidRDefault="000B0BA9" w:rsidP="006C2CD9">
      <w:pPr>
        <w:ind w:right="49"/>
        <w:jc w:val="center"/>
        <w:rPr>
          <w:rFonts w:ascii="Arial" w:eastAsia="Times New Roman" w:hAnsi="Arial" w:cs="Arial"/>
          <w:sz w:val="24"/>
          <w:szCs w:val="24"/>
          <w:lang w:eastAsia="es-ES"/>
        </w:rPr>
      </w:pPr>
      <w:r>
        <w:rPr>
          <w:noProof/>
        </w:rPr>
        <w:drawing>
          <wp:inline distT="0" distB="0" distL="0" distR="0" wp14:anchorId="28CC69C1" wp14:editId="76E0A055">
            <wp:extent cx="6361043" cy="2663687"/>
            <wp:effectExtent l="0" t="0" r="1905" b="3810"/>
            <wp:docPr id="3" name="Gráfico 3">
              <a:extLst xmlns:a="http://schemas.openxmlformats.org/drawingml/2006/main">
                <a:ext uri="{FF2B5EF4-FFF2-40B4-BE49-F238E27FC236}">
                  <a16:creationId xmlns:a16="http://schemas.microsoft.com/office/drawing/2014/main" id="{0BD6E101-B438-4E03-AE00-0CDDC72CD9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274D18" w14:textId="6B2D2306" w:rsidR="006A56EA" w:rsidRDefault="006A56EA" w:rsidP="006C2CD9">
      <w:pPr>
        <w:ind w:right="49"/>
        <w:jc w:val="center"/>
        <w:rPr>
          <w:rFonts w:ascii="Arial" w:eastAsia="Times New Roman" w:hAnsi="Arial" w:cs="Arial"/>
          <w:sz w:val="24"/>
          <w:szCs w:val="24"/>
          <w:lang w:eastAsia="es-ES"/>
        </w:rPr>
      </w:pPr>
    </w:p>
    <w:p w14:paraId="4E930326" w14:textId="77777777" w:rsidR="000B0BA9" w:rsidRPr="006633A6" w:rsidRDefault="000B0BA9" w:rsidP="000B0BA9">
      <w:pPr>
        <w:widowControl w:val="0"/>
        <w:tabs>
          <w:tab w:val="left" w:pos="0"/>
        </w:tabs>
        <w:autoSpaceDE w:val="0"/>
        <w:autoSpaceDN w:val="0"/>
        <w:adjustRightInd w:val="0"/>
        <w:ind w:left="-284" w:right="-263"/>
        <w:rPr>
          <w:rFonts w:ascii="Arial" w:eastAsia="Times New Roman" w:hAnsi="Arial"/>
          <w:noProof/>
          <w:sz w:val="23"/>
          <w:szCs w:val="23"/>
          <w:lang w:eastAsia="es-MX"/>
        </w:rPr>
      </w:pPr>
    </w:p>
    <w:p w14:paraId="0BF34319" w14:textId="543116CF" w:rsidR="006C2CD9" w:rsidRDefault="002B167C" w:rsidP="00FF36AD">
      <w:pPr>
        <w:ind w:left="-142" w:right="-121"/>
        <w:rPr>
          <w:rFonts w:ascii="Arial" w:eastAsia="Times New Roman" w:hAnsi="Arial" w:cs="Arial"/>
          <w:sz w:val="24"/>
          <w:szCs w:val="24"/>
          <w:lang w:eastAsia="es-ES"/>
        </w:rPr>
      </w:pPr>
      <w:r>
        <w:rPr>
          <w:rFonts w:ascii="Arial" w:eastAsia="Times New Roman" w:hAnsi="Arial" w:cs="Arial"/>
          <w:sz w:val="24"/>
          <w:szCs w:val="24"/>
          <w:lang w:eastAsia="es-ES"/>
        </w:rPr>
        <w:t>E</w:t>
      </w:r>
      <w:r w:rsidR="000B0BA9" w:rsidRPr="000B0BA9">
        <w:rPr>
          <w:rFonts w:ascii="Arial" w:eastAsia="Times New Roman" w:hAnsi="Arial" w:cs="Arial"/>
          <w:sz w:val="24"/>
          <w:szCs w:val="24"/>
          <w:lang w:eastAsia="es-ES"/>
        </w:rPr>
        <w:t xml:space="preserve">l </w:t>
      </w:r>
      <w:r w:rsidR="00172D75">
        <w:rPr>
          <w:rFonts w:ascii="Arial" w:eastAsia="Times New Roman" w:hAnsi="Arial" w:cs="Arial"/>
          <w:sz w:val="24"/>
          <w:szCs w:val="24"/>
          <w:lang w:eastAsia="es-ES"/>
        </w:rPr>
        <w:t>c</w:t>
      </w:r>
      <w:r w:rsidR="000B0BA9" w:rsidRPr="000B0BA9">
        <w:rPr>
          <w:rFonts w:ascii="Arial" w:eastAsia="Times New Roman" w:hAnsi="Arial" w:cs="Arial"/>
          <w:sz w:val="24"/>
          <w:szCs w:val="24"/>
          <w:lang w:eastAsia="es-ES"/>
        </w:rPr>
        <w:t>omercio, los servicios educativos</w:t>
      </w:r>
      <w:r w:rsidR="00DF4E84">
        <w:rPr>
          <w:rFonts w:ascii="Arial" w:eastAsia="Times New Roman" w:hAnsi="Arial" w:cs="Arial"/>
          <w:sz w:val="24"/>
          <w:szCs w:val="24"/>
          <w:lang w:eastAsia="es-ES"/>
        </w:rPr>
        <w:t xml:space="preserve"> y</w:t>
      </w:r>
      <w:r w:rsidR="000B0BA9" w:rsidRPr="000B0BA9">
        <w:rPr>
          <w:rFonts w:ascii="Arial" w:eastAsia="Times New Roman" w:hAnsi="Arial" w:cs="Arial"/>
          <w:sz w:val="24"/>
          <w:szCs w:val="24"/>
          <w:lang w:eastAsia="es-ES"/>
        </w:rPr>
        <w:t xml:space="preserve"> los servicios financieros y de seguros fueron los</w:t>
      </w:r>
      <w:r>
        <w:rPr>
          <w:rFonts w:ascii="Arial" w:eastAsia="Times New Roman" w:hAnsi="Arial" w:cs="Arial"/>
          <w:sz w:val="24"/>
          <w:szCs w:val="24"/>
          <w:lang w:eastAsia="es-ES"/>
        </w:rPr>
        <w:t xml:space="preserve"> sectores menos afectados</w:t>
      </w:r>
      <w:r w:rsidR="000B0BA9" w:rsidRPr="000B0BA9">
        <w:rPr>
          <w:rFonts w:ascii="Arial" w:eastAsia="Times New Roman" w:hAnsi="Arial" w:cs="Arial"/>
          <w:sz w:val="24"/>
          <w:szCs w:val="24"/>
          <w:lang w:eastAsia="es-ES"/>
        </w:rPr>
        <w:t xml:space="preserve">, </w:t>
      </w:r>
      <w:r w:rsidR="00FF36AD">
        <w:rPr>
          <w:rFonts w:ascii="Arial" w:eastAsia="Times New Roman" w:hAnsi="Arial" w:cs="Arial"/>
          <w:sz w:val="24"/>
          <w:szCs w:val="24"/>
          <w:lang w:eastAsia="es-ES"/>
        </w:rPr>
        <w:t>debido</w:t>
      </w:r>
      <w:r w:rsidR="000B0BA9" w:rsidRPr="000B0BA9">
        <w:rPr>
          <w:rFonts w:ascii="Arial" w:eastAsia="Times New Roman" w:hAnsi="Arial" w:cs="Arial"/>
          <w:sz w:val="24"/>
          <w:szCs w:val="24"/>
          <w:lang w:eastAsia="es-ES"/>
        </w:rPr>
        <w:t xml:space="preserve"> a</w:t>
      </w:r>
      <w:r w:rsidR="00DF4E84">
        <w:rPr>
          <w:rFonts w:ascii="Arial" w:eastAsia="Times New Roman" w:hAnsi="Arial" w:cs="Arial"/>
          <w:sz w:val="24"/>
          <w:szCs w:val="24"/>
          <w:lang w:eastAsia="es-ES"/>
        </w:rPr>
        <w:t xml:space="preserve"> que</w:t>
      </w:r>
      <w:r w:rsidR="000B0BA9" w:rsidRPr="000B0BA9">
        <w:rPr>
          <w:rFonts w:ascii="Arial" w:eastAsia="Times New Roman" w:hAnsi="Arial" w:cs="Arial"/>
          <w:sz w:val="24"/>
          <w:szCs w:val="24"/>
          <w:lang w:eastAsia="es-ES"/>
        </w:rPr>
        <w:t xml:space="preserve"> las compras por medios electrónicos, la utilización de servicios de intermediación financiera y los servicios educativos en línea</w:t>
      </w:r>
      <w:r w:rsidR="00DF4E84">
        <w:rPr>
          <w:rFonts w:ascii="Arial" w:eastAsia="Times New Roman" w:hAnsi="Arial" w:cs="Arial"/>
          <w:sz w:val="24"/>
          <w:szCs w:val="24"/>
          <w:lang w:eastAsia="es-ES"/>
        </w:rPr>
        <w:t xml:space="preserve"> aumentaron</w:t>
      </w:r>
      <w:r w:rsidR="000B0BA9" w:rsidRPr="000B0BA9">
        <w:rPr>
          <w:rFonts w:ascii="Arial" w:eastAsia="Times New Roman" w:hAnsi="Arial" w:cs="Arial"/>
          <w:sz w:val="24"/>
          <w:szCs w:val="24"/>
          <w:lang w:eastAsia="es-ES"/>
        </w:rPr>
        <w:t>.</w:t>
      </w:r>
      <w:r w:rsidR="001C3409">
        <w:rPr>
          <w:rFonts w:ascii="Arial" w:eastAsia="Times New Roman" w:hAnsi="Arial" w:cs="Arial"/>
          <w:sz w:val="24"/>
          <w:szCs w:val="24"/>
          <w:lang w:eastAsia="es-ES"/>
        </w:rPr>
        <w:t xml:space="preserve"> </w:t>
      </w:r>
    </w:p>
    <w:p w14:paraId="59477B91" w14:textId="77777777" w:rsidR="006C2CD9" w:rsidRDefault="006C2CD9" w:rsidP="00053992">
      <w:pPr>
        <w:ind w:left="-142" w:right="-121"/>
        <w:rPr>
          <w:rFonts w:ascii="Arial" w:eastAsia="Times New Roman" w:hAnsi="Arial" w:cs="Arial"/>
          <w:sz w:val="24"/>
          <w:szCs w:val="24"/>
          <w:lang w:eastAsia="es-ES"/>
        </w:rPr>
      </w:pPr>
    </w:p>
    <w:p w14:paraId="78ECA03E" w14:textId="5AF8566F" w:rsidR="000B0BA9" w:rsidRDefault="00FF36AD" w:rsidP="00053992">
      <w:pPr>
        <w:ind w:left="-142" w:right="-121"/>
        <w:rPr>
          <w:rFonts w:ascii="Arial" w:eastAsia="Times New Roman" w:hAnsi="Arial" w:cs="Arial"/>
          <w:sz w:val="24"/>
          <w:szCs w:val="24"/>
          <w:lang w:eastAsia="es-ES"/>
        </w:rPr>
      </w:pPr>
      <w:r>
        <w:rPr>
          <w:rFonts w:ascii="Arial" w:eastAsia="Times New Roman" w:hAnsi="Arial" w:cs="Arial"/>
          <w:sz w:val="24"/>
          <w:szCs w:val="24"/>
          <w:lang w:eastAsia="es-ES"/>
        </w:rPr>
        <w:t>D</w:t>
      </w:r>
      <w:r w:rsidR="001C3409" w:rsidRPr="001C3409">
        <w:rPr>
          <w:rFonts w:ascii="Arial" w:eastAsia="Times New Roman" w:hAnsi="Arial" w:cs="Arial"/>
          <w:sz w:val="24"/>
          <w:szCs w:val="24"/>
          <w:lang w:eastAsia="es-ES"/>
        </w:rPr>
        <w:t xml:space="preserve">estacan </w:t>
      </w:r>
      <w:r>
        <w:rPr>
          <w:rFonts w:ascii="Arial" w:eastAsia="Times New Roman" w:hAnsi="Arial" w:cs="Arial"/>
          <w:sz w:val="24"/>
          <w:szCs w:val="24"/>
          <w:lang w:eastAsia="es-ES"/>
        </w:rPr>
        <w:t xml:space="preserve">también </w:t>
      </w:r>
      <w:r w:rsidR="001C3409" w:rsidRPr="001C3409">
        <w:rPr>
          <w:rFonts w:ascii="Arial" w:eastAsia="Times New Roman" w:hAnsi="Arial" w:cs="Arial"/>
          <w:sz w:val="24"/>
          <w:szCs w:val="24"/>
          <w:lang w:eastAsia="es-ES"/>
        </w:rPr>
        <w:t xml:space="preserve">las disminuciones en el VAB de los </w:t>
      </w:r>
      <w:r w:rsidR="00CB2982">
        <w:rPr>
          <w:rFonts w:ascii="Arial" w:eastAsia="Times New Roman" w:hAnsi="Arial" w:cs="Arial"/>
          <w:sz w:val="24"/>
          <w:szCs w:val="24"/>
          <w:lang w:eastAsia="es-ES"/>
        </w:rPr>
        <w:t>h</w:t>
      </w:r>
      <w:r w:rsidR="001C3409" w:rsidRPr="001C3409">
        <w:rPr>
          <w:rFonts w:ascii="Arial" w:eastAsia="Times New Roman" w:hAnsi="Arial" w:cs="Arial"/>
          <w:sz w:val="24"/>
          <w:szCs w:val="24"/>
          <w:lang w:eastAsia="es-ES"/>
        </w:rPr>
        <w:t xml:space="preserve">oteles y </w:t>
      </w:r>
      <w:r w:rsidR="00CB2982">
        <w:rPr>
          <w:rFonts w:ascii="Arial" w:eastAsia="Times New Roman" w:hAnsi="Arial" w:cs="Arial"/>
          <w:sz w:val="24"/>
          <w:szCs w:val="24"/>
          <w:lang w:eastAsia="es-ES"/>
        </w:rPr>
        <w:t>r</w:t>
      </w:r>
      <w:r w:rsidR="001C3409" w:rsidRPr="001C3409">
        <w:rPr>
          <w:rFonts w:ascii="Arial" w:eastAsia="Times New Roman" w:hAnsi="Arial" w:cs="Arial"/>
          <w:sz w:val="24"/>
          <w:szCs w:val="24"/>
          <w:lang w:eastAsia="es-ES"/>
        </w:rPr>
        <w:t xml:space="preserve">estaurantes, de los </w:t>
      </w:r>
      <w:r w:rsidR="00CB2982">
        <w:rPr>
          <w:rFonts w:ascii="Arial" w:eastAsia="Times New Roman" w:hAnsi="Arial" w:cs="Arial"/>
          <w:sz w:val="24"/>
          <w:szCs w:val="24"/>
          <w:lang w:eastAsia="es-ES"/>
        </w:rPr>
        <w:t>s</w:t>
      </w:r>
      <w:r w:rsidR="001C3409" w:rsidRPr="001C3409">
        <w:rPr>
          <w:rFonts w:ascii="Arial" w:eastAsia="Times New Roman" w:hAnsi="Arial" w:cs="Arial"/>
          <w:sz w:val="24"/>
          <w:szCs w:val="24"/>
          <w:lang w:eastAsia="es-ES"/>
        </w:rPr>
        <w:t xml:space="preserve">ervicios </w:t>
      </w:r>
      <w:r w:rsidR="00CB2982">
        <w:rPr>
          <w:rFonts w:ascii="Arial" w:eastAsia="Times New Roman" w:hAnsi="Arial" w:cs="Arial"/>
          <w:sz w:val="24"/>
          <w:szCs w:val="24"/>
          <w:lang w:eastAsia="es-ES"/>
        </w:rPr>
        <w:t>c</w:t>
      </w:r>
      <w:r w:rsidR="001C3409" w:rsidRPr="001C3409">
        <w:rPr>
          <w:rFonts w:ascii="Arial" w:eastAsia="Times New Roman" w:hAnsi="Arial" w:cs="Arial"/>
          <w:sz w:val="24"/>
          <w:szCs w:val="24"/>
          <w:lang w:eastAsia="es-ES"/>
        </w:rPr>
        <w:t xml:space="preserve">ulturales y </w:t>
      </w:r>
      <w:r w:rsidR="00CB2982">
        <w:rPr>
          <w:rFonts w:ascii="Arial" w:eastAsia="Times New Roman" w:hAnsi="Arial" w:cs="Arial"/>
          <w:sz w:val="24"/>
          <w:szCs w:val="24"/>
          <w:lang w:eastAsia="es-ES"/>
        </w:rPr>
        <w:t>d</w:t>
      </w:r>
      <w:r w:rsidR="001C3409" w:rsidRPr="001C3409">
        <w:rPr>
          <w:rFonts w:ascii="Arial" w:eastAsia="Times New Roman" w:hAnsi="Arial" w:cs="Arial"/>
          <w:sz w:val="24"/>
          <w:szCs w:val="24"/>
          <w:lang w:eastAsia="es-ES"/>
        </w:rPr>
        <w:t xml:space="preserve">eportivos, así como de los </w:t>
      </w:r>
      <w:r w:rsidR="00CB2982">
        <w:rPr>
          <w:rFonts w:ascii="Arial" w:eastAsia="Times New Roman" w:hAnsi="Arial" w:cs="Arial"/>
          <w:sz w:val="24"/>
          <w:szCs w:val="24"/>
          <w:lang w:eastAsia="es-ES"/>
        </w:rPr>
        <w:t>t</w:t>
      </w:r>
      <w:r w:rsidR="001C3409" w:rsidRPr="001C3409">
        <w:rPr>
          <w:rFonts w:ascii="Arial" w:eastAsia="Times New Roman" w:hAnsi="Arial" w:cs="Arial"/>
          <w:sz w:val="24"/>
          <w:szCs w:val="24"/>
          <w:lang w:eastAsia="es-ES"/>
        </w:rPr>
        <w:t xml:space="preserve">ransportes, </w:t>
      </w:r>
      <w:r w:rsidR="00CB2982">
        <w:rPr>
          <w:rFonts w:ascii="Arial" w:eastAsia="Times New Roman" w:hAnsi="Arial" w:cs="Arial"/>
          <w:sz w:val="24"/>
          <w:szCs w:val="24"/>
          <w:lang w:eastAsia="es-ES"/>
        </w:rPr>
        <w:t>c</w:t>
      </w:r>
      <w:r w:rsidR="001C3409" w:rsidRPr="001C3409">
        <w:rPr>
          <w:rFonts w:ascii="Arial" w:eastAsia="Times New Roman" w:hAnsi="Arial" w:cs="Arial"/>
          <w:sz w:val="24"/>
          <w:szCs w:val="24"/>
          <w:lang w:eastAsia="es-ES"/>
        </w:rPr>
        <w:t>orreo y almacenamiento.</w:t>
      </w:r>
    </w:p>
    <w:p w14:paraId="3B35E462" w14:textId="77777777" w:rsidR="00CB2982" w:rsidRDefault="00CB2982" w:rsidP="00FF36AD">
      <w:pPr>
        <w:ind w:left="-142" w:right="-121"/>
        <w:rPr>
          <w:rFonts w:ascii="Arial" w:hAnsi="Arial" w:cs="Arial"/>
          <w:color w:val="000000" w:themeColor="text1"/>
          <w:lang w:val="es-ES"/>
        </w:rPr>
      </w:pPr>
    </w:p>
    <w:p w14:paraId="084899F9" w14:textId="77777777" w:rsidR="006C2CD9" w:rsidRDefault="006C2CD9" w:rsidP="00CB2982">
      <w:pPr>
        <w:widowControl w:val="0"/>
        <w:tabs>
          <w:tab w:val="left" w:pos="0"/>
        </w:tabs>
        <w:autoSpaceDE w:val="0"/>
        <w:autoSpaceDN w:val="0"/>
        <w:adjustRightInd w:val="0"/>
        <w:ind w:right="446"/>
        <w:jc w:val="center"/>
        <w:rPr>
          <w:rFonts w:ascii="Arial" w:eastAsia="Times New Roman" w:hAnsi="Arial"/>
          <w:noProof/>
          <w:sz w:val="20"/>
          <w:szCs w:val="20"/>
          <w:lang w:eastAsia="es-MX"/>
        </w:rPr>
      </w:pPr>
    </w:p>
    <w:p w14:paraId="28390C37" w14:textId="77777777" w:rsidR="006C2CD9" w:rsidRDefault="006C2CD9" w:rsidP="00CB2982">
      <w:pPr>
        <w:widowControl w:val="0"/>
        <w:tabs>
          <w:tab w:val="left" w:pos="0"/>
        </w:tabs>
        <w:autoSpaceDE w:val="0"/>
        <w:autoSpaceDN w:val="0"/>
        <w:adjustRightInd w:val="0"/>
        <w:ind w:right="446"/>
        <w:jc w:val="center"/>
        <w:rPr>
          <w:rFonts w:ascii="Arial" w:eastAsia="Times New Roman" w:hAnsi="Arial"/>
          <w:noProof/>
          <w:sz w:val="20"/>
          <w:szCs w:val="20"/>
          <w:lang w:eastAsia="es-MX"/>
        </w:rPr>
      </w:pPr>
    </w:p>
    <w:p w14:paraId="3834047D" w14:textId="77777777" w:rsidR="006C2CD9" w:rsidRDefault="006C2CD9" w:rsidP="00CB2982">
      <w:pPr>
        <w:widowControl w:val="0"/>
        <w:tabs>
          <w:tab w:val="left" w:pos="0"/>
        </w:tabs>
        <w:autoSpaceDE w:val="0"/>
        <w:autoSpaceDN w:val="0"/>
        <w:adjustRightInd w:val="0"/>
        <w:ind w:right="446"/>
        <w:jc w:val="center"/>
        <w:rPr>
          <w:rFonts w:ascii="Arial" w:eastAsia="Times New Roman" w:hAnsi="Arial"/>
          <w:noProof/>
          <w:sz w:val="20"/>
          <w:szCs w:val="20"/>
          <w:lang w:eastAsia="es-MX"/>
        </w:rPr>
      </w:pPr>
    </w:p>
    <w:p w14:paraId="6991A19E" w14:textId="348E09B7" w:rsidR="004428DD" w:rsidRDefault="004428DD" w:rsidP="004428DD">
      <w:pPr>
        <w:pStyle w:val="Profesin"/>
        <w:ind w:right="-91"/>
        <w:jc w:val="both"/>
        <w:outlineLvl w:val="0"/>
        <w:rPr>
          <w:b w:val="0"/>
          <w:caps w:val="0"/>
          <w:spacing w:val="25"/>
          <w:sz w:val="22"/>
          <w:szCs w:val="22"/>
          <w:lang w:val="es-MX"/>
        </w:rPr>
      </w:pPr>
    </w:p>
    <w:p w14:paraId="3F3D2871" w14:textId="77777777" w:rsidR="00946452" w:rsidRPr="00CB2982" w:rsidRDefault="00946452" w:rsidP="00946452">
      <w:pPr>
        <w:pStyle w:val="NormalWeb"/>
        <w:spacing w:before="0" w:beforeAutospacing="0" w:after="0" w:afterAutospacing="0"/>
        <w:ind w:left="-426" w:right="-518"/>
        <w:jc w:val="center"/>
        <w:rPr>
          <w:rFonts w:ascii="Arial" w:hAnsi="Arial" w:cs="Arial"/>
          <w:sz w:val="22"/>
          <w:szCs w:val="22"/>
        </w:rPr>
      </w:pPr>
      <w:r w:rsidRPr="00CB2982">
        <w:rPr>
          <w:rFonts w:ascii="Arial" w:hAnsi="Arial" w:cs="Arial"/>
          <w:sz w:val="22"/>
          <w:szCs w:val="22"/>
        </w:rPr>
        <w:t xml:space="preserve">Para consultas de medios de comunicación, contactar a: </w:t>
      </w:r>
      <w:hyperlink r:id="rId9" w:history="1">
        <w:r w:rsidRPr="00CB2982">
          <w:rPr>
            <w:rStyle w:val="Hipervnculo"/>
            <w:rFonts w:ascii="Arial" w:hAnsi="Arial" w:cs="Arial"/>
            <w:sz w:val="22"/>
            <w:szCs w:val="22"/>
          </w:rPr>
          <w:t>comunicacionsocial@inegi.org.mx</w:t>
        </w:r>
      </w:hyperlink>
      <w:r w:rsidRPr="00CB2982">
        <w:rPr>
          <w:rFonts w:ascii="Arial" w:hAnsi="Arial" w:cs="Arial"/>
          <w:sz w:val="22"/>
          <w:szCs w:val="22"/>
        </w:rPr>
        <w:t xml:space="preserve"> </w:t>
      </w:r>
    </w:p>
    <w:p w14:paraId="2845479A" w14:textId="411EFF96" w:rsidR="00946452" w:rsidRDefault="00946452" w:rsidP="00946452">
      <w:pPr>
        <w:pStyle w:val="NormalWeb"/>
        <w:spacing w:before="0" w:beforeAutospacing="0" w:after="0" w:afterAutospacing="0"/>
        <w:ind w:left="-426" w:right="-518"/>
        <w:jc w:val="center"/>
        <w:rPr>
          <w:rFonts w:ascii="Arial" w:hAnsi="Arial" w:cs="Arial"/>
          <w:sz w:val="22"/>
          <w:szCs w:val="22"/>
        </w:rPr>
      </w:pPr>
      <w:r w:rsidRPr="00CB2982">
        <w:rPr>
          <w:rFonts w:ascii="Arial" w:hAnsi="Arial" w:cs="Arial"/>
          <w:sz w:val="22"/>
          <w:szCs w:val="22"/>
        </w:rPr>
        <w:t xml:space="preserve">o llamar al teléfono (55) 52-78-10-00, </w:t>
      </w:r>
      <w:proofErr w:type="spellStart"/>
      <w:r w:rsidRPr="00CB2982">
        <w:rPr>
          <w:rFonts w:ascii="Arial" w:hAnsi="Arial" w:cs="Arial"/>
          <w:sz w:val="22"/>
          <w:szCs w:val="22"/>
        </w:rPr>
        <w:t>exts</w:t>
      </w:r>
      <w:proofErr w:type="spellEnd"/>
      <w:r w:rsidRPr="00CB2982">
        <w:rPr>
          <w:rFonts w:ascii="Arial" w:hAnsi="Arial" w:cs="Arial"/>
          <w:sz w:val="22"/>
          <w:szCs w:val="22"/>
        </w:rPr>
        <w:t>. 1134, 1260 y 1241.</w:t>
      </w:r>
    </w:p>
    <w:p w14:paraId="5D3FFF6D" w14:textId="77777777" w:rsidR="00CB2982" w:rsidRPr="00CB2982" w:rsidRDefault="00CB2982" w:rsidP="00946452">
      <w:pPr>
        <w:pStyle w:val="NormalWeb"/>
        <w:spacing w:before="0" w:beforeAutospacing="0" w:after="0" w:afterAutospacing="0"/>
        <w:ind w:left="-426" w:right="-518"/>
        <w:jc w:val="center"/>
        <w:rPr>
          <w:rFonts w:ascii="Arial" w:hAnsi="Arial" w:cs="Arial"/>
          <w:sz w:val="22"/>
          <w:szCs w:val="22"/>
        </w:rPr>
      </w:pPr>
    </w:p>
    <w:p w14:paraId="04D89C8A" w14:textId="7B36D295" w:rsidR="00946452" w:rsidRDefault="00946452" w:rsidP="00946452">
      <w:pPr>
        <w:ind w:left="-426" w:right="-518"/>
        <w:jc w:val="center"/>
        <w:rPr>
          <w:rFonts w:ascii="Arial" w:hAnsi="Arial" w:cs="Arial"/>
        </w:rPr>
      </w:pPr>
      <w:r w:rsidRPr="00CB2982">
        <w:rPr>
          <w:rFonts w:ascii="Arial" w:hAnsi="Arial" w:cs="Arial"/>
        </w:rPr>
        <w:t>Dirección de Atención a Medios/ Dirección General Adjunta de Comunicación.</w:t>
      </w:r>
    </w:p>
    <w:p w14:paraId="0139A41B" w14:textId="77777777" w:rsidR="00CB2982" w:rsidRPr="00CB2982" w:rsidRDefault="00CB2982" w:rsidP="00946452">
      <w:pPr>
        <w:ind w:left="-426" w:right="-518"/>
        <w:jc w:val="center"/>
        <w:rPr>
          <w:rFonts w:ascii="Arial" w:hAnsi="Arial" w:cs="Arial"/>
        </w:rPr>
      </w:pPr>
    </w:p>
    <w:p w14:paraId="12459A45" w14:textId="04FA1973" w:rsidR="005F61D9" w:rsidRPr="00EE607F" w:rsidRDefault="00946452" w:rsidP="00946452">
      <w:pPr>
        <w:ind w:right="-516"/>
        <w:contextualSpacing/>
        <w:jc w:val="center"/>
      </w:pPr>
      <w:r w:rsidRPr="00FF1218">
        <w:rPr>
          <w:noProof/>
          <w:lang w:eastAsia="es-MX"/>
        </w:rPr>
        <w:drawing>
          <wp:inline distT="0" distB="0" distL="0" distR="0" wp14:anchorId="09AF16EA" wp14:editId="1D0EC316">
            <wp:extent cx="310356" cy="323850"/>
            <wp:effectExtent l="0" t="0" r="0" b="0"/>
            <wp:docPr id="4" name="Imagen 4"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2328" cy="325908"/>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5A5EDFAF" wp14:editId="04B81B5D">
            <wp:extent cx="321422" cy="321422"/>
            <wp:effectExtent l="0" t="0" r="2540" b="2540"/>
            <wp:docPr id="5" name="Imagen 5"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1939" cy="321939"/>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25FE69A5" wp14:editId="2C27B4E3">
            <wp:extent cx="323850" cy="323850"/>
            <wp:effectExtent l="0" t="0" r="0" b="0"/>
            <wp:docPr id="16" name="Imagen 16"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0A53290E" wp14:editId="335AC797">
            <wp:extent cx="323850" cy="323850"/>
            <wp:effectExtent l="0" t="0" r="0" b="0"/>
            <wp:docPr id="12" name="Imagen 12"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23850" cy="32385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3CA7CCF7" wp14:editId="0C6EE2CB">
            <wp:extent cx="2286000" cy="274320"/>
            <wp:effectExtent l="0" t="0" r="0" b="0"/>
            <wp:docPr id="6" name="Imagen 6">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r w:rsidR="005F61D9" w:rsidRPr="00EE607F">
        <w:br w:type="page"/>
      </w:r>
    </w:p>
    <w:p w14:paraId="12459A46" w14:textId="77777777" w:rsidR="005F61D9" w:rsidRPr="00EE607F" w:rsidRDefault="005F61D9" w:rsidP="005F61D9">
      <w:pPr>
        <w:ind w:right="-516"/>
        <w:contextualSpacing/>
        <w:jc w:val="center"/>
        <w:rPr>
          <w:rFonts w:cs="Arial"/>
        </w:rPr>
        <w:sectPr w:rsidR="005F61D9" w:rsidRPr="00EE607F" w:rsidSect="00CB2982">
          <w:headerReference w:type="default" r:id="rId20"/>
          <w:footerReference w:type="default" r:id="rId21"/>
          <w:pgSz w:w="12240" w:h="15840"/>
          <w:pgMar w:top="1701" w:right="1361" w:bottom="709" w:left="1361" w:header="284" w:footer="304" w:gutter="0"/>
          <w:cols w:space="708"/>
          <w:docGrid w:linePitch="360"/>
        </w:sectPr>
      </w:pPr>
    </w:p>
    <w:p w14:paraId="6042358E" w14:textId="77777777" w:rsidR="00CB2982" w:rsidRDefault="00CB2982" w:rsidP="00E3266D">
      <w:pPr>
        <w:ind w:right="-121"/>
        <w:contextualSpacing/>
        <w:jc w:val="center"/>
        <w:rPr>
          <w:rFonts w:ascii="Arial" w:hAnsi="Arial" w:cs="Arial"/>
          <w:b/>
          <w:bCs/>
          <w:sz w:val="24"/>
          <w:szCs w:val="24"/>
        </w:rPr>
      </w:pPr>
      <w:r>
        <w:rPr>
          <w:rFonts w:ascii="Arial" w:hAnsi="Arial" w:cs="Arial"/>
          <w:b/>
          <w:bCs/>
          <w:sz w:val="24"/>
          <w:szCs w:val="24"/>
        </w:rPr>
        <w:lastRenderedPageBreak/>
        <w:t xml:space="preserve">ANEXO </w:t>
      </w:r>
    </w:p>
    <w:p w14:paraId="07D07DE9" w14:textId="77777777" w:rsidR="00CB2982" w:rsidRDefault="00CB2982" w:rsidP="00E3266D">
      <w:pPr>
        <w:ind w:right="-121"/>
        <w:contextualSpacing/>
        <w:jc w:val="center"/>
        <w:rPr>
          <w:rFonts w:ascii="Arial" w:hAnsi="Arial" w:cs="Arial"/>
          <w:b/>
          <w:bCs/>
          <w:sz w:val="24"/>
          <w:szCs w:val="24"/>
        </w:rPr>
      </w:pPr>
    </w:p>
    <w:p w14:paraId="12459A47" w14:textId="670D645F" w:rsidR="001238F9" w:rsidRPr="00EE607F" w:rsidRDefault="005F61D9" w:rsidP="00E3266D">
      <w:pPr>
        <w:ind w:right="-121"/>
        <w:contextualSpacing/>
        <w:jc w:val="center"/>
        <w:rPr>
          <w:rFonts w:ascii="Arial" w:hAnsi="Arial" w:cs="Arial"/>
          <w:b/>
          <w:bCs/>
          <w:sz w:val="24"/>
          <w:szCs w:val="24"/>
        </w:rPr>
      </w:pPr>
      <w:r w:rsidRPr="00EE607F">
        <w:rPr>
          <w:rFonts w:ascii="Arial" w:hAnsi="Arial" w:cs="Arial"/>
          <w:b/>
          <w:bCs/>
          <w:sz w:val="24"/>
          <w:szCs w:val="24"/>
        </w:rPr>
        <w:t>NOTA TÉCNICA</w:t>
      </w:r>
    </w:p>
    <w:p w14:paraId="12459A48" w14:textId="77777777" w:rsidR="001238F9" w:rsidRPr="00EE607F" w:rsidRDefault="001238F9" w:rsidP="00E3266D">
      <w:pPr>
        <w:jc w:val="center"/>
        <w:rPr>
          <w:rFonts w:ascii="Arial" w:hAnsi="Arial" w:cs="Arial"/>
          <w:b/>
        </w:rPr>
      </w:pPr>
    </w:p>
    <w:p w14:paraId="005F0A14" w14:textId="13607BCB" w:rsidR="00946452" w:rsidRPr="006943E7" w:rsidRDefault="00946452" w:rsidP="00E3266D">
      <w:pPr>
        <w:pStyle w:val="Default"/>
        <w:ind w:left="-142" w:right="-121"/>
        <w:jc w:val="both"/>
        <w:rPr>
          <w:rFonts w:ascii="Arial" w:hAnsi="Arial" w:cs="Arial"/>
          <w:color w:val="auto"/>
        </w:rPr>
      </w:pPr>
      <w:r w:rsidRPr="006943E7">
        <w:rPr>
          <w:rFonts w:ascii="Arial" w:hAnsi="Arial" w:cs="Arial"/>
          <w:color w:val="auto"/>
        </w:rPr>
        <w:t>La economía digital se centra en la contribución que genera el uso de las tecnologías de información y comunicación (TIC)</w:t>
      </w:r>
      <w:r w:rsidR="008A5FA4">
        <w:rPr>
          <w:rFonts w:ascii="Arial" w:hAnsi="Arial" w:cs="Arial"/>
          <w:color w:val="auto"/>
        </w:rPr>
        <w:t xml:space="preserve"> </w:t>
      </w:r>
      <w:r w:rsidR="008A5FA4" w:rsidRPr="006943E7">
        <w:rPr>
          <w:rFonts w:ascii="Arial" w:hAnsi="Arial" w:cs="Arial"/>
          <w:color w:val="auto"/>
        </w:rPr>
        <w:t>a la economía</w:t>
      </w:r>
      <w:r w:rsidRPr="006943E7">
        <w:rPr>
          <w:rFonts w:ascii="Arial" w:hAnsi="Arial" w:cs="Arial"/>
          <w:color w:val="auto"/>
        </w:rPr>
        <w:t xml:space="preserve">, </w:t>
      </w:r>
      <w:r w:rsidR="008A5FA4">
        <w:rPr>
          <w:rFonts w:ascii="Arial" w:hAnsi="Arial" w:cs="Arial"/>
          <w:color w:val="auto"/>
        </w:rPr>
        <w:t xml:space="preserve">ya sea </w:t>
      </w:r>
      <w:r w:rsidRPr="006943E7">
        <w:rPr>
          <w:rFonts w:ascii="Arial" w:hAnsi="Arial" w:cs="Arial"/>
          <w:color w:val="auto"/>
        </w:rPr>
        <w:t>a través de su propia evolución</w:t>
      </w:r>
      <w:r w:rsidR="00771505">
        <w:rPr>
          <w:rFonts w:ascii="Arial" w:hAnsi="Arial" w:cs="Arial"/>
          <w:color w:val="auto"/>
        </w:rPr>
        <w:t>,</w:t>
      </w:r>
      <w:r w:rsidRPr="006943E7">
        <w:rPr>
          <w:rFonts w:ascii="Arial" w:hAnsi="Arial" w:cs="Arial"/>
          <w:color w:val="auto"/>
        </w:rPr>
        <w:t xml:space="preserve"> el surgimiento de negocios digitales (servicios gratuitos de correo electrónico y redes sociales) y el fenómeno cada vez más creciente del comercio digital (compra - venta en línea, que permite </w:t>
      </w:r>
      <w:r w:rsidR="00771505">
        <w:rPr>
          <w:rFonts w:ascii="Arial" w:hAnsi="Arial" w:cs="Arial"/>
          <w:color w:val="auto"/>
        </w:rPr>
        <w:t>tener acceso a una mayor oferta</w:t>
      </w:r>
      <w:r w:rsidRPr="006943E7">
        <w:rPr>
          <w:rFonts w:ascii="Arial" w:hAnsi="Arial" w:cs="Arial"/>
          <w:color w:val="auto"/>
        </w:rPr>
        <w:t xml:space="preserve"> de productos). </w:t>
      </w:r>
    </w:p>
    <w:p w14:paraId="591242C2" w14:textId="77777777" w:rsidR="00946452" w:rsidRPr="006943E7" w:rsidRDefault="00946452" w:rsidP="00E3266D">
      <w:pPr>
        <w:pStyle w:val="Default"/>
        <w:ind w:left="-142" w:right="-121"/>
        <w:jc w:val="both"/>
        <w:rPr>
          <w:rFonts w:ascii="Arial" w:hAnsi="Arial" w:cs="Arial"/>
          <w:color w:val="auto"/>
        </w:rPr>
      </w:pPr>
    </w:p>
    <w:p w14:paraId="2C97EDBD" w14:textId="77777777" w:rsidR="00946452" w:rsidRPr="006943E7" w:rsidRDefault="00946452" w:rsidP="00E3266D">
      <w:pPr>
        <w:pStyle w:val="bullet"/>
        <w:tabs>
          <w:tab w:val="clear" w:pos="851"/>
        </w:tabs>
        <w:spacing w:before="0"/>
        <w:ind w:left="-142" w:right="-121" w:firstLine="0"/>
        <w:rPr>
          <w:rFonts w:eastAsiaTheme="minorHAnsi" w:cs="Arial"/>
          <w:b w:val="0"/>
          <w:color w:val="auto"/>
          <w:spacing w:val="0"/>
          <w:sz w:val="24"/>
          <w:szCs w:val="24"/>
          <w:lang w:eastAsia="en-US"/>
        </w:rPr>
      </w:pPr>
      <w:r w:rsidRPr="006943E7">
        <w:rPr>
          <w:rFonts w:eastAsiaTheme="minorHAnsi" w:cs="Arial"/>
          <w:b w:val="0"/>
          <w:color w:val="auto"/>
          <w:spacing w:val="0"/>
          <w:sz w:val="24"/>
          <w:szCs w:val="24"/>
          <w:lang w:eastAsia="en-US"/>
        </w:rPr>
        <w:t>Algunos ejemplos de la economía digital son:</w:t>
      </w:r>
    </w:p>
    <w:p w14:paraId="5B8824AE" w14:textId="77777777" w:rsidR="00946452" w:rsidRPr="006943E7" w:rsidRDefault="00946452" w:rsidP="00E3266D">
      <w:pPr>
        <w:pStyle w:val="bullet"/>
        <w:tabs>
          <w:tab w:val="clear" w:pos="851"/>
        </w:tabs>
        <w:spacing w:before="0"/>
        <w:ind w:left="-142" w:right="-121" w:firstLine="0"/>
        <w:rPr>
          <w:rFonts w:eastAsiaTheme="minorHAnsi" w:cs="Arial"/>
          <w:b w:val="0"/>
          <w:color w:val="auto"/>
          <w:spacing w:val="0"/>
          <w:sz w:val="24"/>
          <w:szCs w:val="24"/>
          <w:lang w:eastAsia="en-US"/>
        </w:rPr>
      </w:pPr>
    </w:p>
    <w:p w14:paraId="10F409D2" w14:textId="03B0EE11" w:rsidR="00946452" w:rsidRPr="006943E7" w:rsidRDefault="00946452" w:rsidP="00E3266D">
      <w:pPr>
        <w:widowControl w:val="0"/>
        <w:numPr>
          <w:ilvl w:val="0"/>
          <w:numId w:val="7"/>
        </w:numPr>
        <w:tabs>
          <w:tab w:val="clear" w:pos="720"/>
        </w:tabs>
        <w:ind w:left="284" w:right="-121" w:hanging="284"/>
        <w:rPr>
          <w:rFonts w:ascii="Arial" w:hAnsi="Arial" w:cs="Arial"/>
          <w:sz w:val="24"/>
          <w:szCs w:val="24"/>
        </w:rPr>
      </w:pPr>
      <w:r w:rsidRPr="006943E7">
        <w:rPr>
          <w:rFonts w:ascii="Arial" w:hAnsi="Arial" w:cs="Arial"/>
          <w:sz w:val="24"/>
          <w:szCs w:val="24"/>
        </w:rPr>
        <w:t xml:space="preserve">Los servicios financieros (monedas virtuales, financiación colectiva, medios de pago con </w:t>
      </w:r>
      <w:r w:rsidR="008A5FA4">
        <w:rPr>
          <w:rFonts w:ascii="Arial" w:hAnsi="Arial" w:cs="Arial"/>
          <w:sz w:val="24"/>
          <w:szCs w:val="24"/>
        </w:rPr>
        <w:t>amplio</w:t>
      </w:r>
      <w:r w:rsidRPr="006943E7">
        <w:rPr>
          <w:rFonts w:ascii="Arial" w:hAnsi="Arial" w:cs="Arial"/>
          <w:sz w:val="24"/>
          <w:szCs w:val="24"/>
        </w:rPr>
        <w:t xml:space="preserve"> abanico de opciones)</w:t>
      </w:r>
    </w:p>
    <w:p w14:paraId="7D297243" w14:textId="77777777" w:rsidR="00946452" w:rsidRPr="006943E7" w:rsidRDefault="00946452" w:rsidP="00E3266D">
      <w:pPr>
        <w:widowControl w:val="0"/>
        <w:ind w:left="284" w:right="-121" w:hanging="284"/>
        <w:rPr>
          <w:rFonts w:ascii="Arial" w:hAnsi="Arial" w:cs="Arial"/>
          <w:sz w:val="24"/>
          <w:szCs w:val="24"/>
        </w:rPr>
      </w:pPr>
    </w:p>
    <w:p w14:paraId="3A115E4A" w14:textId="77777777" w:rsidR="00946452" w:rsidRPr="006943E7" w:rsidRDefault="00946452" w:rsidP="00E3266D">
      <w:pPr>
        <w:widowControl w:val="0"/>
        <w:numPr>
          <w:ilvl w:val="0"/>
          <w:numId w:val="7"/>
        </w:numPr>
        <w:tabs>
          <w:tab w:val="clear" w:pos="720"/>
        </w:tabs>
        <w:ind w:left="284" w:right="-121" w:hanging="284"/>
        <w:rPr>
          <w:rFonts w:ascii="Arial" w:hAnsi="Arial" w:cs="Arial"/>
          <w:sz w:val="24"/>
          <w:szCs w:val="24"/>
        </w:rPr>
      </w:pPr>
      <w:r w:rsidRPr="006943E7">
        <w:rPr>
          <w:rFonts w:ascii="Arial" w:hAnsi="Arial" w:cs="Arial"/>
          <w:sz w:val="24"/>
          <w:szCs w:val="24"/>
        </w:rPr>
        <w:t>Las nuevas formas de contratación de servicios que cambian el papel de los proveedores tradicionales por proveedores basados en la web.</w:t>
      </w:r>
    </w:p>
    <w:p w14:paraId="475B10BA" w14:textId="77777777" w:rsidR="00946452" w:rsidRPr="006943E7" w:rsidRDefault="00946452" w:rsidP="00E3266D">
      <w:pPr>
        <w:widowControl w:val="0"/>
        <w:ind w:left="284" w:right="-121" w:hanging="284"/>
        <w:rPr>
          <w:rFonts w:ascii="Arial" w:hAnsi="Arial" w:cs="Arial"/>
          <w:sz w:val="24"/>
          <w:szCs w:val="24"/>
        </w:rPr>
      </w:pPr>
    </w:p>
    <w:p w14:paraId="0B9D933A" w14:textId="35A9A492" w:rsidR="00946452" w:rsidRPr="006943E7" w:rsidRDefault="00946452" w:rsidP="00E3266D">
      <w:pPr>
        <w:widowControl w:val="0"/>
        <w:numPr>
          <w:ilvl w:val="0"/>
          <w:numId w:val="8"/>
        </w:numPr>
        <w:tabs>
          <w:tab w:val="clear" w:pos="720"/>
        </w:tabs>
        <w:ind w:left="284" w:right="-121" w:hanging="284"/>
        <w:rPr>
          <w:rFonts w:ascii="Arial" w:hAnsi="Arial" w:cs="Arial"/>
          <w:sz w:val="24"/>
          <w:szCs w:val="24"/>
        </w:rPr>
      </w:pPr>
      <w:r w:rsidRPr="006943E7">
        <w:rPr>
          <w:rFonts w:ascii="Arial" w:hAnsi="Arial" w:cs="Arial"/>
          <w:sz w:val="24"/>
          <w:szCs w:val="24"/>
        </w:rPr>
        <w:t>Productos entregados de manera gratuita a los consumidores</w:t>
      </w:r>
      <w:r w:rsidR="008A5FA4">
        <w:rPr>
          <w:rFonts w:ascii="Arial" w:hAnsi="Arial" w:cs="Arial"/>
          <w:sz w:val="24"/>
          <w:szCs w:val="24"/>
        </w:rPr>
        <w:t>,</w:t>
      </w:r>
      <w:r w:rsidRPr="006943E7">
        <w:rPr>
          <w:rFonts w:ascii="Arial" w:hAnsi="Arial" w:cs="Arial"/>
          <w:sz w:val="24"/>
          <w:szCs w:val="24"/>
        </w:rPr>
        <w:t xml:space="preserve"> que se pagan mediante los ingresos de la publicidad.</w:t>
      </w:r>
    </w:p>
    <w:p w14:paraId="3725E1E0" w14:textId="77777777" w:rsidR="00946452" w:rsidRPr="006943E7" w:rsidRDefault="00946452" w:rsidP="00E3266D">
      <w:pPr>
        <w:widowControl w:val="0"/>
        <w:ind w:left="284" w:right="-121" w:hanging="284"/>
        <w:rPr>
          <w:rFonts w:ascii="Arial" w:hAnsi="Arial" w:cs="Arial"/>
          <w:sz w:val="24"/>
          <w:szCs w:val="24"/>
        </w:rPr>
      </w:pPr>
    </w:p>
    <w:p w14:paraId="435724FE" w14:textId="3347D501" w:rsidR="00946452" w:rsidRPr="006943E7" w:rsidRDefault="00946452" w:rsidP="00E3266D">
      <w:pPr>
        <w:widowControl w:val="0"/>
        <w:numPr>
          <w:ilvl w:val="0"/>
          <w:numId w:val="8"/>
        </w:numPr>
        <w:ind w:left="284" w:right="-121" w:hanging="284"/>
        <w:rPr>
          <w:rFonts w:ascii="Arial" w:hAnsi="Arial" w:cs="Arial"/>
          <w:sz w:val="24"/>
          <w:szCs w:val="24"/>
        </w:rPr>
      </w:pPr>
      <w:r w:rsidRPr="006943E7">
        <w:rPr>
          <w:rFonts w:ascii="Arial" w:hAnsi="Arial" w:cs="Arial"/>
          <w:sz w:val="24"/>
          <w:szCs w:val="24"/>
        </w:rPr>
        <w:t>Productos gratuitos que se pagan con la información de los consumidores de productos digitales</w:t>
      </w:r>
      <w:r w:rsidR="008A5FA4">
        <w:rPr>
          <w:rFonts w:ascii="Arial" w:hAnsi="Arial" w:cs="Arial"/>
          <w:sz w:val="24"/>
          <w:szCs w:val="24"/>
        </w:rPr>
        <w:t xml:space="preserve">, </w:t>
      </w:r>
      <w:r w:rsidRPr="006943E7">
        <w:rPr>
          <w:rFonts w:ascii="Arial" w:hAnsi="Arial" w:cs="Arial"/>
          <w:sz w:val="24"/>
          <w:szCs w:val="24"/>
        </w:rPr>
        <w:t>recolectada en bases de datos y vendida a terceros que pagan por ell</w:t>
      </w:r>
      <w:r w:rsidR="008A5FA4">
        <w:rPr>
          <w:rFonts w:ascii="Arial" w:hAnsi="Arial" w:cs="Arial"/>
          <w:sz w:val="24"/>
          <w:szCs w:val="24"/>
        </w:rPr>
        <w:t>a</w:t>
      </w:r>
      <w:r w:rsidRPr="006943E7">
        <w:rPr>
          <w:rFonts w:ascii="Arial" w:hAnsi="Arial" w:cs="Arial"/>
          <w:sz w:val="24"/>
          <w:szCs w:val="24"/>
        </w:rPr>
        <w:t>.</w:t>
      </w:r>
    </w:p>
    <w:p w14:paraId="0132FD38" w14:textId="77777777" w:rsidR="00946452" w:rsidRPr="006943E7" w:rsidRDefault="00946452" w:rsidP="00E3266D">
      <w:pPr>
        <w:widowControl w:val="0"/>
        <w:ind w:left="284" w:right="-121" w:hanging="284"/>
        <w:rPr>
          <w:rFonts w:ascii="Arial" w:hAnsi="Arial" w:cs="Arial"/>
          <w:sz w:val="24"/>
          <w:szCs w:val="24"/>
        </w:rPr>
      </w:pPr>
    </w:p>
    <w:p w14:paraId="1C28F1C3" w14:textId="77777777" w:rsidR="00946452" w:rsidRPr="006943E7" w:rsidRDefault="00946452" w:rsidP="00E3266D">
      <w:pPr>
        <w:widowControl w:val="0"/>
        <w:numPr>
          <w:ilvl w:val="0"/>
          <w:numId w:val="8"/>
        </w:numPr>
        <w:ind w:left="284" w:right="-121" w:hanging="284"/>
        <w:rPr>
          <w:rFonts w:ascii="Arial" w:hAnsi="Arial" w:cs="Arial"/>
          <w:sz w:val="24"/>
          <w:szCs w:val="24"/>
        </w:rPr>
      </w:pPr>
      <w:r w:rsidRPr="006943E7">
        <w:rPr>
          <w:rFonts w:ascii="Arial" w:hAnsi="Arial" w:cs="Arial"/>
          <w:sz w:val="24"/>
          <w:szCs w:val="24"/>
        </w:rPr>
        <w:t xml:space="preserve">Bienes públicos digitales gratuitos y financiados solamente por donaciones. </w:t>
      </w:r>
    </w:p>
    <w:p w14:paraId="69CF83F4" w14:textId="77777777" w:rsidR="00946452" w:rsidRPr="006943E7" w:rsidRDefault="00946452" w:rsidP="00E3266D">
      <w:pPr>
        <w:pStyle w:val="bullet"/>
        <w:tabs>
          <w:tab w:val="clear" w:pos="851"/>
        </w:tabs>
        <w:spacing w:before="0"/>
        <w:ind w:left="-142" w:right="-121" w:firstLine="0"/>
        <w:rPr>
          <w:rFonts w:cs="Arial"/>
          <w:b w:val="0"/>
          <w:color w:val="auto"/>
          <w:spacing w:val="0"/>
          <w:sz w:val="24"/>
          <w:szCs w:val="24"/>
        </w:rPr>
      </w:pPr>
    </w:p>
    <w:p w14:paraId="5906233C" w14:textId="12DCA980" w:rsidR="00946452" w:rsidRPr="006943E7" w:rsidRDefault="00946452" w:rsidP="00E3266D">
      <w:pPr>
        <w:ind w:left="-142" w:right="-121"/>
        <w:rPr>
          <w:rFonts w:ascii="Arial" w:eastAsia="Times New Roman" w:hAnsi="Arial" w:cs="Arial"/>
          <w:sz w:val="24"/>
          <w:szCs w:val="24"/>
          <w:lang w:eastAsia="es-ES"/>
        </w:rPr>
      </w:pPr>
      <w:r w:rsidRPr="006943E7">
        <w:rPr>
          <w:rFonts w:ascii="Arial" w:eastAsia="Times New Roman" w:hAnsi="Arial" w:cs="Arial"/>
          <w:sz w:val="24"/>
          <w:szCs w:val="24"/>
          <w:lang w:eastAsia="es-ES"/>
        </w:rPr>
        <w:t>La medición de estas transacciones virtual</w:t>
      </w:r>
      <w:r w:rsidR="009D5B20">
        <w:rPr>
          <w:rFonts w:ascii="Arial" w:eastAsia="Times New Roman" w:hAnsi="Arial" w:cs="Arial"/>
          <w:sz w:val="24"/>
          <w:szCs w:val="24"/>
          <w:lang w:eastAsia="es-ES"/>
        </w:rPr>
        <w:t>es</w:t>
      </w:r>
      <w:r w:rsidRPr="006943E7">
        <w:rPr>
          <w:rFonts w:ascii="Arial" w:eastAsia="Times New Roman" w:hAnsi="Arial" w:cs="Arial"/>
          <w:sz w:val="24"/>
          <w:szCs w:val="24"/>
          <w:lang w:eastAsia="es-ES"/>
        </w:rPr>
        <w:t xml:space="preserve"> y en plataformas digitales representa un reto para el I</w:t>
      </w:r>
      <w:r w:rsidR="009D5B20">
        <w:rPr>
          <w:rFonts w:ascii="Arial" w:eastAsia="Times New Roman" w:hAnsi="Arial" w:cs="Arial"/>
          <w:sz w:val="24"/>
          <w:szCs w:val="24"/>
          <w:lang w:eastAsia="es-ES"/>
        </w:rPr>
        <w:t>NEGI</w:t>
      </w:r>
      <w:r w:rsidRPr="006943E7">
        <w:rPr>
          <w:rFonts w:ascii="Arial" w:eastAsia="Times New Roman" w:hAnsi="Arial" w:cs="Arial"/>
          <w:sz w:val="24"/>
          <w:szCs w:val="24"/>
          <w:lang w:eastAsia="es-ES"/>
        </w:rPr>
        <w:t>, ya que debe incorporar</w:t>
      </w:r>
      <w:r w:rsidR="009D5B20">
        <w:rPr>
          <w:rFonts w:ascii="Arial" w:eastAsia="Times New Roman" w:hAnsi="Arial" w:cs="Arial"/>
          <w:sz w:val="24"/>
          <w:szCs w:val="24"/>
          <w:lang w:eastAsia="es-ES"/>
        </w:rPr>
        <w:t>,</w:t>
      </w:r>
      <w:r w:rsidRPr="006943E7">
        <w:rPr>
          <w:rFonts w:ascii="Arial" w:eastAsia="Times New Roman" w:hAnsi="Arial" w:cs="Arial"/>
          <w:sz w:val="24"/>
          <w:szCs w:val="24"/>
          <w:lang w:eastAsia="es-ES"/>
        </w:rPr>
        <w:t xml:space="preserve"> en los proyectos de generación de estadística básica</w:t>
      </w:r>
      <w:r w:rsidR="009D5B20">
        <w:rPr>
          <w:rFonts w:ascii="Arial" w:eastAsia="Times New Roman" w:hAnsi="Arial" w:cs="Arial"/>
          <w:sz w:val="24"/>
          <w:szCs w:val="24"/>
          <w:lang w:eastAsia="es-ES"/>
        </w:rPr>
        <w:t>,</w:t>
      </w:r>
      <w:r w:rsidRPr="006943E7">
        <w:rPr>
          <w:rFonts w:ascii="Arial" w:eastAsia="Times New Roman" w:hAnsi="Arial" w:cs="Arial"/>
          <w:sz w:val="24"/>
          <w:szCs w:val="24"/>
          <w:lang w:eastAsia="es-ES"/>
        </w:rPr>
        <w:t xml:space="preserve"> </w:t>
      </w:r>
      <w:r w:rsidR="009D5B20">
        <w:rPr>
          <w:rFonts w:ascii="Arial" w:eastAsia="Times New Roman" w:hAnsi="Arial" w:cs="Arial"/>
          <w:sz w:val="24"/>
          <w:szCs w:val="24"/>
          <w:lang w:eastAsia="es-ES"/>
        </w:rPr>
        <w:t xml:space="preserve">preguntas </w:t>
      </w:r>
      <w:r w:rsidRPr="006943E7">
        <w:rPr>
          <w:rFonts w:ascii="Arial" w:eastAsia="Times New Roman" w:hAnsi="Arial" w:cs="Arial"/>
          <w:sz w:val="24"/>
          <w:szCs w:val="24"/>
          <w:lang w:eastAsia="es-ES"/>
        </w:rPr>
        <w:t>que permitan identificar los montos que genera</w:t>
      </w:r>
      <w:r w:rsidR="008A5FA4">
        <w:rPr>
          <w:rFonts w:ascii="Arial" w:eastAsia="Times New Roman" w:hAnsi="Arial" w:cs="Arial"/>
          <w:sz w:val="24"/>
          <w:szCs w:val="24"/>
          <w:lang w:eastAsia="es-ES"/>
        </w:rPr>
        <w:t xml:space="preserve"> la economía digital</w:t>
      </w:r>
      <w:r w:rsidRPr="006943E7">
        <w:rPr>
          <w:rFonts w:ascii="Arial" w:eastAsia="Times New Roman" w:hAnsi="Arial" w:cs="Arial"/>
          <w:sz w:val="24"/>
          <w:szCs w:val="24"/>
          <w:lang w:eastAsia="es-ES"/>
        </w:rPr>
        <w:t xml:space="preserve"> </w:t>
      </w:r>
    </w:p>
    <w:p w14:paraId="26668947" w14:textId="77777777" w:rsidR="00946452" w:rsidRPr="006943E7" w:rsidRDefault="00946452" w:rsidP="00E3266D">
      <w:pPr>
        <w:ind w:left="-142" w:right="-121"/>
        <w:rPr>
          <w:rFonts w:ascii="Arial" w:eastAsia="Times New Roman" w:hAnsi="Arial" w:cs="Arial"/>
          <w:sz w:val="24"/>
          <w:szCs w:val="24"/>
          <w:lang w:eastAsia="es-ES"/>
        </w:rPr>
      </w:pPr>
    </w:p>
    <w:p w14:paraId="177C4968" w14:textId="07968CCB" w:rsidR="00946452" w:rsidRPr="00E3266D" w:rsidRDefault="00946452" w:rsidP="00E3266D">
      <w:pPr>
        <w:ind w:left="-142" w:right="-121"/>
        <w:rPr>
          <w:rFonts w:ascii="Arial" w:eastAsia="Times New Roman" w:hAnsi="Arial" w:cs="Arial"/>
          <w:sz w:val="24"/>
          <w:szCs w:val="24"/>
          <w:lang w:eastAsia="es-ES"/>
        </w:rPr>
      </w:pPr>
      <w:r w:rsidRPr="006943E7">
        <w:rPr>
          <w:rFonts w:ascii="Arial" w:eastAsia="Times New Roman" w:hAnsi="Arial" w:cs="Arial"/>
          <w:sz w:val="24"/>
          <w:szCs w:val="24"/>
          <w:lang w:eastAsia="es-ES"/>
        </w:rPr>
        <w:t xml:space="preserve">Como un primer acercamiento a la medición de la </w:t>
      </w:r>
      <w:r w:rsidR="006C2CD9">
        <w:rPr>
          <w:rFonts w:ascii="Arial" w:eastAsia="Times New Roman" w:hAnsi="Arial" w:cs="Arial"/>
          <w:sz w:val="24"/>
          <w:szCs w:val="24"/>
          <w:lang w:eastAsia="es-ES"/>
        </w:rPr>
        <w:t>e</w:t>
      </w:r>
      <w:r w:rsidRPr="006943E7">
        <w:rPr>
          <w:rFonts w:ascii="Arial" w:eastAsia="Times New Roman" w:hAnsi="Arial" w:cs="Arial"/>
          <w:sz w:val="24"/>
          <w:szCs w:val="24"/>
          <w:lang w:eastAsia="es-ES"/>
        </w:rPr>
        <w:t xml:space="preserve">conomía </w:t>
      </w:r>
      <w:r w:rsidR="006C2CD9">
        <w:rPr>
          <w:rFonts w:ascii="Arial" w:eastAsia="Times New Roman" w:hAnsi="Arial" w:cs="Arial"/>
          <w:sz w:val="24"/>
          <w:szCs w:val="24"/>
          <w:lang w:eastAsia="es-ES"/>
        </w:rPr>
        <w:t>d</w:t>
      </w:r>
      <w:r w:rsidRPr="006943E7">
        <w:rPr>
          <w:rFonts w:ascii="Arial" w:eastAsia="Times New Roman" w:hAnsi="Arial" w:cs="Arial"/>
          <w:sz w:val="24"/>
          <w:szCs w:val="24"/>
          <w:lang w:eastAsia="es-ES"/>
        </w:rPr>
        <w:t xml:space="preserve">igital, específicamente al </w:t>
      </w:r>
      <w:r w:rsidR="006C2CD9">
        <w:rPr>
          <w:rFonts w:ascii="Arial" w:eastAsia="Times New Roman" w:hAnsi="Arial" w:cs="Arial"/>
          <w:sz w:val="24"/>
          <w:szCs w:val="24"/>
          <w:lang w:eastAsia="es-ES"/>
        </w:rPr>
        <w:t>c</w:t>
      </w:r>
      <w:r w:rsidRPr="006943E7">
        <w:rPr>
          <w:rFonts w:ascii="Arial" w:eastAsia="Times New Roman" w:hAnsi="Arial" w:cs="Arial"/>
          <w:sz w:val="24"/>
          <w:szCs w:val="24"/>
          <w:lang w:eastAsia="es-ES"/>
        </w:rPr>
        <w:t xml:space="preserve">omercio electrónico, </w:t>
      </w:r>
      <w:r w:rsidRPr="006943E7">
        <w:rPr>
          <w:rFonts w:ascii="Arial" w:hAnsi="Arial" w:cs="Arial"/>
          <w:sz w:val="24"/>
          <w:szCs w:val="24"/>
        </w:rPr>
        <w:t xml:space="preserve">entendido como </w:t>
      </w:r>
      <w:r w:rsidRPr="006C2CD9">
        <w:rPr>
          <w:rFonts w:ascii="Arial" w:hAnsi="Arial" w:cs="Arial"/>
          <w:b/>
          <w:sz w:val="24"/>
          <w:szCs w:val="24"/>
        </w:rPr>
        <w:t>el proceso de</w:t>
      </w:r>
      <w:r w:rsidRPr="006943E7">
        <w:rPr>
          <w:rFonts w:ascii="Arial" w:hAnsi="Arial" w:cs="Arial"/>
          <w:sz w:val="24"/>
          <w:szCs w:val="24"/>
        </w:rPr>
        <w:t xml:space="preserve"> </w:t>
      </w:r>
      <w:r w:rsidRPr="006C2CD9">
        <w:rPr>
          <w:rFonts w:ascii="Arial" w:hAnsi="Arial" w:cs="Arial"/>
          <w:b/>
          <w:sz w:val="24"/>
          <w:szCs w:val="24"/>
        </w:rPr>
        <w:t>compra, venta o intercambio de bienes, servicios e información a través de las redes informáticas, cuyo pago puede o no ser hecho en línea</w:t>
      </w:r>
      <w:r w:rsidRPr="006C2CD9">
        <w:rPr>
          <w:rFonts w:ascii="Arial" w:eastAsia="Times New Roman" w:hAnsi="Arial" w:cs="Arial"/>
          <w:sz w:val="24"/>
          <w:szCs w:val="24"/>
          <w:lang w:eastAsia="es-ES"/>
        </w:rPr>
        <w:t>,</w:t>
      </w:r>
      <w:r w:rsidRPr="006943E7">
        <w:rPr>
          <w:rFonts w:ascii="Arial" w:eastAsia="Times New Roman" w:hAnsi="Arial" w:cs="Arial"/>
          <w:sz w:val="24"/>
          <w:szCs w:val="24"/>
          <w:lang w:eastAsia="es-ES"/>
        </w:rPr>
        <w:t xml:space="preserve"> se actualiza la medición del </w:t>
      </w:r>
      <w:r w:rsidR="006C2CD9">
        <w:rPr>
          <w:rFonts w:ascii="Arial" w:eastAsia="Times New Roman" w:hAnsi="Arial" w:cs="Arial"/>
          <w:sz w:val="24"/>
          <w:szCs w:val="24"/>
          <w:lang w:eastAsia="es-ES"/>
        </w:rPr>
        <w:t>VABCOEL</w:t>
      </w:r>
      <w:r w:rsidRPr="006943E7">
        <w:rPr>
          <w:rFonts w:ascii="Arial" w:eastAsia="Times New Roman" w:hAnsi="Arial" w:cs="Arial"/>
          <w:sz w:val="24"/>
          <w:szCs w:val="24"/>
          <w:lang w:eastAsia="es-ES"/>
        </w:rPr>
        <w:t xml:space="preserve"> de bienes y servicios, como parte integral del Sistema de Cuentas Nacionales de México.</w:t>
      </w:r>
    </w:p>
    <w:p w14:paraId="4100C407" w14:textId="77777777" w:rsidR="00D175CD" w:rsidRPr="006943E7" w:rsidRDefault="00D175CD" w:rsidP="00E3266D">
      <w:pPr>
        <w:ind w:right="49"/>
        <w:rPr>
          <w:rFonts w:ascii="Arial" w:hAnsi="Arial" w:cs="Arial"/>
          <w:color w:val="000000" w:themeColor="text1"/>
          <w:sz w:val="24"/>
          <w:szCs w:val="24"/>
          <w:lang w:val="es-ES"/>
        </w:rPr>
      </w:pPr>
      <w:bookmarkStart w:id="2" w:name="_Hlk512258605"/>
    </w:p>
    <w:p w14:paraId="1D30570E" w14:textId="5F828181" w:rsidR="00E3266D" w:rsidRDefault="004A5A67" w:rsidP="00E3266D">
      <w:pPr>
        <w:ind w:left="-142" w:right="-121"/>
        <w:rPr>
          <w:rFonts w:ascii="Arial" w:hAnsi="Arial" w:cs="Arial"/>
          <w:color w:val="000000" w:themeColor="text1"/>
          <w:sz w:val="24"/>
          <w:szCs w:val="24"/>
          <w:lang w:val="es-ES"/>
        </w:rPr>
      </w:pPr>
      <w:r>
        <w:rPr>
          <w:rFonts w:ascii="Arial" w:hAnsi="Arial" w:cs="Arial"/>
          <w:color w:val="000000" w:themeColor="text1"/>
          <w:sz w:val="24"/>
          <w:szCs w:val="24"/>
          <w:lang w:val="es-ES"/>
        </w:rPr>
        <w:t>L</w:t>
      </w:r>
      <w:r w:rsidRPr="006943E7">
        <w:rPr>
          <w:rFonts w:ascii="Arial" w:hAnsi="Arial" w:cs="Arial"/>
          <w:color w:val="000000" w:themeColor="text1"/>
          <w:sz w:val="24"/>
          <w:szCs w:val="24"/>
          <w:lang w:val="es-ES"/>
        </w:rPr>
        <w:t xml:space="preserve">os </w:t>
      </w:r>
      <w:r w:rsidR="00D175CD" w:rsidRPr="006943E7">
        <w:rPr>
          <w:rFonts w:ascii="Arial" w:hAnsi="Arial" w:cs="Arial"/>
          <w:color w:val="000000" w:themeColor="text1"/>
          <w:sz w:val="24"/>
          <w:szCs w:val="24"/>
          <w:lang w:val="es-ES"/>
        </w:rPr>
        <w:t>“Lineamientos de cambios a la información divulgada en las publicaciones estadísticas y geográficas del INEGI”</w:t>
      </w:r>
      <w:r w:rsidR="00F13192">
        <w:rPr>
          <w:rFonts w:ascii="Arial" w:hAnsi="Arial" w:cs="Arial"/>
          <w:color w:val="000000" w:themeColor="text1"/>
          <w:sz w:val="24"/>
          <w:szCs w:val="24"/>
          <w:lang w:val="es-ES"/>
        </w:rPr>
        <w:t xml:space="preserve"> contiene</w:t>
      </w:r>
      <w:r>
        <w:rPr>
          <w:rFonts w:ascii="Arial" w:hAnsi="Arial" w:cs="Arial"/>
          <w:color w:val="000000" w:themeColor="text1"/>
          <w:sz w:val="24"/>
          <w:szCs w:val="24"/>
          <w:lang w:val="es-ES"/>
        </w:rPr>
        <w:t>n</w:t>
      </w:r>
      <w:r w:rsidR="00F13192" w:rsidRPr="00F13192">
        <w:rPr>
          <w:rFonts w:ascii="Arial" w:hAnsi="Arial" w:cs="Arial"/>
          <w:color w:val="000000" w:themeColor="text1"/>
          <w:sz w:val="24"/>
          <w:szCs w:val="24"/>
          <w:lang w:val="es-ES"/>
        </w:rPr>
        <w:t xml:space="preserve"> las disposiciones para</w:t>
      </w:r>
      <w:r w:rsidR="00F13192">
        <w:rPr>
          <w:rFonts w:ascii="Arial" w:hAnsi="Arial" w:cs="Arial"/>
          <w:color w:val="000000" w:themeColor="text1"/>
          <w:sz w:val="24"/>
          <w:szCs w:val="24"/>
          <w:lang w:val="es-ES"/>
        </w:rPr>
        <w:t xml:space="preserve"> </w:t>
      </w:r>
      <w:r w:rsidR="00F13192" w:rsidRPr="00F13192">
        <w:rPr>
          <w:rFonts w:ascii="Arial" w:hAnsi="Arial" w:cs="Arial"/>
          <w:color w:val="000000" w:themeColor="text1"/>
          <w:sz w:val="24"/>
          <w:szCs w:val="24"/>
          <w:lang w:val="es-ES"/>
        </w:rPr>
        <w:t>llevar a cabo los cambios a la información divulgada en las publicaciones</w:t>
      </w:r>
      <w:r w:rsidR="00F13192">
        <w:rPr>
          <w:rFonts w:ascii="Arial" w:hAnsi="Arial" w:cs="Arial"/>
          <w:color w:val="000000" w:themeColor="text1"/>
          <w:sz w:val="24"/>
          <w:szCs w:val="24"/>
          <w:lang w:val="es-ES"/>
        </w:rPr>
        <w:t>,</w:t>
      </w:r>
      <w:r w:rsidR="00E3266D">
        <w:rPr>
          <w:rFonts w:ascii="Arial" w:hAnsi="Arial" w:cs="Arial"/>
          <w:color w:val="000000" w:themeColor="text1"/>
          <w:sz w:val="24"/>
          <w:szCs w:val="24"/>
          <w:lang w:val="es-ES"/>
        </w:rPr>
        <w:t xml:space="preserve"> </w:t>
      </w:r>
      <w:r w:rsidR="006A56EA">
        <w:rPr>
          <w:rFonts w:ascii="Arial" w:hAnsi="Arial" w:cs="Arial"/>
          <w:color w:val="000000" w:themeColor="text1"/>
          <w:sz w:val="24"/>
          <w:szCs w:val="24"/>
          <w:lang w:val="es-ES"/>
        </w:rPr>
        <w:t xml:space="preserve">así como </w:t>
      </w:r>
      <w:r w:rsidR="008526BD">
        <w:rPr>
          <w:rFonts w:ascii="Arial" w:hAnsi="Arial" w:cs="Arial"/>
          <w:color w:val="000000" w:themeColor="text1"/>
          <w:sz w:val="24"/>
          <w:szCs w:val="24"/>
          <w:lang w:val="es-ES"/>
        </w:rPr>
        <w:t xml:space="preserve">para determinar </w:t>
      </w:r>
      <w:r w:rsidR="006A56EA">
        <w:rPr>
          <w:rFonts w:ascii="Arial" w:hAnsi="Arial" w:cs="Arial"/>
          <w:color w:val="000000" w:themeColor="text1"/>
          <w:sz w:val="24"/>
          <w:szCs w:val="24"/>
          <w:lang w:val="es-ES"/>
        </w:rPr>
        <w:t>su car</w:t>
      </w:r>
      <w:r w:rsidR="008D7E92">
        <w:rPr>
          <w:rFonts w:ascii="Arial" w:hAnsi="Arial" w:cs="Arial"/>
          <w:color w:val="000000" w:themeColor="text1"/>
          <w:sz w:val="24"/>
          <w:szCs w:val="24"/>
          <w:lang w:val="es-ES"/>
        </w:rPr>
        <w:t>á</w:t>
      </w:r>
      <w:r w:rsidR="006A56EA">
        <w:rPr>
          <w:rFonts w:ascii="Arial" w:hAnsi="Arial" w:cs="Arial"/>
          <w:color w:val="000000" w:themeColor="text1"/>
          <w:sz w:val="24"/>
          <w:szCs w:val="24"/>
          <w:lang w:val="es-ES"/>
        </w:rPr>
        <w:t xml:space="preserve">cter de información preliminar o definitiva. </w:t>
      </w:r>
      <w:r w:rsidRPr="006943E7">
        <w:rPr>
          <w:rFonts w:ascii="Arial" w:hAnsi="Arial" w:cs="Arial"/>
          <w:color w:val="000000" w:themeColor="text1"/>
          <w:sz w:val="24"/>
          <w:szCs w:val="24"/>
          <w:lang w:val="es-ES"/>
        </w:rPr>
        <w:t>Con base en</w:t>
      </w:r>
      <w:r>
        <w:rPr>
          <w:rFonts w:ascii="Arial" w:hAnsi="Arial" w:cs="Arial"/>
          <w:color w:val="000000" w:themeColor="text1"/>
          <w:sz w:val="24"/>
          <w:szCs w:val="24"/>
          <w:lang w:val="es-ES"/>
        </w:rPr>
        <w:t xml:space="preserve"> lo anterior</w:t>
      </w:r>
      <w:r w:rsidR="006A56EA">
        <w:rPr>
          <w:rFonts w:ascii="Arial" w:hAnsi="Arial" w:cs="Arial"/>
          <w:color w:val="000000" w:themeColor="text1"/>
          <w:sz w:val="24"/>
          <w:szCs w:val="24"/>
          <w:lang w:val="es-ES"/>
        </w:rPr>
        <w:t>,</w:t>
      </w:r>
      <w:r w:rsidR="006A56EA" w:rsidRPr="006943E7">
        <w:rPr>
          <w:rFonts w:ascii="Arial" w:hAnsi="Arial" w:cs="Arial"/>
          <w:color w:val="000000" w:themeColor="text1"/>
          <w:sz w:val="24"/>
          <w:szCs w:val="24"/>
          <w:lang w:val="es-ES"/>
        </w:rPr>
        <w:t xml:space="preserve"> </w:t>
      </w:r>
      <w:r w:rsidR="00D175CD" w:rsidRPr="006943E7">
        <w:rPr>
          <w:rFonts w:ascii="Arial" w:hAnsi="Arial" w:cs="Arial"/>
          <w:color w:val="000000" w:themeColor="text1"/>
          <w:sz w:val="24"/>
          <w:szCs w:val="24"/>
          <w:lang w:val="es-ES"/>
        </w:rPr>
        <w:t xml:space="preserve">al disponer de </w:t>
      </w:r>
      <w:r w:rsidR="006A56EA">
        <w:rPr>
          <w:rFonts w:ascii="Arial" w:hAnsi="Arial" w:cs="Arial"/>
          <w:color w:val="000000" w:themeColor="text1"/>
          <w:sz w:val="24"/>
          <w:szCs w:val="24"/>
          <w:lang w:val="es-ES"/>
        </w:rPr>
        <w:t>cambios en las fuentes de información,</w:t>
      </w:r>
      <w:r w:rsidR="00D175CD" w:rsidRPr="006943E7">
        <w:rPr>
          <w:rFonts w:ascii="Arial" w:hAnsi="Arial" w:cs="Arial"/>
          <w:color w:val="000000" w:themeColor="text1"/>
          <w:sz w:val="24"/>
          <w:szCs w:val="24"/>
          <w:lang w:val="es-ES"/>
        </w:rPr>
        <w:t xml:space="preserve"> se identifican diferencias en niveles y variaciones del VABCOEL</w:t>
      </w:r>
      <w:r w:rsidR="0023664E">
        <w:rPr>
          <w:rFonts w:ascii="Arial" w:hAnsi="Arial" w:cs="Arial"/>
          <w:color w:val="000000" w:themeColor="text1"/>
          <w:sz w:val="24"/>
          <w:szCs w:val="24"/>
          <w:lang w:val="es-ES"/>
        </w:rPr>
        <w:t xml:space="preserve"> 2019</w:t>
      </w:r>
      <w:r w:rsidR="00D175CD" w:rsidRPr="006943E7">
        <w:rPr>
          <w:rFonts w:ascii="Arial" w:hAnsi="Arial" w:cs="Arial"/>
          <w:color w:val="000000" w:themeColor="text1"/>
          <w:sz w:val="24"/>
          <w:szCs w:val="24"/>
          <w:lang w:val="es-ES"/>
        </w:rPr>
        <w:t xml:space="preserve">, comparadas con las que oportunamente </w:t>
      </w:r>
      <w:r w:rsidR="007B446B">
        <w:rPr>
          <w:rFonts w:ascii="Arial" w:hAnsi="Arial" w:cs="Arial"/>
          <w:color w:val="000000" w:themeColor="text1"/>
          <w:sz w:val="24"/>
          <w:szCs w:val="24"/>
          <w:lang w:val="es-ES"/>
        </w:rPr>
        <w:t>se dan a conocer en esta edición.</w:t>
      </w:r>
      <w:bookmarkEnd w:id="2"/>
    </w:p>
    <w:p w14:paraId="4E05B08D" w14:textId="77777777" w:rsidR="00E3266D" w:rsidRDefault="00E3266D" w:rsidP="00E3266D">
      <w:pPr>
        <w:ind w:left="-142" w:right="-121"/>
        <w:rPr>
          <w:rFonts w:ascii="Arial" w:eastAsia="Times New Roman" w:hAnsi="Arial"/>
          <w:b/>
          <w:bCs/>
          <w:smallCaps/>
          <w:noProof/>
          <w:sz w:val="24"/>
          <w:szCs w:val="24"/>
          <w:lang w:eastAsia="es-MX"/>
        </w:rPr>
      </w:pPr>
    </w:p>
    <w:p w14:paraId="019252B8" w14:textId="2F244323" w:rsidR="009D5B20" w:rsidRPr="009D5B20" w:rsidRDefault="009D5B20" w:rsidP="009D5B20">
      <w:pPr>
        <w:widowControl w:val="0"/>
        <w:tabs>
          <w:tab w:val="left" w:pos="-142"/>
        </w:tabs>
        <w:autoSpaceDE w:val="0"/>
        <w:autoSpaceDN w:val="0"/>
        <w:adjustRightInd w:val="0"/>
        <w:ind w:left="-142" w:right="-121"/>
        <w:rPr>
          <w:rFonts w:ascii="Arial" w:eastAsia="Times New Roman" w:hAnsi="Arial"/>
          <w:b/>
          <w:bCs/>
          <w:smallCaps/>
          <w:noProof/>
          <w:sz w:val="24"/>
          <w:szCs w:val="24"/>
          <w:lang w:eastAsia="es-MX"/>
        </w:rPr>
      </w:pPr>
      <w:r w:rsidRPr="009D5B20">
        <w:rPr>
          <w:rFonts w:ascii="Arial" w:eastAsia="Times New Roman" w:hAnsi="Arial"/>
          <w:b/>
          <w:bCs/>
          <w:smallCaps/>
          <w:noProof/>
          <w:sz w:val="24"/>
          <w:szCs w:val="24"/>
          <w:lang w:eastAsia="es-MX"/>
        </w:rPr>
        <w:t xml:space="preserve">Nota al usuario: </w:t>
      </w:r>
    </w:p>
    <w:p w14:paraId="657C1DBB" w14:textId="77777777" w:rsidR="009D5B20" w:rsidRPr="006943E7" w:rsidRDefault="009D5B20" w:rsidP="009D5B20">
      <w:pPr>
        <w:widowControl w:val="0"/>
        <w:tabs>
          <w:tab w:val="left" w:pos="-142"/>
        </w:tabs>
        <w:autoSpaceDE w:val="0"/>
        <w:autoSpaceDN w:val="0"/>
        <w:adjustRightInd w:val="0"/>
        <w:ind w:left="-142" w:right="-121"/>
        <w:rPr>
          <w:rFonts w:ascii="Arial" w:eastAsia="Times New Roman" w:hAnsi="Arial"/>
          <w:noProof/>
          <w:sz w:val="24"/>
          <w:szCs w:val="24"/>
          <w:lang w:eastAsia="es-MX"/>
        </w:rPr>
      </w:pPr>
    </w:p>
    <w:p w14:paraId="01FB56A5" w14:textId="77777777" w:rsidR="00E3266D" w:rsidRDefault="009D5B20" w:rsidP="009D5B20">
      <w:pPr>
        <w:widowControl w:val="0"/>
        <w:tabs>
          <w:tab w:val="left" w:pos="-142"/>
        </w:tabs>
        <w:autoSpaceDE w:val="0"/>
        <w:autoSpaceDN w:val="0"/>
        <w:adjustRightInd w:val="0"/>
        <w:ind w:left="-142" w:right="-121"/>
        <w:rPr>
          <w:rFonts w:ascii="Arial" w:eastAsia="Times New Roman" w:hAnsi="Arial"/>
          <w:noProof/>
          <w:sz w:val="24"/>
          <w:szCs w:val="24"/>
          <w:lang w:eastAsia="es-MX"/>
        </w:rPr>
      </w:pPr>
      <w:r w:rsidRPr="006943E7">
        <w:rPr>
          <w:rFonts w:ascii="Arial" w:eastAsia="Times New Roman" w:hAnsi="Arial"/>
          <w:noProof/>
          <w:sz w:val="24"/>
          <w:szCs w:val="24"/>
          <w:lang w:eastAsia="es-MX"/>
        </w:rPr>
        <w:t xml:space="preserve">Es importante precisar que 2020 fue un año atípico, ya que el 11 de marzo de 2020 la Organización Mundial de la Salud declaró oficialmente una pandemia, con motivo de la propagación del Coronavirus COVID-19 y se adoptaron medidas emergentes. </w:t>
      </w:r>
    </w:p>
    <w:p w14:paraId="658D7450" w14:textId="0DDD686A" w:rsidR="009D5B20" w:rsidRPr="006943E7" w:rsidRDefault="009D5B20" w:rsidP="009D5B20">
      <w:pPr>
        <w:widowControl w:val="0"/>
        <w:tabs>
          <w:tab w:val="left" w:pos="-142"/>
        </w:tabs>
        <w:autoSpaceDE w:val="0"/>
        <w:autoSpaceDN w:val="0"/>
        <w:adjustRightInd w:val="0"/>
        <w:ind w:left="-142" w:right="-121"/>
        <w:rPr>
          <w:rFonts w:ascii="Arial" w:eastAsia="Times New Roman" w:hAnsi="Arial"/>
          <w:noProof/>
          <w:sz w:val="24"/>
          <w:szCs w:val="24"/>
          <w:lang w:eastAsia="es-MX"/>
        </w:rPr>
      </w:pPr>
      <w:r w:rsidRPr="006943E7">
        <w:rPr>
          <w:rFonts w:ascii="Arial" w:eastAsia="Times New Roman" w:hAnsi="Arial"/>
          <w:noProof/>
          <w:sz w:val="24"/>
          <w:szCs w:val="24"/>
          <w:lang w:eastAsia="es-MX"/>
        </w:rPr>
        <w:lastRenderedPageBreak/>
        <w:t>Esta situación se ha prolongado hasta este año, lo cual se refleja en los resultados generados.</w:t>
      </w:r>
    </w:p>
    <w:p w14:paraId="7EB3FD25" w14:textId="77777777" w:rsidR="009D5B20" w:rsidRPr="006943E7" w:rsidRDefault="009D5B20" w:rsidP="009D5B20">
      <w:pPr>
        <w:widowControl w:val="0"/>
        <w:tabs>
          <w:tab w:val="left" w:pos="-142"/>
        </w:tabs>
        <w:autoSpaceDE w:val="0"/>
        <w:autoSpaceDN w:val="0"/>
        <w:adjustRightInd w:val="0"/>
        <w:ind w:left="-142" w:right="-121"/>
        <w:rPr>
          <w:rFonts w:ascii="Arial" w:eastAsia="Times New Roman" w:hAnsi="Arial"/>
          <w:noProof/>
          <w:sz w:val="24"/>
          <w:szCs w:val="24"/>
          <w:lang w:eastAsia="es-MX"/>
        </w:rPr>
      </w:pPr>
    </w:p>
    <w:p w14:paraId="2BC76BC4" w14:textId="7C2A51F1" w:rsidR="00610FC6" w:rsidRPr="006943E7" w:rsidRDefault="009D5B20" w:rsidP="007B446B">
      <w:pPr>
        <w:widowControl w:val="0"/>
        <w:tabs>
          <w:tab w:val="left" w:pos="-142"/>
        </w:tabs>
        <w:autoSpaceDE w:val="0"/>
        <w:autoSpaceDN w:val="0"/>
        <w:adjustRightInd w:val="0"/>
        <w:ind w:left="-142" w:right="-121"/>
        <w:rPr>
          <w:rFonts w:ascii="Arial" w:eastAsia="Times New Roman" w:hAnsi="Arial"/>
          <w:noProof/>
          <w:sz w:val="24"/>
          <w:szCs w:val="24"/>
          <w:lang w:eastAsia="es-MX"/>
        </w:rPr>
      </w:pPr>
      <w:r w:rsidRPr="006943E7">
        <w:rPr>
          <w:rFonts w:ascii="Arial" w:eastAsia="Times New Roman" w:hAnsi="Arial"/>
          <w:noProof/>
          <w:sz w:val="24"/>
          <w:szCs w:val="24"/>
          <w:lang w:eastAsia="es-MX"/>
        </w:rPr>
        <w:t>Una de las principales fuentes de información para esta medición es la Encuesta Anual del Comercio (EAC)</w:t>
      </w:r>
      <w:r w:rsidR="0063044F">
        <w:rPr>
          <w:rFonts w:ascii="Arial" w:eastAsia="Times New Roman" w:hAnsi="Arial"/>
          <w:noProof/>
          <w:sz w:val="24"/>
          <w:szCs w:val="24"/>
          <w:lang w:eastAsia="es-MX"/>
        </w:rPr>
        <w:t>,</w:t>
      </w:r>
      <w:r w:rsidRPr="006943E7">
        <w:rPr>
          <w:rFonts w:ascii="Arial" w:eastAsia="Times New Roman" w:hAnsi="Arial"/>
          <w:noProof/>
          <w:sz w:val="24"/>
          <w:szCs w:val="24"/>
          <w:lang w:eastAsia="es-MX"/>
        </w:rPr>
        <w:t xml:space="preserve"> cuya </w:t>
      </w:r>
      <w:r w:rsidR="0063044F">
        <w:rPr>
          <w:rFonts w:ascii="Arial" w:eastAsia="Times New Roman" w:hAnsi="Arial"/>
          <w:noProof/>
          <w:sz w:val="24"/>
          <w:szCs w:val="24"/>
          <w:lang w:eastAsia="es-MX"/>
        </w:rPr>
        <w:t>t</w:t>
      </w:r>
      <w:r w:rsidRPr="006943E7">
        <w:rPr>
          <w:rFonts w:ascii="Arial" w:eastAsia="Times New Roman" w:hAnsi="Arial"/>
          <w:noProof/>
          <w:sz w:val="24"/>
          <w:szCs w:val="24"/>
          <w:lang w:eastAsia="es-MX"/>
        </w:rPr>
        <w:t>asa de no respuesta en su versión 2020 registró porcentajes apropiados conforme a su diseño estadístico</w:t>
      </w:r>
      <w:r w:rsidR="0063044F">
        <w:rPr>
          <w:rFonts w:ascii="Arial" w:eastAsia="Times New Roman" w:hAnsi="Arial"/>
          <w:noProof/>
          <w:sz w:val="24"/>
          <w:szCs w:val="24"/>
          <w:lang w:eastAsia="es-MX"/>
        </w:rPr>
        <w:t xml:space="preserve"> y</w:t>
      </w:r>
      <w:r w:rsidRPr="006943E7">
        <w:rPr>
          <w:rFonts w:ascii="Arial" w:eastAsia="Times New Roman" w:hAnsi="Arial"/>
          <w:noProof/>
          <w:sz w:val="24"/>
          <w:szCs w:val="24"/>
          <w:lang w:eastAsia="es-MX"/>
        </w:rPr>
        <w:t xml:space="preserve"> permitió la generación de estadísticas con niveles altos de precisión.</w:t>
      </w:r>
    </w:p>
    <w:p w14:paraId="67A85E7F" w14:textId="0DD57405" w:rsidR="00946452" w:rsidRPr="009D5B20" w:rsidRDefault="00946452" w:rsidP="008A5FA4">
      <w:pPr>
        <w:pStyle w:val="bullet"/>
        <w:tabs>
          <w:tab w:val="clear" w:pos="851"/>
        </w:tabs>
        <w:spacing w:before="360" w:after="240"/>
        <w:ind w:left="-142" w:right="-121" w:firstLine="0"/>
        <w:rPr>
          <w:rFonts w:cs="Arial"/>
          <w:smallCaps/>
          <w:color w:val="000000"/>
          <w:sz w:val="24"/>
          <w:szCs w:val="24"/>
        </w:rPr>
      </w:pPr>
      <w:r w:rsidRPr="009D5B20">
        <w:rPr>
          <w:rFonts w:cs="Arial"/>
          <w:smallCaps/>
          <w:color w:val="000000"/>
          <w:sz w:val="24"/>
          <w:szCs w:val="24"/>
        </w:rPr>
        <w:t>Nota metodológica</w:t>
      </w:r>
    </w:p>
    <w:p w14:paraId="5557E6A9" w14:textId="6288768C" w:rsidR="00E3266D" w:rsidRDefault="00946452" w:rsidP="00E3266D">
      <w:pPr>
        <w:pStyle w:val="Profesin"/>
        <w:spacing w:before="120"/>
        <w:ind w:left="-142" w:right="-121"/>
        <w:jc w:val="both"/>
        <w:outlineLvl w:val="0"/>
        <w:rPr>
          <w:rFonts w:cs="Arial"/>
          <w:b w:val="0"/>
          <w:bCs/>
          <w:caps w:val="0"/>
          <w:sz w:val="24"/>
          <w:szCs w:val="24"/>
          <w:lang w:eastAsia="es-MX"/>
        </w:rPr>
      </w:pPr>
      <w:r w:rsidRPr="006943E7">
        <w:rPr>
          <w:rFonts w:cs="Arial"/>
          <w:b w:val="0"/>
          <w:sz w:val="24"/>
          <w:szCs w:val="24"/>
        </w:rPr>
        <w:t>P</w:t>
      </w:r>
      <w:r w:rsidRPr="006943E7">
        <w:rPr>
          <w:rFonts w:cs="Arial"/>
          <w:b w:val="0"/>
          <w:caps w:val="0"/>
          <w:sz w:val="24"/>
          <w:szCs w:val="24"/>
        </w:rPr>
        <w:t>ara obtener la medición de</w:t>
      </w:r>
      <w:r w:rsidRPr="006943E7">
        <w:rPr>
          <w:rFonts w:cs="Arial"/>
          <w:b w:val="0"/>
          <w:sz w:val="24"/>
          <w:szCs w:val="24"/>
        </w:rPr>
        <w:t xml:space="preserve"> </w:t>
      </w:r>
      <w:r w:rsidRPr="006943E7">
        <w:rPr>
          <w:rFonts w:cs="Arial"/>
          <w:b w:val="0"/>
          <w:caps w:val="0"/>
          <w:sz w:val="24"/>
          <w:szCs w:val="24"/>
        </w:rPr>
        <w:t xml:space="preserve">la </w:t>
      </w:r>
      <w:r w:rsidRPr="006943E7">
        <w:rPr>
          <w:rFonts w:cs="Arial"/>
          <w:b w:val="0"/>
          <w:bCs/>
          <w:caps w:val="0"/>
          <w:sz w:val="24"/>
          <w:szCs w:val="24"/>
          <w:lang w:eastAsia="es-MX"/>
        </w:rPr>
        <w:t>participación del comercio electrónico de bienes y servicios en el valor agregado, se emplearon las siguientes fuentes de información:</w:t>
      </w:r>
    </w:p>
    <w:p w14:paraId="2838B71F" w14:textId="77777777" w:rsidR="00E3266D" w:rsidRPr="00E3266D" w:rsidRDefault="00E3266D" w:rsidP="00E3266D">
      <w:pPr>
        <w:pStyle w:val="Profesin"/>
        <w:spacing w:before="120"/>
        <w:ind w:left="-142" w:right="-121"/>
        <w:jc w:val="both"/>
        <w:outlineLvl w:val="0"/>
        <w:rPr>
          <w:rFonts w:cs="Arial"/>
          <w:b w:val="0"/>
          <w:bCs/>
          <w:caps w:val="0"/>
          <w:sz w:val="24"/>
          <w:szCs w:val="24"/>
          <w:lang w:eastAsia="es-MX"/>
        </w:rPr>
      </w:pPr>
    </w:p>
    <w:p w14:paraId="5DE802B3" w14:textId="77777777" w:rsidR="00946452" w:rsidRPr="006943E7" w:rsidRDefault="00946452" w:rsidP="008A5FA4">
      <w:pPr>
        <w:pStyle w:val="Prrafodelista"/>
        <w:numPr>
          <w:ilvl w:val="0"/>
          <w:numId w:val="3"/>
        </w:numPr>
        <w:ind w:left="426" w:right="49" w:hanging="284"/>
        <w:rPr>
          <w:rFonts w:ascii="Arial" w:eastAsia="Times New Roman" w:hAnsi="Arial" w:cs="Arial"/>
          <w:lang w:eastAsia="es-ES"/>
        </w:rPr>
      </w:pPr>
      <w:r w:rsidRPr="006943E7">
        <w:rPr>
          <w:rFonts w:ascii="Arial" w:eastAsia="Times New Roman" w:hAnsi="Arial" w:cs="Arial"/>
          <w:lang w:eastAsia="es-ES"/>
        </w:rPr>
        <w:t>Censos Económicos 2014</w:t>
      </w:r>
    </w:p>
    <w:p w14:paraId="28BC7794" w14:textId="77777777" w:rsidR="00946452" w:rsidRPr="006943E7" w:rsidRDefault="00946452" w:rsidP="008A5FA4">
      <w:pPr>
        <w:pStyle w:val="Prrafodelista"/>
        <w:numPr>
          <w:ilvl w:val="1"/>
          <w:numId w:val="3"/>
        </w:numPr>
        <w:ind w:left="1134" w:right="49" w:hanging="283"/>
        <w:rPr>
          <w:rFonts w:ascii="Arial" w:eastAsia="Times New Roman" w:hAnsi="Arial" w:cs="Arial"/>
          <w:lang w:eastAsia="es-ES"/>
        </w:rPr>
      </w:pPr>
      <w:r w:rsidRPr="006943E7">
        <w:rPr>
          <w:rFonts w:ascii="Arial" w:hAnsi="Arial" w:cs="Arial"/>
        </w:rPr>
        <w:t>Ingresos por suministro de bienes y servicios</w:t>
      </w:r>
    </w:p>
    <w:p w14:paraId="0EAB74CD" w14:textId="22D5E712" w:rsidR="00946452" w:rsidRPr="00E3266D" w:rsidRDefault="00946452" w:rsidP="00E3266D">
      <w:pPr>
        <w:pStyle w:val="Prrafodelista"/>
        <w:numPr>
          <w:ilvl w:val="1"/>
          <w:numId w:val="3"/>
        </w:numPr>
        <w:ind w:left="1134" w:right="49" w:hanging="283"/>
        <w:rPr>
          <w:rFonts w:ascii="Arial" w:eastAsia="Times New Roman" w:hAnsi="Arial" w:cs="Arial"/>
          <w:lang w:eastAsia="es-ES"/>
        </w:rPr>
      </w:pPr>
      <w:r w:rsidRPr="006943E7">
        <w:rPr>
          <w:rFonts w:ascii="Arial" w:hAnsi="Arial" w:cs="Arial"/>
        </w:rPr>
        <w:t>Porcentaje de sus ventas realizadas por Internet, correo electrónico o mediante el hospedaje de una página web, durante 2013</w:t>
      </w:r>
    </w:p>
    <w:p w14:paraId="030E69F8" w14:textId="77777777" w:rsidR="00E3266D" w:rsidRPr="00E3266D" w:rsidRDefault="00E3266D" w:rsidP="00E3266D">
      <w:pPr>
        <w:pStyle w:val="Prrafodelista"/>
        <w:ind w:left="1134" w:right="49" w:firstLine="0"/>
        <w:rPr>
          <w:rFonts w:ascii="Arial" w:eastAsia="Times New Roman" w:hAnsi="Arial" w:cs="Arial"/>
          <w:lang w:eastAsia="es-ES"/>
        </w:rPr>
      </w:pPr>
    </w:p>
    <w:p w14:paraId="62AC8B27" w14:textId="77777777" w:rsidR="00946452" w:rsidRPr="006943E7" w:rsidRDefault="00946452" w:rsidP="008A5FA4">
      <w:pPr>
        <w:pStyle w:val="Prrafodelista"/>
        <w:numPr>
          <w:ilvl w:val="0"/>
          <w:numId w:val="3"/>
        </w:numPr>
        <w:ind w:left="426" w:right="49" w:hanging="284"/>
        <w:rPr>
          <w:rFonts w:ascii="Arial" w:eastAsia="Times New Roman" w:hAnsi="Arial" w:cs="Arial"/>
          <w:lang w:eastAsia="es-ES"/>
        </w:rPr>
      </w:pPr>
      <w:r w:rsidRPr="006943E7">
        <w:rPr>
          <w:rFonts w:ascii="Arial" w:eastAsia="Times New Roman" w:hAnsi="Arial" w:cs="Arial"/>
          <w:lang w:eastAsia="es-ES"/>
        </w:rPr>
        <w:t>Cuadros de Oferta y Utilización equilibrados 2013</w:t>
      </w:r>
    </w:p>
    <w:p w14:paraId="1063373B" w14:textId="77777777" w:rsidR="00946452" w:rsidRPr="006943E7" w:rsidRDefault="00946452" w:rsidP="008A5FA4">
      <w:pPr>
        <w:pStyle w:val="Prrafodelista"/>
        <w:numPr>
          <w:ilvl w:val="1"/>
          <w:numId w:val="3"/>
        </w:numPr>
        <w:ind w:left="1134" w:right="49" w:hanging="283"/>
        <w:rPr>
          <w:rFonts w:ascii="Arial" w:eastAsia="Times New Roman" w:hAnsi="Arial" w:cs="Arial"/>
          <w:lang w:eastAsia="es-ES"/>
        </w:rPr>
      </w:pPr>
      <w:r w:rsidRPr="006943E7">
        <w:rPr>
          <w:rFonts w:ascii="Arial" w:eastAsia="Times New Roman" w:hAnsi="Arial" w:cs="Arial"/>
          <w:lang w:eastAsia="es-ES"/>
        </w:rPr>
        <w:t>Márgenes de comercio</w:t>
      </w:r>
    </w:p>
    <w:p w14:paraId="4A36D65E" w14:textId="012E1736" w:rsidR="00946452" w:rsidRPr="00E3266D" w:rsidRDefault="00946452" w:rsidP="00946452">
      <w:pPr>
        <w:pStyle w:val="Prrafodelista"/>
        <w:numPr>
          <w:ilvl w:val="1"/>
          <w:numId w:val="3"/>
        </w:numPr>
        <w:ind w:left="1134" w:right="49" w:hanging="283"/>
        <w:rPr>
          <w:rFonts w:ascii="Arial" w:eastAsia="Times New Roman" w:hAnsi="Arial" w:cs="Arial"/>
          <w:lang w:eastAsia="es-ES"/>
        </w:rPr>
      </w:pPr>
      <w:r w:rsidRPr="006943E7">
        <w:rPr>
          <w:rFonts w:ascii="Arial" w:eastAsia="Times New Roman" w:hAnsi="Arial" w:cs="Arial"/>
          <w:lang w:eastAsia="es-ES"/>
        </w:rPr>
        <w:t>Utilización de servicios</w:t>
      </w:r>
    </w:p>
    <w:p w14:paraId="54ED53D7" w14:textId="2C6077EB" w:rsidR="00E3266D" w:rsidRDefault="00946452" w:rsidP="00E3266D">
      <w:pPr>
        <w:ind w:left="-142" w:right="-121"/>
        <w:rPr>
          <w:rFonts w:ascii="Arial" w:hAnsi="Arial" w:cs="Arial"/>
          <w:sz w:val="24"/>
          <w:szCs w:val="24"/>
        </w:rPr>
      </w:pPr>
      <w:r w:rsidRPr="006943E7">
        <w:rPr>
          <w:rFonts w:ascii="Arial" w:hAnsi="Arial" w:cs="Arial"/>
          <w:sz w:val="24"/>
          <w:szCs w:val="24"/>
        </w:rPr>
        <w:t xml:space="preserve">Con esta información se determina el factor que identifica el comercio electrónico sobre la oferta de bienes y servicios y se calcula su </w:t>
      </w:r>
      <w:r w:rsidR="008A5FA4">
        <w:rPr>
          <w:rFonts w:ascii="Arial" w:hAnsi="Arial" w:cs="Arial"/>
          <w:sz w:val="24"/>
          <w:szCs w:val="24"/>
        </w:rPr>
        <w:t>VAB</w:t>
      </w:r>
      <w:r w:rsidR="00EB017B">
        <w:rPr>
          <w:rFonts w:ascii="Arial" w:hAnsi="Arial" w:cs="Arial"/>
          <w:sz w:val="24"/>
          <w:szCs w:val="24"/>
        </w:rPr>
        <w:t>. También</w:t>
      </w:r>
      <w:r w:rsidRPr="006943E7">
        <w:rPr>
          <w:rFonts w:ascii="Arial" w:hAnsi="Arial" w:cs="Arial"/>
          <w:sz w:val="24"/>
          <w:szCs w:val="24"/>
        </w:rPr>
        <w:t xml:space="preserve"> se hace una distinción entre el comercio al por mayor y el comercio al por menor de bienes, ya que se identifica</w:t>
      </w:r>
      <w:r w:rsidR="00EB017B">
        <w:rPr>
          <w:rFonts w:ascii="Arial" w:hAnsi="Arial" w:cs="Arial"/>
          <w:sz w:val="24"/>
          <w:szCs w:val="24"/>
        </w:rPr>
        <w:t>n las actividades comerciales que se hacen por medio</w:t>
      </w:r>
      <w:r w:rsidRPr="006943E7">
        <w:rPr>
          <w:rFonts w:ascii="Arial" w:hAnsi="Arial" w:cs="Arial"/>
          <w:sz w:val="24"/>
          <w:szCs w:val="24"/>
        </w:rPr>
        <w:t xml:space="preserve"> electrónico y los márgenes de comercialización en las </w:t>
      </w:r>
      <w:r w:rsidR="00EB017B">
        <w:rPr>
          <w:rFonts w:ascii="Arial" w:hAnsi="Arial" w:cs="Arial"/>
          <w:sz w:val="24"/>
          <w:szCs w:val="24"/>
        </w:rPr>
        <w:t xml:space="preserve">diferentes </w:t>
      </w:r>
      <w:r w:rsidRPr="006943E7">
        <w:rPr>
          <w:rFonts w:ascii="Arial" w:hAnsi="Arial" w:cs="Arial"/>
          <w:sz w:val="24"/>
          <w:szCs w:val="24"/>
        </w:rPr>
        <w:t>fases.</w:t>
      </w:r>
    </w:p>
    <w:p w14:paraId="0E963DC0" w14:textId="77777777" w:rsidR="00E3266D" w:rsidRPr="00E3266D" w:rsidRDefault="00E3266D" w:rsidP="00E3266D">
      <w:pPr>
        <w:ind w:left="-142" w:right="-121"/>
        <w:rPr>
          <w:rFonts w:ascii="Arial" w:hAnsi="Arial" w:cs="Arial"/>
          <w:sz w:val="24"/>
          <w:szCs w:val="24"/>
        </w:rPr>
      </w:pPr>
    </w:p>
    <w:p w14:paraId="683F0922" w14:textId="68530B81" w:rsidR="008A5FA4" w:rsidRDefault="00816456" w:rsidP="00816456">
      <w:pPr>
        <w:ind w:right="49"/>
        <w:jc w:val="center"/>
        <w:rPr>
          <w:rFonts w:ascii="Arial" w:hAnsi="Arial" w:cs="Arial"/>
          <w:b/>
          <w:bCs/>
          <w:sz w:val="24"/>
          <w:szCs w:val="24"/>
        </w:rPr>
      </w:pPr>
      <w:r w:rsidRPr="0042573E">
        <w:rPr>
          <w:rFonts w:ascii="Arial" w:hAnsi="Arial" w:cs="Arial"/>
          <w:b/>
          <w:bCs/>
          <w:sz w:val="24"/>
          <w:szCs w:val="24"/>
        </w:rPr>
        <w:t>Diagrama de Canales</w:t>
      </w:r>
    </w:p>
    <w:p w14:paraId="273AB010" w14:textId="77777777" w:rsidR="0042573E" w:rsidRDefault="0042573E" w:rsidP="00816456">
      <w:pPr>
        <w:ind w:right="49"/>
        <w:jc w:val="center"/>
        <w:rPr>
          <w:rFonts w:ascii="Arial" w:hAnsi="Arial" w:cs="Arial"/>
          <w:b/>
          <w:bCs/>
          <w:sz w:val="24"/>
          <w:szCs w:val="24"/>
        </w:rPr>
      </w:pPr>
    </w:p>
    <w:p w14:paraId="203CBEE0" w14:textId="4EFBD35F" w:rsidR="0042573E" w:rsidRPr="00816456" w:rsidRDefault="0042573E" w:rsidP="00816456">
      <w:pPr>
        <w:ind w:right="49"/>
        <w:jc w:val="center"/>
        <w:rPr>
          <w:rFonts w:ascii="Arial" w:hAnsi="Arial" w:cs="Arial"/>
          <w:b/>
          <w:bCs/>
          <w:smallCaps/>
        </w:rPr>
      </w:pPr>
      <w:r>
        <w:rPr>
          <w:rFonts w:ascii="Arial" w:hAnsi="Arial" w:cs="Arial"/>
          <w:b/>
          <w:bCs/>
          <w:smallCaps/>
          <w:noProof/>
        </w:rPr>
        <w:drawing>
          <wp:inline distT="0" distB="0" distL="0" distR="0" wp14:anchorId="11C1D2D3" wp14:editId="553E0E2E">
            <wp:extent cx="6272786" cy="2986392"/>
            <wp:effectExtent l="0" t="0" r="0" b="508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296440" cy="2997653"/>
                    </a:xfrm>
                    <a:prstGeom prst="rect">
                      <a:avLst/>
                    </a:prstGeom>
                    <a:noFill/>
                  </pic:spPr>
                </pic:pic>
              </a:graphicData>
            </a:graphic>
          </wp:inline>
        </w:drawing>
      </w:r>
    </w:p>
    <w:p w14:paraId="2BB17D18" w14:textId="48B2ED93" w:rsidR="00946452" w:rsidRPr="006943E7" w:rsidRDefault="00946452" w:rsidP="00946452">
      <w:pPr>
        <w:ind w:right="49"/>
        <w:rPr>
          <w:rFonts w:ascii="Arial" w:hAnsi="Arial" w:cs="Arial"/>
          <w:sz w:val="24"/>
          <w:szCs w:val="24"/>
        </w:rPr>
      </w:pPr>
    </w:p>
    <w:p w14:paraId="5318BE43" w14:textId="71A195F8" w:rsidR="00946452" w:rsidRPr="006943E7" w:rsidRDefault="00946452" w:rsidP="00946452">
      <w:pPr>
        <w:ind w:right="49"/>
        <w:rPr>
          <w:rFonts w:ascii="Arial" w:hAnsi="Arial" w:cs="Arial"/>
          <w:sz w:val="24"/>
          <w:szCs w:val="24"/>
        </w:rPr>
      </w:pPr>
      <w:r w:rsidRPr="006943E7">
        <w:rPr>
          <w:rFonts w:ascii="Arial" w:hAnsi="Arial" w:cs="Arial"/>
          <w:sz w:val="24"/>
          <w:szCs w:val="24"/>
        </w:rPr>
        <w:t>Para el seguimiento de la serie se aprovecha la información de:</w:t>
      </w:r>
    </w:p>
    <w:p w14:paraId="7747E12F" w14:textId="77777777" w:rsidR="00946452" w:rsidRPr="006943E7" w:rsidRDefault="00946452" w:rsidP="008A5FA4">
      <w:pPr>
        <w:pStyle w:val="Prrafodelista"/>
        <w:numPr>
          <w:ilvl w:val="0"/>
          <w:numId w:val="3"/>
        </w:numPr>
        <w:ind w:left="426" w:right="49" w:hanging="284"/>
        <w:rPr>
          <w:rFonts w:ascii="Arial" w:eastAsia="Times New Roman" w:hAnsi="Arial" w:cs="Arial"/>
          <w:lang w:eastAsia="es-ES"/>
        </w:rPr>
      </w:pPr>
      <w:r w:rsidRPr="006943E7">
        <w:rPr>
          <w:rFonts w:ascii="Arial" w:eastAsia="Times New Roman" w:hAnsi="Arial" w:cs="Arial"/>
          <w:lang w:eastAsia="es-ES"/>
        </w:rPr>
        <w:t>Encuesta Anual de Comercio</w:t>
      </w:r>
    </w:p>
    <w:p w14:paraId="1B96C7E8" w14:textId="77777777" w:rsidR="00946452" w:rsidRPr="006943E7" w:rsidRDefault="00946452" w:rsidP="008A5FA4">
      <w:pPr>
        <w:pStyle w:val="Prrafodelista"/>
        <w:numPr>
          <w:ilvl w:val="1"/>
          <w:numId w:val="3"/>
        </w:numPr>
        <w:ind w:left="1134" w:right="49" w:hanging="283"/>
        <w:rPr>
          <w:rFonts w:ascii="Arial" w:eastAsia="Times New Roman" w:hAnsi="Arial" w:cs="Arial"/>
          <w:lang w:eastAsia="es-ES"/>
        </w:rPr>
      </w:pPr>
      <w:r w:rsidRPr="006943E7">
        <w:rPr>
          <w:rFonts w:ascii="Arial" w:hAnsi="Arial" w:cs="Arial"/>
        </w:rPr>
        <w:t>Medios de comercialización (internet)</w:t>
      </w:r>
    </w:p>
    <w:p w14:paraId="027FBE44" w14:textId="77777777" w:rsidR="00946452" w:rsidRPr="006943E7" w:rsidRDefault="00946452" w:rsidP="00946452">
      <w:pPr>
        <w:pStyle w:val="Prrafodelista"/>
        <w:ind w:right="49" w:firstLine="0"/>
        <w:rPr>
          <w:rFonts w:ascii="Arial" w:eastAsia="Times New Roman" w:hAnsi="Arial" w:cs="Arial"/>
          <w:lang w:eastAsia="es-ES"/>
        </w:rPr>
      </w:pPr>
    </w:p>
    <w:p w14:paraId="79B2E5E8" w14:textId="77777777" w:rsidR="00946452" w:rsidRPr="006943E7" w:rsidRDefault="00946452" w:rsidP="008A5FA4">
      <w:pPr>
        <w:pStyle w:val="Prrafodelista"/>
        <w:numPr>
          <w:ilvl w:val="0"/>
          <w:numId w:val="3"/>
        </w:numPr>
        <w:ind w:left="426" w:right="49" w:hanging="284"/>
        <w:rPr>
          <w:rFonts w:ascii="Arial" w:eastAsia="Times New Roman" w:hAnsi="Arial" w:cs="Arial"/>
          <w:lang w:eastAsia="es-ES"/>
        </w:rPr>
      </w:pPr>
      <w:r w:rsidRPr="006943E7">
        <w:rPr>
          <w:rFonts w:ascii="Arial" w:eastAsia="Times New Roman" w:hAnsi="Arial" w:cs="Arial"/>
          <w:lang w:eastAsia="es-ES"/>
        </w:rPr>
        <w:t>Cuenta de Bienes y Servicios</w:t>
      </w:r>
    </w:p>
    <w:p w14:paraId="5F2ADFC1" w14:textId="77777777" w:rsidR="00946452" w:rsidRPr="006943E7" w:rsidRDefault="00946452" w:rsidP="008A5FA4">
      <w:pPr>
        <w:pStyle w:val="Prrafodelista"/>
        <w:numPr>
          <w:ilvl w:val="1"/>
          <w:numId w:val="3"/>
        </w:numPr>
        <w:ind w:left="1134" w:right="49" w:hanging="283"/>
        <w:rPr>
          <w:rFonts w:ascii="Arial" w:eastAsia="Times New Roman" w:hAnsi="Arial" w:cs="Arial"/>
          <w:lang w:eastAsia="es-ES"/>
        </w:rPr>
      </w:pPr>
      <w:r w:rsidRPr="006943E7">
        <w:rPr>
          <w:rFonts w:ascii="Arial" w:eastAsia="Times New Roman" w:hAnsi="Arial" w:cs="Arial"/>
          <w:lang w:eastAsia="es-ES"/>
        </w:rPr>
        <w:t>Márgenes de comercio</w:t>
      </w:r>
    </w:p>
    <w:p w14:paraId="0AD6E43B" w14:textId="77777777" w:rsidR="00946452" w:rsidRPr="006943E7" w:rsidRDefault="00946452" w:rsidP="008A5FA4">
      <w:pPr>
        <w:pStyle w:val="Prrafodelista"/>
        <w:numPr>
          <w:ilvl w:val="1"/>
          <w:numId w:val="3"/>
        </w:numPr>
        <w:ind w:left="1134" w:right="49" w:hanging="283"/>
        <w:rPr>
          <w:rFonts w:ascii="Arial" w:eastAsia="Times New Roman" w:hAnsi="Arial" w:cs="Arial"/>
          <w:lang w:eastAsia="es-ES"/>
        </w:rPr>
      </w:pPr>
      <w:r w:rsidRPr="006943E7">
        <w:rPr>
          <w:rFonts w:ascii="Arial" w:eastAsia="Times New Roman" w:hAnsi="Arial" w:cs="Arial"/>
          <w:lang w:eastAsia="es-ES"/>
        </w:rPr>
        <w:t xml:space="preserve">Utilización de servicios </w:t>
      </w:r>
    </w:p>
    <w:p w14:paraId="70FE5B3C" w14:textId="1F47C432" w:rsidR="00946452" w:rsidRDefault="00946452" w:rsidP="009D5B20">
      <w:pPr>
        <w:ind w:left="-142" w:right="-121"/>
        <w:rPr>
          <w:rFonts w:ascii="Arial" w:hAnsi="Arial" w:cs="Arial"/>
          <w:sz w:val="24"/>
          <w:szCs w:val="24"/>
        </w:rPr>
      </w:pPr>
      <w:r w:rsidRPr="006943E7">
        <w:rPr>
          <w:rFonts w:ascii="Arial" w:hAnsi="Arial" w:cs="Arial"/>
          <w:sz w:val="24"/>
          <w:szCs w:val="24"/>
        </w:rPr>
        <w:t xml:space="preserve">Se emplean las variables que permiten caracterizar al comercio electrónico para seguir su comportamiento, aplicando los mismos criterios de agrupación que en el </w:t>
      </w:r>
      <w:r w:rsidR="00194C8D">
        <w:rPr>
          <w:rFonts w:ascii="Arial" w:hAnsi="Arial" w:cs="Arial"/>
          <w:sz w:val="24"/>
          <w:szCs w:val="24"/>
        </w:rPr>
        <w:t>A</w:t>
      </w:r>
      <w:r w:rsidRPr="006943E7">
        <w:rPr>
          <w:rFonts w:ascii="Arial" w:hAnsi="Arial" w:cs="Arial"/>
          <w:sz w:val="24"/>
          <w:szCs w:val="24"/>
        </w:rPr>
        <w:t xml:space="preserve">ño </w:t>
      </w:r>
      <w:r w:rsidR="00194C8D">
        <w:rPr>
          <w:rFonts w:ascii="Arial" w:hAnsi="Arial" w:cs="Arial"/>
          <w:sz w:val="24"/>
          <w:szCs w:val="24"/>
        </w:rPr>
        <w:t>B</w:t>
      </w:r>
      <w:r w:rsidRPr="006943E7">
        <w:rPr>
          <w:rFonts w:ascii="Arial" w:hAnsi="Arial" w:cs="Arial"/>
          <w:sz w:val="24"/>
          <w:szCs w:val="24"/>
        </w:rPr>
        <w:t>ase 2013.</w:t>
      </w:r>
    </w:p>
    <w:p w14:paraId="27AD4660" w14:textId="77777777" w:rsidR="00610FC6" w:rsidRPr="006943E7" w:rsidRDefault="00610FC6" w:rsidP="009D5B20">
      <w:pPr>
        <w:ind w:left="-142" w:right="-121"/>
        <w:rPr>
          <w:rFonts w:ascii="Arial" w:hAnsi="Arial" w:cs="Arial"/>
          <w:sz w:val="24"/>
          <w:szCs w:val="24"/>
        </w:rPr>
      </w:pPr>
    </w:p>
    <w:p w14:paraId="68FF08A7" w14:textId="2EE3FA02" w:rsidR="00946452" w:rsidRPr="006943E7" w:rsidRDefault="00946452" w:rsidP="009D5B20">
      <w:pPr>
        <w:ind w:left="-142" w:right="-121"/>
        <w:rPr>
          <w:rFonts w:ascii="Arial" w:hAnsi="Arial" w:cs="Arial"/>
          <w:sz w:val="24"/>
          <w:szCs w:val="24"/>
        </w:rPr>
      </w:pPr>
      <w:r w:rsidRPr="006943E7">
        <w:rPr>
          <w:rFonts w:ascii="Arial" w:hAnsi="Arial" w:cs="Arial"/>
          <w:sz w:val="24"/>
          <w:szCs w:val="24"/>
        </w:rPr>
        <w:t xml:space="preserve">Finalmente, este producto es un primer acercamiento a la medición de la </w:t>
      </w:r>
      <w:r w:rsidR="008A5FA4">
        <w:rPr>
          <w:rFonts w:ascii="Arial" w:hAnsi="Arial" w:cs="Arial"/>
          <w:sz w:val="24"/>
          <w:szCs w:val="24"/>
        </w:rPr>
        <w:t>e</w:t>
      </w:r>
      <w:r w:rsidRPr="006943E7">
        <w:rPr>
          <w:rFonts w:ascii="Arial" w:hAnsi="Arial" w:cs="Arial"/>
          <w:sz w:val="24"/>
          <w:szCs w:val="24"/>
        </w:rPr>
        <w:t xml:space="preserve">conomía </w:t>
      </w:r>
      <w:r w:rsidR="008A5FA4">
        <w:rPr>
          <w:rFonts w:ascii="Arial" w:hAnsi="Arial" w:cs="Arial"/>
          <w:sz w:val="24"/>
          <w:szCs w:val="24"/>
        </w:rPr>
        <w:t>d</w:t>
      </w:r>
      <w:r w:rsidRPr="006943E7">
        <w:rPr>
          <w:rFonts w:ascii="Arial" w:hAnsi="Arial" w:cs="Arial"/>
          <w:sz w:val="24"/>
          <w:szCs w:val="24"/>
        </w:rPr>
        <w:t>igital, en específico</w:t>
      </w:r>
      <w:r w:rsidR="008A5FA4">
        <w:rPr>
          <w:rFonts w:ascii="Arial" w:hAnsi="Arial" w:cs="Arial"/>
          <w:sz w:val="24"/>
          <w:szCs w:val="24"/>
        </w:rPr>
        <w:t>,</w:t>
      </w:r>
      <w:r w:rsidRPr="006943E7">
        <w:rPr>
          <w:rFonts w:ascii="Arial" w:hAnsi="Arial" w:cs="Arial"/>
          <w:sz w:val="24"/>
          <w:szCs w:val="24"/>
        </w:rPr>
        <w:t xml:space="preserve"> al comercio electrónico, y proporciona información relevante para promover políticas públicas, investigaciones académicas y una ampliación del conocimiento económico del país a partir de los resultados obtenidos.</w:t>
      </w:r>
    </w:p>
    <w:p w14:paraId="1AFBD240" w14:textId="08019BC6" w:rsidR="00946452" w:rsidRPr="00CB319E" w:rsidRDefault="00946452" w:rsidP="00194C8D">
      <w:pPr>
        <w:pStyle w:val="n01"/>
        <w:keepLines w:val="0"/>
        <w:spacing w:before="360"/>
        <w:ind w:left="0" w:right="49" w:firstLine="0"/>
        <w:outlineLvl w:val="0"/>
        <w:rPr>
          <w:rFonts w:ascii="Arial" w:hAnsi="Arial" w:cs="Arial"/>
          <w:szCs w:val="24"/>
        </w:rPr>
      </w:pPr>
    </w:p>
    <w:sectPr w:rsidR="00946452" w:rsidRPr="00CB319E" w:rsidSect="00E3266D">
      <w:headerReference w:type="default" r:id="rId23"/>
      <w:type w:val="continuous"/>
      <w:pgSz w:w="12240" w:h="15840"/>
      <w:pgMar w:top="1702" w:right="1361" w:bottom="709" w:left="1361" w:header="425" w:footer="304"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B218" w16cex:dateUtc="2022-02-10T21:47:00Z"/>
  <w16cex:commentExtensible w16cex:durableId="25AFB5F2" w16cex:dateUtc="2022-02-10T22:04:00Z"/>
  <w16cex:commentExtensible w16cex:durableId="25AFD60C" w16cex:dateUtc="2022-02-11T00:21:00Z"/>
  <w16cex:commentExtensible w16cex:durableId="25AFB80D" w16cex:dateUtc="2022-02-10T22: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4DDBD" w14:textId="77777777" w:rsidR="00B104B8" w:rsidRDefault="00B104B8" w:rsidP="000C7D16">
      <w:r>
        <w:separator/>
      </w:r>
    </w:p>
  </w:endnote>
  <w:endnote w:type="continuationSeparator" w:id="0">
    <w:p w14:paraId="671ED728" w14:textId="77777777" w:rsidR="00B104B8" w:rsidRDefault="00B104B8" w:rsidP="000C7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HelveticaNeueLT St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59AF5" w14:textId="77777777" w:rsidR="00A06D3B" w:rsidRPr="005F61D9" w:rsidRDefault="00A06D3B" w:rsidP="00A06D3B">
    <w:pPr>
      <w:pStyle w:val="Piedepgina"/>
      <w:jc w:val="center"/>
      <w:rPr>
        <w:rFonts w:ascii="Arial" w:hAnsi="Arial" w:cs="Arial"/>
        <w:b/>
        <w:color w:val="002060"/>
        <w:sz w:val="20"/>
        <w:szCs w:val="20"/>
      </w:rPr>
    </w:pPr>
    <w:r w:rsidRPr="005F61D9">
      <w:rPr>
        <w:rFonts w:ascii="Arial" w:hAnsi="Arial" w:cs="Arial"/>
        <w:b/>
        <w:color w:val="002060"/>
        <w:sz w:val="20"/>
        <w:szCs w:val="20"/>
      </w:rPr>
      <w:t>COMUNICACIÓN SOCIAL</w:t>
    </w:r>
  </w:p>
  <w:p w14:paraId="12459AF6" w14:textId="77777777" w:rsidR="00DA72FF" w:rsidRPr="000C7D16" w:rsidRDefault="00DA72FF" w:rsidP="000C7D16">
    <w:pPr>
      <w:pStyle w:val="Piedepgina"/>
      <w:jc w:val="center"/>
      <w:rPr>
        <w:rFonts w:ascii="Arial" w:hAnsi="Arial" w:cs="Arial"/>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323CB" w14:textId="77777777" w:rsidR="00B104B8" w:rsidRDefault="00B104B8" w:rsidP="000C7D16">
      <w:r>
        <w:separator/>
      </w:r>
    </w:p>
  </w:footnote>
  <w:footnote w:type="continuationSeparator" w:id="0">
    <w:p w14:paraId="596EAA87" w14:textId="77777777" w:rsidR="00B104B8" w:rsidRDefault="00B104B8" w:rsidP="000C7D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59AF0" w14:textId="4FC8072C" w:rsidR="005F61D9" w:rsidRDefault="00CB2982" w:rsidP="005F61D9">
    <w:pPr>
      <w:pStyle w:val="Encabezado"/>
      <w:tabs>
        <w:tab w:val="clear" w:pos="4419"/>
        <w:tab w:val="clear" w:pos="8838"/>
      </w:tabs>
      <w:ind w:left="-567" w:right="-376"/>
      <w:jc w:val="right"/>
      <w:rPr>
        <w:rFonts w:ascii="Arial" w:hAnsi="Arial"/>
        <w:b/>
        <w:color w:val="002060"/>
        <w:sz w:val="24"/>
      </w:rPr>
    </w:pPr>
    <w:r>
      <w:rPr>
        <w:noProof/>
        <w:lang w:eastAsia="es-MX"/>
      </w:rPr>
      <w:drawing>
        <wp:anchor distT="0" distB="0" distL="114300" distR="114300" simplePos="0" relativeHeight="251659264" behindDoc="0" locked="0" layoutInCell="1" allowOverlap="1" wp14:anchorId="12459AFA" wp14:editId="381CE9EE">
          <wp:simplePos x="0" y="0"/>
          <wp:positionH relativeFrom="margin">
            <wp:posOffset>-53423</wp:posOffset>
          </wp:positionH>
          <wp:positionV relativeFrom="topMargin">
            <wp:posOffset>260681</wp:posOffset>
          </wp:positionV>
          <wp:extent cx="826135" cy="827405"/>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3159" b="-494"/>
                  <a:stretch/>
                </pic:blipFill>
                <pic:spPr bwMode="auto">
                  <a:xfrm>
                    <a:off x="0" y="0"/>
                    <a:ext cx="826135" cy="827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459AF1" w14:textId="2E0CBBB9" w:rsidR="005F61D9" w:rsidRPr="00825863" w:rsidRDefault="005F61D9" w:rsidP="00FF36AD">
    <w:pPr>
      <w:pStyle w:val="Encabezado"/>
      <w:tabs>
        <w:tab w:val="clear" w:pos="4419"/>
        <w:tab w:val="clear" w:pos="8838"/>
      </w:tabs>
      <w:ind w:left="-567" w:right="-121"/>
      <w:jc w:val="right"/>
      <w:rPr>
        <w:rFonts w:ascii="Arial" w:hAnsi="Arial"/>
        <w:b/>
        <w:color w:val="002060"/>
        <w:sz w:val="26"/>
        <w:lang w:val="pt-BR"/>
      </w:rPr>
    </w:pPr>
    <w:r>
      <w:rPr>
        <w:rFonts w:ascii="Arial" w:hAnsi="Arial"/>
        <w:b/>
        <w:color w:val="002060"/>
        <w:sz w:val="24"/>
      </w:rPr>
      <w:t>C</w:t>
    </w:r>
    <w:r w:rsidRPr="00FE1C98">
      <w:rPr>
        <w:rFonts w:ascii="Arial" w:hAnsi="Arial"/>
        <w:b/>
        <w:color w:val="002060"/>
        <w:sz w:val="24"/>
      </w:rPr>
      <w:t xml:space="preserve">OMUNICADO DE PRENSA NÚM. </w:t>
    </w:r>
    <w:r w:rsidR="00943865">
      <w:rPr>
        <w:rFonts w:ascii="Arial" w:hAnsi="Arial"/>
        <w:b/>
        <w:color w:val="002060"/>
        <w:sz w:val="24"/>
      </w:rPr>
      <w:t>8</w:t>
    </w:r>
    <w:r w:rsidR="00E3266D">
      <w:rPr>
        <w:rFonts w:ascii="Arial" w:hAnsi="Arial"/>
        <w:b/>
        <w:color w:val="002060"/>
        <w:sz w:val="24"/>
      </w:rPr>
      <w:t>8</w:t>
    </w:r>
    <w:r w:rsidR="00943865">
      <w:rPr>
        <w:rFonts w:ascii="Arial" w:hAnsi="Arial"/>
        <w:b/>
        <w:color w:val="002060"/>
        <w:sz w:val="24"/>
      </w:rPr>
      <w:t>/</w:t>
    </w:r>
    <w:r w:rsidR="005572C6" w:rsidRPr="00825863">
      <w:rPr>
        <w:rFonts w:ascii="Arial" w:hAnsi="Arial"/>
        <w:b/>
        <w:color w:val="002060"/>
        <w:sz w:val="24"/>
      </w:rPr>
      <w:t>2</w:t>
    </w:r>
    <w:r w:rsidR="005708F8">
      <w:rPr>
        <w:rFonts w:ascii="Arial" w:hAnsi="Arial"/>
        <w:b/>
        <w:color w:val="002060"/>
        <w:sz w:val="24"/>
      </w:rPr>
      <w:t>2</w:t>
    </w:r>
  </w:p>
  <w:p w14:paraId="12459AF2" w14:textId="64240871" w:rsidR="005F61D9" w:rsidRPr="00FE1C98" w:rsidRDefault="0048366D" w:rsidP="00FF36AD">
    <w:pPr>
      <w:pStyle w:val="Encabezado"/>
      <w:tabs>
        <w:tab w:val="clear" w:pos="4419"/>
        <w:tab w:val="clear" w:pos="8838"/>
      </w:tabs>
      <w:ind w:left="-567" w:right="-121"/>
      <w:jc w:val="right"/>
      <w:rPr>
        <w:rFonts w:ascii="Arial" w:hAnsi="Arial"/>
        <w:b/>
        <w:color w:val="002060"/>
        <w:sz w:val="26"/>
        <w:lang w:val="pt-BR"/>
      </w:rPr>
    </w:pPr>
    <w:r w:rsidRPr="00825863">
      <w:rPr>
        <w:rFonts w:ascii="Arial" w:hAnsi="Arial"/>
        <w:b/>
        <w:color w:val="002060"/>
        <w:sz w:val="24"/>
        <w:lang w:val="pt-BR"/>
      </w:rPr>
      <w:t>1</w:t>
    </w:r>
    <w:r w:rsidR="005708F8">
      <w:rPr>
        <w:rFonts w:ascii="Arial" w:hAnsi="Arial"/>
        <w:b/>
        <w:color w:val="002060"/>
        <w:sz w:val="24"/>
        <w:lang w:val="pt-BR"/>
      </w:rPr>
      <w:t>1</w:t>
    </w:r>
    <w:r w:rsidR="005F61D9" w:rsidRPr="00825863">
      <w:rPr>
        <w:rFonts w:ascii="Arial" w:hAnsi="Arial"/>
        <w:b/>
        <w:color w:val="002060"/>
        <w:sz w:val="24"/>
        <w:lang w:val="pt-BR"/>
      </w:rPr>
      <w:t xml:space="preserve"> DE </w:t>
    </w:r>
    <w:r w:rsidR="005708F8">
      <w:rPr>
        <w:rFonts w:ascii="Arial" w:hAnsi="Arial"/>
        <w:b/>
        <w:color w:val="002060"/>
        <w:sz w:val="24"/>
        <w:lang w:val="pt-BR"/>
      </w:rPr>
      <w:t>FEBRERO</w:t>
    </w:r>
    <w:r w:rsidR="005F61D9" w:rsidRPr="00825863">
      <w:rPr>
        <w:rFonts w:ascii="Arial" w:hAnsi="Arial"/>
        <w:b/>
        <w:color w:val="002060"/>
        <w:sz w:val="24"/>
        <w:lang w:val="pt-BR"/>
      </w:rPr>
      <w:t xml:space="preserve"> DE 20</w:t>
    </w:r>
    <w:r w:rsidR="005572C6" w:rsidRPr="00825863">
      <w:rPr>
        <w:rFonts w:ascii="Arial" w:hAnsi="Arial"/>
        <w:b/>
        <w:color w:val="002060"/>
        <w:sz w:val="24"/>
        <w:lang w:val="pt-BR"/>
      </w:rPr>
      <w:t>2</w:t>
    </w:r>
    <w:r w:rsidR="005708F8">
      <w:rPr>
        <w:rFonts w:ascii="Arial" w:hAnsi="Arial"/>
        <w:b/>
        <w:color w:val="002060"/>
        <w:sz w:val="24"/>
        <w:lang w:val="pt-BR"/>
      </w:rPr>
      <w:t>2</w:t>
    </w:r>
  </w:p>
  <w:p w14:paraId="12459AF4" w14:textId="0379FEDD" w:rsidR="00DA72FF" w:rsidRDefault="005F61D9" w:rsidP="00FF36AD">
    <w:pPr>
      <w:pStyle w:val="Encabezado"/>
      <w:tabs>
        <w:tab w:val="clear" w:pos="4419"/>
        <w:tab w:val="clear" w:pos="8838"/>
      </w:tabs>
      <w:ind w:left="-567" w:right="-121"/>
      <w:jc w:val="right"/>
    </w:pPr>
    <w:r w:rsidRPr="00FE1C98">
      <w:rPr>
        <w:rFonts w:ascii="Arial" w:hAnsi="Arial"/>
        <w:b/>
        <w:color w:val="002060"/>
        <w:sz w:val="24"/>
      </w:rPr>
      <w:t xml:space="preserve">PÁGINA </w:t>
    </w:r>
    <w:r w:rsidRPr="00FE1C98">
      <w:rPr>
        <w:rFonts w:ascii="Arial" w:hAnsi="Arial"/>
        <w:b/>
        <w:color w:val="002060"/>
        <w:sz w:val="24"/>
      </w:rPr>
      <w:fldChar w:fldCharType="begin"/>
    </w:r>
    <w:r w:rsidRPr="00FE1C98">
      <w:rPr>
        <w:rFonts w:ascii="Arial" w:hAnsi="Arial"/>
        <w:b/>
        <w:color w:val="002060"/>
        <w:sz w:val="24"/>
      </w:rPr>
      <w:instrText xml:space="preserve"> PAGE  \* Arabic </w:instrText>
    </w:r>
    <w:r w:rsidRPr="00FE1C98">
      <w:rPr>
        <w:rFonts w:ascii="Arial" w:hAnsi="Arial"/>
        <w:b/>
        <w:color w:val="002060"/>
        <w:sz w:val="24"/>
      </w:rPr>
      <w:fldChar w:fldCharType="separate"/>
    </w:r>
    <w:r w:rsidR="006A7DF8">
      <w:rPr>
        <w:rFonts w:ascii="Arial" w:hAnsi="Arial"/>
        <w:b/>
        <w:noProof/>
        <w:color w:val="002060"/>
        <w:sz w:val="24"/>
      </w:rPr>
      <w:t>3</w:t>
    </w:r>
    <w:r w:rsidRPr="00FE1C98">
      <w:rPr>
        <w:rFonts w:ascii="Arial" w:hAnsi="Arial"/>
        <w:b/>
        <w:color w:val="002060"/>
        <w:sz w:val="24"/>
      </w:rPr>
      <w:fldChar w:fldCharType="end"/>
    </w:r>
    <w:r w:rsidRPr="00FE1C98">
      <w:rPr>
        <w:rFonts w:ascii="Arial" w:hAnsi="Arial"/>
        <w:b/>
        <w:color w:val="002060"/>
        <w:sz w:val="24"/>
      </w:rPr>
      <w:t>/</w:t>
    </w:r>
    <w:r w:rsidR="00170859">
      <w:rPr>
        <w:rFonts w:ascii="Arial" w:hAnsi="Arial"/>
        <w:b/>
        <w:color w:val="002060"/>
        <w:sz w:val="24"/>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59AF7" w14:textId="72BF81E6" w:rsidR="005F61D9" w:rsidRDefault="00FF36AD" w:rsidP="005F61D9">
    <w:pPr>
      <w:pStyle w:val="Encabezado"/>
      <w:tabs>
        <w:tab w:val="clear" w:pos="4419"/>
        <w:tab w:val="clear" w:pos="8838"/>
      </w:tabs>
      <w:ind w:left="-567" w:right="-376"/>
      <w:jc w:val="right"/>
      <w:rPr>
        <w:rFonts w:ascii="Arial" w:hAnsi="Arial"/>
        <w:b/>
        <w:color w:val="002060"/>
        <w:sz w:val="24"/>
      </w:rPr>
    </w:pPr>
    <w:r>
      <w:rPr>
        <w:noProof/>
        <w:lang w:eastAsia="es-MX"/>
      </w:rPr>
      <w:drawing>
        <wp:anchor distT="0" distB="0" distL="114300" distR="114300" simplePos="0" relativeHeight="251661312" behindDoc="0" locked="0" layoutInCell="1" allowOverlap="1" wp14:anchorId="12459AFC" wp14:editId="6CA808F9">
          <wp:simplePos x="0" y="0"/>
          <wp:positionH relativeFrom="margin">
            <wp:posOffset>2658110</wp:posOffset>
          </wp:positionH>
          <wp:positionV relativeFrom="margin">
            <wp:posOffset>-876300</wp:posOffset>
          </wp:positionV>
          <wp:extent cx="795020" cy="825500"/>
          <wp:effectExtent l="0" t="0" r="508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991" t="151" r="1991" b="151"/>
                  <a:stretch/>
                </pic:blipFill>
                <pic:spPr bwMode="auto">
                  <a:xfrm>
                    <a:off x="0" y="0"/>
                    <a:ext cx="795020" cy="825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459AF8" w14:textId="1E7E6A44" w:rsidR="005F61D9" w:rsidRPr="005F61D9" w:rsidRDefault="005F61D9" w:rsidP="005F61D9">
    <w:pPr>
      <w:pStyle w:val="Encabezado"/>
      <w:tabs>
        <w:tab w:val="clear" w:pos="4419"/>
        <w:tab w:val="clear" w:pos="8838"/>
      </w:tabs>
      <w:ind w:left="-567" w:right="-376"/>
      <w:jc w:val="right"/>
      <w:rPr>
        <w:rFonts w:ascii="Arial" w:hAnsi="Arial"/>
        <w:b/>
        <w:color w:val="002060"/>
        <w:sz w:val="26"/>
        <w:lang w:val="pt-BR"/>
      </w:rPr>
    </w:pPr>
  </w:p>
  <w:p w14:paraId="12459AF9" w14:textId="77777777" w:rsidR="005F61D9" w:rsidRDefault="005F61D9" w:rsidP="005F61D9">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41A67"/>
    <w:multiLevelType w:val="hybridMultilevel"/>
    <w:tmpl w:val="4EFC9E5C"/>
    <w:lvl w:ilvl="0" w:tplc="CD7240F6">
      <w:start w:val="1"/>
      <w:numFmt w:val="bullet"/>
      <w:lvlText w:val="•"/>
      <w:lvlJc w:val="left"/>
      <w:pPr>
        <w:tabs>
          <w:tab w:val="num" w:pos="720"/>
        </w:tabs>
        <w:ind w:left="720" w:hanging="360"/>
      </w:pPr>
      <w:rPr>
        <w:rFonts w:ascii="Arial" w:hAnsi="Arial" w:hint="default"/>
      </w:rPr>
    </w:lvl>
    <w:lvl w:ilvl="1" w:tplc="A014A2DA" w:tentative="1">
      <w:start w:val="1"/>
      <w:numFmt w:val="bullet"/>
      <w:lvlText w:val="•"/>
      <w:lvlJc w:val="left"/>
      <w:pPr>
        <w:tabs>
          <w:tab w:val="num" w:pos="1440"/>
        </w:tabs>
        <w:ind w:left="1440" w:hanging="360"/>
      </w:pPr>
      <w:rPr>
        <w:rFonts w:ascii="Arial" w:hAnsi="Arial" w:hint="default"/>
      </w:rPr>
    </w:lvl>
    <w:lvl w:ilvl="2" w:tplc="FF286A84" w:tentative="1">
      <w:start w:val="1"/>
      <w:numFmt w:val="bullet"/>
      <w:lvlText w:val="•"/>
      <w:lvlJc w:val="left"/>
      <w:pPr>
        <w:tabs>
          <w:tab w:val="num" w:pos="2160"/>
        </w:tabs>
        <w:ind w:left="2160" w:hanging="360"/>
      </w:pPr>
      <w:rPr>
        <w:rFonts w:ascii="Arial" w:hAnsi="Arial" w:hint="default"/>
      </w:rPr>
    </w:lvl>
    <w:lvl w:ilvl="3" w:tplc="DB3632FE" w:tentative="1">
      <w:start w:val="1"/>
      <w:numFmt w:val="bullet"/>
      <w:lvlText w:val="•"/>
      <w:lvlJc w:val="left"/>
      <w:pPr>
        <w:tabs>
          <w:tab w:val="num" w:pos="2880"/>
        </w:tabs>
        <w:ind w:left="2880" w:hanging="360"/>
      </w:pPr>
      <w:rPr>
        <w:rFonts w:ascii="Arial" w:hAnsi="Arial" w:hint="default"/>
      </w:rPr>
    </w:lvl>
    <w:lvl w:ilvl="4" w:tplc="8438E4CC" w:tentative="1">
      <w:start w:val="1"/>
      <w:numFmt w:val="bullet"/>
      <w:lvlText w:val="•"/>
      <w:lvlJc w:val="left"/>
      <w:pPr>
        <w:tabs>
          <w:tab w:val="num" w:pos="3600"/>
        </w:tabs>
        <w:ind w:left="3600" w:hanging="360"/>
      </w:pPr>
      <w:rPr>
        <w:rFonts w:ascii="Arial" w:hAnsi="Arial" w:hint="default"/>
      </w:rPr>
    </w:lvl>
    <w:lvl w:ilvl="5" w:tplc="1A30248A" w:tentative="1">
      <w:start w:val="1"/>
      <w:numFmt w:val="bullet"/>
      <w:lvlText w:val="•"/>
      <w:lvlJc w:val="left"/>
      <w:pPr>
        <w:tabs>
          <w:tab w:val="num" w:pos="4320"/>
        </w:tabs>
        <w:ind w:left="4320" w:hanging="360"/>
      </w:pPr>
      <w:rPr>
        <w:rFonts w:ascii="Arial" w:hAnsi="Arial" w:hint="default"/>
      </w:rPr>
    </w:lvl>
    <w:lvl w:ilvl="6" w:tplc="4510D95E" w:tentative="1">
      <w:start w:val="1"/>
      <w:numFmt w:val="bullet"/>
      <w:lvlText w:val="•"/>
      <w:lvlJc w:val="left"/>
      <w:pPr>
        <w:tabs>
          <w:tab w:val="num" w:pos="5040"/>
        </w:tabs>
        <w:ind w:left="5040" w:hanging="360"/>
      </w:pPr>
      <w:rPr>
        <w:rFonts w:ascii="Arial" w:hAnsi="Arial" w:hint="default"/>
      </w:rPr>
    </w:lvl>
    <w:lvl w:ilvl="7" w:tplc="71CACC94" w:tentative="1">
      <w:start w:val="1"/>
      <w:numFmt w:val="bullet"/>
      <w:lvlText w:val="•"/>
      <w:lvlJc w:val="left"/>
      <w:pPr>
        <w:tabs>
          <w:tab w:val="num" w:pos="5760"/>
        </w:tabs>
        <w:ind w:left="5760" w:hanging="360"/>
      </w:pPr>
      <w:rPr>
        <w:rFonts w:ascii="Arial" w:hAnsi="Arial" w:hint="default"/>
      </w:rPr>
    </w:lvl>
    <w:lvl w:ilvl="8" w:tplc="ECDC7AB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3621352"/>
    <w:multiLevelType w:val="hybridMultilevel"/>
    <w:tmpl w:val="D5746BE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8754B71"/>
    <w:multiLevelType w:val="hybridMultilevel"/>
    <w:tmpl w:val="D432109E"/>
    <w:lvl w:ilvl="0" w:tplc="EE667BEE">
      <w:start w:val="1"/>
      <w:numFmt w:val="bullet"/>
      <w:lvlText w:val="•"/>
      <w:lvlJc w:val="left"/>
      <w:pPr>
        <w:tabs>
          <w:tab w:val="num" w:pos="720"/>
        </w:tabs>
        <w:ind w:left="720" w:hanging="360"/>
      </w:pPr>
      <w:rPr>
        <w:rFonts w:ascii="Arial" w:hAnsi="Arial" w:hint="default"/>
      </w:rPr>
    </w:lvl>
    <w:lvl w:ilvl="1" w:tplc="C3865F14">
      <w:start w:val="1"/>
      <w:numFmt w:val="bullet"/>
      <w:lvlText w:val="•"/>
      <w:lvlJc w:val="left"/>
      <w:pPr>
        <w:tabs>
          <w:tab w:val="num" w:pos="1440"/>
        </w:tabs>
        <w:ind w:left="1440" w:hanging="360"/>
      </w:pPr>
      <w:rPr>
        <w:rFonts w:ascii="Arial" w:hAnsi="Arial" w:hint="default"/>
      </w:rPr>
    </w:lvl>
    <w:lvl w:ilvl="2" w:tplc="E9642248" w:tentative="1">
      <w:start w:val="1"/>
      <w:numFmt w:val="bullet"/>
      <w:lvlText w:val="•"/>
      <w:lvlJc w:val="left"/>
      <w:pPr>
        <w:tabs>
          <w:tab w:val="num" w:pos="2160"/>
        </w:tabs>
        <w:ind w:left="2160" w:hanging="360"/>
      </w:pPr>
      <w:rPr>
        <w:rFonts w:ascii="Arial" w:hAnsi="Arial" w:hint="default"/>
      </w:rPr>
    </w:lvl>
    <w:lvl w:ilvl="3" w:tplc="AB72D5F0" w:tentative="1">
      <w:start w:val="1"/>
      <w:numFmt w:val="bullet"/>
      <w:lvlText w:val="•"/>
      <w:lvlJc w:val="left"/>
      <w:pPr>
        <w:tabs>
          <w:tab w:val="num" w:pos="2880"/>
        </w:tabs>
        <w:ind w:left="2880" w:hanging="360"/>
      </w:pPr>
      <w:rPr>
        <w:rFonts w:ascii="Arial" w:hAnsi="Arial" w:hint="default"/>
      </w:rPr>
    </w:lvl>
    <w:lvl w:ilvl="4" w:tplc="E6BC5518" w:tentative="1">
      <w:start w:val="1"/>
      <w:numFmt w:val="bullet"/>
      <w:lvlText w:val="•"/>
      <w:lvlJc w:val="left"/>
      <w:pPr>
        <w:tabs>
          <w:tab w:val="num" w:pos="3600"/>
        </w:tabs>
        <w:ind w:left="3600" w:hanging="360"/>
      </w:pPr>
      <w:rPr>
        <w:rFonts w:ascii="Arial" w:hAnsi="Arial" w:hint="default"/>
      </w:rPr>
    </w:lvl>
    <w:lvl w:ilvl="5" w:tplc="DE3AD73C" w:tentative="1">
      <w:start w:val="1"/>
      <w:numFmt w:val="bullet"/>
      <w:lvlText w:val="•"/>
      <w:lvlJc w:val="left"/>
      <w:pPr>
        <w:tabs>
          <w:tab w:val="num" w:pos="4320"/>
        </w:tabs>
        <w:ind w:left="4320" w:hanging="360"/>
      </w:pPr>
      <w:rPr>
        <w:rFonts w:ascii="Arial" w:hAnsi="Arial" w:hint="default"/>
      </w:rPr>
    </w:lvl>
    <w:lvl w:ilvl="6" w:tplc="D7CC2DD4" w:tentative="1">
      <w:start w:val="1"/>
      <w:numFmt w:val="bullet"/>
      <w:lvlText w:val="•"/>
      <w:lvlJc w:val="left"/>
      <w:pPr>
        <w:tabs>
          <w:tab w:val="num" w:pos="5040"/>
        </w:tabs>
        <w:ind w:left="5040" w:hanging="360"/>
      </w:pPr>
      <w:rPr>
        <w:rFonts w:ascii="Arial" w:hAnsi="Arial" w:hint="default"/>
      </w:rPr>
    </w:lvl>
    <w:lvl w:ilvl="7" w:tplc="6C90330E" w:tentative="1">
      <w:start w:val="1"/>
      <w:numFmt w:val="bullet"/>
      <w:lvlText w:val="•"/>
      <w:lvlJc w:val="left"/>
      <w:pPr>
        <w:tabs>
          <w:tab w:val="num" w:pos="5760"/>
        </w:tabs>
        <w:ind w:left="5760" w:hanging="360"/>
      </w:pPr>
      <w:rPr>
        <w:rFonts w:ascii="Arial" w:hAnsi="Arial" w:hint="default"/>
      </w:rPr>
    </w:lvl>
    <w:lvl w:ilvl="8" w:tplc="208CE27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E02492E"/>
    <w:multiLevelType w:val="hybridMultilevel"/>
    <w:tmpl w:val="74E886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0D928D9"/>
    <w:multiLevelType w:val="hybridMultilevel"/>
    <w:tmpl w:val="94B200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E1E4CDD"/>
    <w:multiLevelType w:val="hybridMultilevel"/>
    <w:tmpl w:val="D924F8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3FA170A"/>
    <w:multiLevelType w:val="hybridMultilevel"/>
    <w:tmpl w:val="18DE3C46"/>
    <w:lvl w:ilvl="0" w:tplc="22321E8A">
      <w:start w:val="1"/>
      <w:numFmt w:val="bullet"/>
      <w:lvlText w:val=""/>
      <w:lvlJc w:val="left"/>
      <w:pPr>
        <w:tabs>
          <w:tab w:val="num" w:pos="1571"/>
        </w:tabs>
        <w:ind w:left="1571" w:hanging="360"/>
      </w:pPr>
      <w:rPr>
        <w:rFonts w:ascii="Symbol" w:hAnsi="Symbol" w:hint="default"/>
      </w:rPr>
    </w:lvl>
    <w:lvl w:ilvl="1" w:tplc="F60A8720">
      <w:start w:val="1"/>
      <w:numFmt w:val="bullet"/>
      <w:lvlText w:val="o"/>
      <w:lvlJc w:val="left"/>
      <w:pPr>
        <w:tabs>
          <w:tab w:val="num" w:pos="2291"/>
        </w:tabs>
        <w:ind w:left="2291" w:hanging="360"/>
      </w:pPr>
      <w:rPr>
        <w:rFonts w:ascii="Courier New" w:hAnsi="Courier New" w:cs="Courier New" w:hint="default"/>
      </w:rPr>
    </w:lvl>
    <w:lvl w:ilvl="2" w:tplc="3BA0C432" w:tentative="1">
      <w:start w:val="1"/>
      <w:numFmt w:val="bullet"/>
      <w:lvlText w:val=""/>
      <w:lvlJc w:val="left"/>
      <w:pPr>
        <w:tabs>
          <w:tab w:val="num" w:pos="3011"/>
        </w:tabs>
        <w:ind w:left="3011" w:hanging="360"/>
      </w:pPr>
      <w:rPr>
        <w:rFonts w:ascii="Wingdings" w:hAnsi="Wingdings" w:hint="default"/>
      </w:rPr>
    </w:lvl>
    <w:lvl w:ilvl="3" w:tplc="6568CA94" w:tentative="1">
      <w:start w:val="1"/>
      <w:numFmt w:val="bullet"/>
      <w:lvlText w:val=""/>
      <w:lvlJc w:val="left"/>
      <w:pPr>
        <w:tabs>
          <w:tab w:val="num" w:pos="3731"/>
        </w:tabs>
        <w:ind w:left="3731" w:hanging="360"/>
      </w:pPr>
      <w:rPr>
        <w:rFonts w:ascii="Symbol" w:hAnsi="Symbol" w:hint="default"/>
      </w:rPr>
    </w:lvl>
    <w:lvl w:ilvl="4" w:tplc="424CED1A" w:tentative="1">
      <w:start w:val="1"/>
      <w:numFmt w:val="bullet"/>
      <w:lvlText w:val="o"/>
      <w:lvlJc w:val="left"/>
      <w:pPr>
        <w:tabs>
          <w:tab w:val="num" w:pos="4451"/>
        </w:tabs>
        <w:ind w:left="4451" w:hanging="360"/>
      </w:pPr>
      <w:rPr>
        <w:rFonts w:ascii="Courier New" w:hAnsi="Courier New" w:cs="Courier New" w:hint="default"/>
      </w:rPr>
    </w:lvl>
    <w:lvl w:ilvl="5" w:tplc="8EA6EF56" w:tentative="1">
      <w:start w:val="1"/>
      <w:numFmt w:val="bullet"/>
      <w:lvlText w:val=""/>
      <w:lvlJc w:val="left"/>
      <w:pPr>
        <w:tabs>
          <w:tab w:val="num" w:pos="5171"/>
        </w:tabs>
        <w:ind w:left="5171" w:hanging="360"/>
      </w:pPr>
      <w:rPr>
        <w:rFonts w:ascii="Wingdings" w:hAnsi="Wingdings" w:hint="default"/>
      </w:rPr>
    </w:lvl>
    <w:lvl w:ilvl="6" w:tplc="5BD803AC" w:tentative="1">
      <w:start w:val="1"/>
      <w:numFmt w:val="bullet"/>
      <w:lvlText w:val=""/>
      <w:lvlJc w:val="left"/>
      <w:pPr>
        <w:tabs>
          <w:tab w:val="num" w:pos="5891"/>
        </w:tabs>
        <w:ind w:left="5891" w:hanging="360"/>
      </w:pPr>
      <w:rPr>
        <w:rFonts w:ascii="Symbol" w:hAnsi="Symbol" w:hint="default"/>
      </w:rPr>
    </w:lvl>
    <w:lvl w:ilvl="7" w:tplc="33DE4832" w:tentative="1">
      <w:start w:val="1"/>
      <w:numFmt w:val="bullet"/>
      <w:lvlText w:val="o"/>
      <w:lvlJc w:val="left"/>
      <w:pPr>
        <w:tabs>
          <w:tab w:val="num" w:pos="6611"/>
        </w:tabs>
        <w:ind w:left="6611" w:hanging="360"/>
      </w:pPr>
      <w:rPr>
        <w:rFonts w:ascii="Courier New" w:hAnsi="Courier New" w:cs="Courier New" w:hint="default"/>
      </w:rPr>
    </w:lvl>
    <w:lvl w:ilvl="8" w:tplc="F662956E"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79D64B8A"/>
    <w:multiLevelType w:val="hybridMultilevel"/>
    <w:tmpl w:val="83CEFC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
  </w:num>
  <w:num w:numId="4">
    <w:abstractNumId w:val="5"/>
  </w:num>
  <w:num w:numId="5">
    <w:abstractNumId w:val="7"/>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BF9"/>
    <w:rsid w:val="0002464E"/>
    <w:rsid w:val="0002480B"/>
    <w:rsid w:val="000317E3"/>
    <w:rsid w:val="00031AB8"/>
    <w:rsid w:val="00034481"/>
    <w:rsid w:val="00042360"/>
    <w:rsid w:val="00042E5E"/>
    <w:rsid w:val="000459D7"/>
    <w:rsid w:val="00053992"/>
    <w:rsid w:val="00053F1E"/>
    <w:rsid w:val="0005468B"/>
    <w:rsid w:val="00056575"/>
    <w:rsid w:val="0005671D"/>
    <w:rsid w:val="00060D87"/>
    <w:rsid w:val="00070669"/>
    <w:rsid w:val="00072983"/>
    <w:rsid w:val="00074511"/>
    <w:rsid w:val="00075613"/>
    <w:rsid w:val="000770DF"/>
    <w:rsid w:val="00086469"/>
    <w:rsid w:val="00091FCD"/>
    <w:rsid w:val="00094358"/>
    <w:rsid w:val="00094D36"/>
    <w:rsid w:val="000977C5"/>
    <w:rsid w:val="00097F36"/>
    <w:rsid w:val="000A4918"/>
    <w:rsid w:val="000B0BA9"/>
    <w:rsid w:val="000B2308"/>
    <w:rsid w:val="000C0AD1"/>
    <w:rsid w:val="000C36F3"/>
    <w:rsid w:val="000C47AD"/>
    <w:rsid w:val="000C7D16"/>
    <w:rsid w:val="000D050D"/>
    <w:rsid w:val="000D2768"/>
    <w:rsid w:val="000D2A73"/>
    <w:rsid w:val="000D7642"/>
    <w:rsid w:val="000E4ACA"/>
    <w:rsid w:val="000F0B2F"/>
    <w:rsid w:val="000F189D"/>
    <w:rsid w:val="000F6D19"/>
    <w:rsid w:val="00112F52"/>
    <w:rsid w:val="00113CFC"/>
    <w:rsid w:val="00115828"/>
    <w:rsid w:val="001161B6"/>
    <w:rsid w:val="00116604"/>
    <w:rsid w:val="001238F9"/>
    <w:rsid w:val="001358A2"/>
    <w:rsid w:val="00140EE1"/>
    <w:rsid w:val="0014691C"/>
    <w:rsid w:val="00146A35"/>
    <w:rsid w:val="00161279"/>
    <w:rsid w:val="00163E4D"/>
    <w:rsid w:val="00164750"/>
    <w:rsid w:val="001677FA"/>
    <w:rsid w:val="00170651"/>
    <w:rsid w:val="00170859"/>
    <w:rsid w:val="00172D75"/>
    <w:rsid w:val="0017586A"/>
    <w:rsid w:val="00181950"/>
    <w:rsid w:val="00193263"/>
    <w:rsid w:val="001944DA"/>
    <w:rsid w:val="00194C8D"/>
    <w:rsid w:val="00195226"/>
    <w:rsid w:val="001A4A03"/>
    <w:rsid w:val="001A5AAB"/>
    <w:rsid w:val="001A7D7E"/>
    <w:rsid w:val="001B1C8A"/>
    <w:rsid w:val="001B2EAF"/>
    <w:rsid w:val="001B78F3"/>
    <w:rsid w:val="001C061A"/>
    <w:rsid w:val="001C3409"/>
    <w:rsid w:val="001C391C"/>
    <w:rsid w:val="001C5661"/>
    <w:rsid w:val="001C72E3"/>
    <w:rsid w:val="001D4737"/>
    <w:rsid w:val="001D50D1"/>
    <w:rsid w:val="001D5D36"/>
    <w:rsid w:val="001E0C18"/>
    <w:rsid w:val="001E24C8"/>
    <w:rsid w:val="001E5255"/>
    <w:rsid w:val="001F698E"/>
    <w:rsid w:val="0020300F"/>
    <w:rsid w:val="0020493C"/>
    <w:rsid w:val="00205247"/>
    <w:rsid w:val="00207A87"/>
    <w:rsid w:val="00216EAB"/>
    <w:rsid w:val="00226360"/>
    <w:rsid w:val="0023240C"/>
    <w:rsid w:val="002356F2"/>
    <w:rsid w:val="0023664E"/>
    <w:rsid w:val="00241247"/>
    <w:rsid w:val="0024375E"/>
    <w:rsid w:val="00243DC8"/>
    <w:rsid w:val="002478D0"/>
    <w:rsid w:val="00250CC6"/>
    <w:rsid w:val="00253B6D"/>
    <w:rsid w:val="00254842"/>
    <w:rsid w:val="00261B2D"/>
    <w:rsid w:val="002641C1"/>
    <w:rsid w:val="00275F6E"/>
    <w:rsid w:val="00281156"/>
    <w:rsid w:val="002851B5"/>
    <w:rsid w:val="002908F2"/>
    <w:rsid w:val="00294777"/>
    <w:rsid w:val="0029649D"/>
    <w:rsid w:val="002A4928"/>
    <w:rsid w:val="002B05DB"/>
    <w:rsid w:val="002B167C"/>
    <w:rsid w:val="002B6378"/>
    <w:rsid w:val="002C02B2"/>
    <w:rsid w:val="002C4090"/>
    <w:rsid w:val="002C4F01"/>
    <w:rsid w:val="002D2EB6"/>
    <w:rsid w:val="002D389E"/>
    <w:rsid w:val="002D5B16"/>
    <w:rsid w:val="002E0BFE"/>
    <w:rsid w:val="002E3464"/>
    <w:rsid w:val="002E3DA5"/>
    <w:rsid w:val="002E71A0"/>
    <w:rsid w:val="002F1F64"/>
    <w:rsid w:val="002F2B63"/>
    <w:rsid w:val="002F6792"/>
    <w:rsid w:val="003076BA"/>
    <w:rsid w:val="00310878"/>
    <w:rsid w:val="00310BBD"/>
    <w:rsid w:val="00312524"/>
    <w:rsid w:val="00315992"/>
    <w:rsid w:val="00336570"/>
    <w:rsid w:val="00343E71"/>
    <w:rsid w:val="0035652F"/>
    <w:rsid w:val="00362525"/>
    <w:rsid w:val="00364CEB"/>
    <w:rsid w:val="0036589D"/>
    <w:rsid w:val="003668AB"/>
    <w:rsid w:val="00374F26"/>
    <w:rsid w:val="00376283"/>
    <w:rsid w:val="00377DB9"/>
    <w:rsid w:val="00380802"/>
    <w:rsid w:val="003860FD"/>
    <w:rsid w:val="00386133"/>
    <w:rsid w:val="0038672C"/>
    <w:rsid w:val="00392512"/>
    <w:rsid w:val="003A19AF"/>
    <w:rsid w:val="003B72E3"/>
    <w:rsid w:val="003C3186"/>
    <w:rsid w:val="003C38D4"/>
    <w:rsid w:val="003C3D6C"/>
    <w:rsid w:val="003C7F75"/>
    <w:rsid w:val="003D1541"/>
    <w:rsid w:val="003D1E5A"/>
    <w:rsid w:val="003D4581"/>
    <w:rsid w:val="003D5B75"/>
    <w:rsid w:val="003D60CA"/>
    <w:rsid w:val="003D6E00"/>
    <w:rsid w:val="003D70A3"/>
    <w:rsid w:val="003E1666"/>
    <w:rsid w:val="003E55A9"/>
    <w:rsid w:val="003E65CD"/>
    <w:rsid w:val="003F011E"/>
    <w:rsid w:val="003F0B78"/>
    <w:rsid w:val="003F603C"/>
    <w:rsid w:val="003F6FC9"/>
    <w:rsid w:val="00400201"/>
    <w:rsid w:val="00402CE5"/>
    <w:rsid w:val="00411152"/>
    <w:rsid w:val="0042414A"/>
    <w:rsid w:val="004253E4"/>
    <w:rsid w:val="0042573E"/>
    <w:rsid w:val="00426936"/>
    <w:rsid w:val="00431145"/>
    <w:rsid w:val="00442756"/>
    <w:rsid w:val="004428DD"/>
    <w:rsid w:val="00455DF5"/>
    <w:rsid w:val="00460674"/>
    <w:rsid w:val="00462490"/>
    <w:rsid w:val="00466010"/>
    <w:rsid w:val="004671AD"/>
    <w:rsid w:val="004751D1"/>
    <w:rsid w:val="004804B9"/>
    <w:rsid w:val="00480E15"/>
    <w:rsid w:val="0048366D"/>
    <w:rsid w:val="00490D40"/>
    <w:rsid w:val="004919F9"/>
    <w:rsid w:val="00493BD5"/>
    <w:rsid w:val="004944AC"/>
    <w:rsid w:val="004A5A67"/>
    <w:rsid w:val="004A7B2B"/>
    <w:rsid w:val="004B71E9"/>
    <w:rsid w:val="004C13A6"/>
    <w:rsid w:val="004C1AD0"/>
    <w:rsid w:val="004C440E"/>
    <w:rsid w:val="004C45A4"/>
    <w:rsid w:val="004C796E"/>
    <w:rsid w:val="004D74D8"/>
    <w:rsid w:val="004E082A"/>
    <w:rsid w:val="004E0C54"/>
    <w:rsid w:val="004E18D5"/>
    <w:rsid w:val="004E4030"/>
    <w:rsid w:val="004F38CD"/>
    <w:rsid w:val="004F470B"/>
    <w:rsid w:val="004F4E0B"/>
    <w:rsid w:val="005070BD"/>
    <w:rsid w:val="00514091"/>
    <w:rsid w:val="00522987"/>
    <w:rsid w:val="00523FA3"/>
    <w:rsid w:val="005265C6"/>
    <w:rsid w:val="005303E0"/>
    <w:rsid w:val="00534138"/>
    <w:rsid w:val="00535273"/>
    <w:rsid w:val="005367A5"/>
    <w:rsid w:val="00536F8E"/>
    <w:rsid w:val="00540833"/>
    <w:rsid w:val="005442EA"/>
    <w:rsid w:val="005462B0"/>
    <w:rsid w:val="0054654D"/>
    <w:rsid w:val="005533D3"/>
    <w:rsid w:val="00554917"/>
    <w:rsid w:val="005572C6"/>
    <w:rsid w:val="0056175D"/>
    <w:rsid w:val="00562E22"/>
    <w:rsid w:val="005708F8"/>
    <w:rsid w:val="00570D1D"/>
    <w:rsid w:val="00573F3E"/>
    <w:rsid w:val="0057663E"/>
    <w:rsid w:val="005769D9"/>
    <w:rsid w:val="00582323"/>
    <w:rsid w:val="005831A4"/>
    <w:rsid w:val="0058396F"/>
    <w:rsid w:val="00587B5D"/>
    <w:rsid w:val="00596EF2"/>
    <w:rsid w:val="005A4A29"/>
    <w:rsid w:val="005A4CA2"/>
    <w:rsid w:val="005A66ED"/>
    <w:rsid w:val="005A6E32"/>
    <w:rsid w:val="005B1AB9"/>
    <w:rsid w:val="005B7610"/>
    <w:rsid w:val="005C0107"/>
    <w:rsid w:val="005C6661"/>
    <w:rsid w:val="005D09DF"/>
    <w:rsid w:val="005D3C62"/>
    <w:rsid w:val="005D60D4"/>
    <w:rsid w:val="005E11F7"/>
    <w:rsid w:val="005E1E26"/>
    <w:rsid w:val="005E4594"/>
    <w:rsid w:val="005E7223"/>
    <w:rsid w:val="005E7F8C"/>
    <w:rsid w:val="005F0C62"/>
    <w:rsid w:val="005F61D9"/>
    <w:rsid w:val="0060085D"/>
    <w:rsid w:val="00601D44"/>
    <w:rsid w:val="00606A18"/>
    <w:rsid w:val="0060765E"/>
    <w:rsid w:val="00610D36"/>
    <w:rsid w:val="00610E66"/>
    <w:rsid w:val="00610FC6"/>
    <w:rsid w:val="00617898"/>
    <w:rsid w:val="0062588A"/>
    <w:rsid w:val="0063044F"/>
    <w:rsid w:val="00631E87"/>
    <w:rsid w:val="006321C1"/>
    <w:rsid w:val="00632896"/>
    <w:rsid w:val="006332CD"/>
    <w:rsid w:val="00634DAD"/>
    <w:rsid w:val="0064526D"/>
    <w:rsid w:val="006529D8"/>
    <w:rsid w:val="006531FC"/>
    <w:rsid w:val="006568E7"/>
    <w:rsid w:val="00661241"/>
    <w:rsid w:val="006633A6"/>
    <w:rsid w:val="00663A4B"/>
    <w:rsid w:val="00663AF5"/>
    <w:rsid w:val="0066762D"/>
    <w:rsid w:val="00667FDB"/>
    <w:rsid w:val="00676B4C"/>
    <w:rsid w:val="00676E05"/>
    <w:rsid w:val="0068385D"/>
    <w:rsid w:val="00683D1C"/>
    <w:rsid w:val="00690ECE"/>
    <w:rsid w:val="006943E7"/>
    <w:rsid w:val="006960EC"/>
    <w:rsid w:val="006A56EA"/>
    <w:rsid w:val="006A57E2"/>
    <w:rsid w:val="006A6ABB"/>
    <w:rsid w:val="006A73D2"/>
    <w:rsid w:val="006A7DF8"/>
    <w:rsid w:val="006B3E08"/>
    <w:rsid w:val="006C1E40"/>
    <w:rsid w:val="006C2642"/>
    <w:rsid w:val="006C2CD9"/>
    <w:rsid w:val="006D0DA4"/>
    <w:rsid w:val="006D0FFF"/>
    <w:rsid w:val="006D4A2B"/>
    <w:rsid w:val="006D5620"/>
    <w:rsid w:val="006D6BAB"/>
    <w:rsid w:val="006D6F22"/>
    <w:rsid w:val="006E262B"/>
    <w:rsid w:val="006E2690"/>
    <w:rsid w:val="006E3538"/>
    <w:rsid w:val="006F2A03"/>
    <w:rsid w:val="006F33AB"/>
    <w:rsid w:val="006F6FCF"/>
    <w:rsid w:val="006F7FC8"/>
    <w:rsid w:val="00700D8C"/>
    <w:rsid w:val="00703609"/>
    <w:rsid w:val="00704882"/>
    <w:rsid w:val="007048A3"/>
    <w:rsid w:val="00716E68"/>
    <w:rsid w:val="007322BF"/>
    <w:rsid w:val="0073480B"/>
    <w:rsid w:val="00736D79"/>
    <w:rsid w:val="007373B7"/>
    <w:rsid w:val="00744039"/>
    <w:rsid w:val="00750BC7"/>
    <w:rsid w:val="00751660"/>
    <w:rsid w:val="00751C0A"/>
    <w:rsid w:val="00752983"/>
    <w:rsid w:val="0075363D"/>
    <w:rsid w:val="00753776"/>
    <w:rsid w:val="00757C1A"/>
    <w:rsid w:val="00757E66"/>
    <w:rsid w:val="007609E0"/>
    <w:rsid w:val="00760CDF"/>
    <w:rsid w:val="00760EB4"/>
    <w:rsid w:val="00762ED6"/>
    <w:rsid w:val="007704C2"/>
    <w:rsid w:val="00771505"/>
    <w:rsid w:val="0077254F"/>
    <w:rsid w:val="007821B5"/>
    <w:rsid w:val="00783C35"/>
    <w:rsid w:val="007861BD"/>
    <w:rsid w:val="00790BFD"/>
    <w:rsid w:val="00790C2A"/>
    <w:rsid w:val="00796838"/>
    <w:rsid w:val="00797502"/>
    <w:rsid w:val="00797C5B"/>
    <w:rsid w:val="007A6C49"/>
    <w:rsid w:val="007B446B"/>
    <w:rsid w:val="007B7F9A"/>
    <w:rsid w:val="007C2F30"/>
    <w:rsid w:val="007C410E"/>
    <w:rsid w:val="007C6E0A"/>
    <w:rsid w:val="007C71F9"/>
    <w:rsid w:val="007D36CF"/>
    <w:rsid w:val="007D7AC0"/>
    <w:rsid w:val="007D7EAE"/>
    <w:rsid w:val="007E7FF1"/>
    <w:rsid w:val="007F1C9F"/>
    <w:rsid w:val="007F4CE4"/>
    <w:rsid w:val="007F520D"/>
    <w:rsid w:val="00802301"/>
    <w:rsid w:val="00813423"/>
    <w:rsid w:val="0081455C"/>
    <w:rsid w:val="00816456"/>
    <w:rsid w:val="00820542"/>
    <w:rsid w:val="008222E4"/>
    <w:rsid w:val="0082303D"/>
    <w:rsid w:val="00824D3D"/>
    <w:rsid w:val="008256FB"/>
    <w:rsid w:val="00825863"/>
    <w:rsid w:val="00826BA7"/>
    <w:rsid w:val="00830374"/>
    <w:rsid w:val="008339E7"/>
    <w:rsid w:val="008407C5"/>
    <w:rsid w:val="00845F2D"/>
    <w:rsid w:val="008463AA"/>
    <w:rsid w:val="0084784F"/>
    <w:rsid w:val="008526BD"/>
    <w:rsid w:val="00852D5F"/>
    <w:rsid w:val="00853FB6"/>
    <w:rsid w:val="00856A3F"/>
    <w:rsid w:val="00861C06"/>
    <w:rsid w:val="00863394"/>
    <w:rsid w:val="008672D1"/>
    <w:rsid w:val="00867D2C"/>
    <w:rsid w:val="008751F7"/>
    <w:rsid w:val="00875D65"/>
    <w:rsid w:val="00882202"/>
    <w:rsid w:val="008846C8"/>
    <w:rsid w:val="00893235"/>
    <w:rsid w:val="00895647"/>
    <w:rsid w:val="00896A28"/>
    <w:rsid w:val="008A181D"/>
    <w:rsid w:val="008A5FA4"/>
    <w:rsid w:val="008B11EB"/>
    <w:rsid w:val="008B43C7"/>
    <w:rsid w:val="008C10AF"/>
    <w:rsid w:val="008C1A24"/>
    <w:rsid w:val="008C200A"/>
    <w:rsid w:val="008C2F5A"/>
    <w:rsid w:val="008D58DF"/>
    <w:rsid w:val="008D58EB"/>
    <w:rsid w:val="008D6B46"/>
    <w:rsid w:val="008D7E92"/>
    <w:rsid w:val="008E696F"/>
    <w:rsid w:val="008E6A97"/>
    <w:rsid w:val="008E71D9"/>
    <w:rsid w:val="008E7EFD"/>
    <w:rsid w:val="008F05DE"/>
    <w:rsid w:val="008F317C"/>
    <w:rsid w:val="008F419A"/>
    <w:rsid w:val="008F4B1A"/>
    <w:rsid w:val="008F56D6"/>
    <w:rsid w:val="00900C00"/>
    <w:rsid w:val="00901A93"/>
    <w:rsid w:val="00905651"/>
    <w:rsid w:val="00910A4F"/>
    <w:rsid w:val="00913038"/>
    <w:rsid w:val="009155D2"/>
    <w:rsid w:val="00915A9C"/>
    <w:rsid w:val="00915E04"/>
    <w:rsid w:val="00920944"/>
    <w:rsid w:val="00920A59"/>
    <w:rsid w:val="00922F1F"/>
    <w:rsid w:val="0092656F"/>
    <w:rsid w:val="00931DF4"/>
    <w:rsid w:val="00932A49"/>
    <w:rsid w:val="00932EAE"/>
    <w:rsid w:val="009343A2"/>
    <w:rsid w:val="00943865"/>
    <w:rsid w:val="00943E6F"/>
    <w:rsid w:val="00946452"/>
    <w:rsid w:val="00954796"/>
    <w:rsid w:val="00954921"/>
    <w:rsid w:val="00970E15"/>
    <w:rsid w:val="00971CF0"/>
    <w:rsid w:val="00974A36"/>
    <w:rsid w:val="00976FA0"/>
    <w:rsid w:val="009842A0"/>
    <w:rsid w:val="00984FE8"/>
    <w:rsid w:val="00987F1D"/>
    <w:rsid w:val="009906A1"/>
    <w:rsid w:val="00990FB1"/>
    <w:rsid w:val="009942A5"/>
    <w:rsid w:val="00996675"/>
    <w:rsid w:val="00996F42"/>
    <w:rsid w:val="009A4CDE"/>
    <w:rsid w:val="009B3472"/>
    <w:rsid w:val="009C3BE4"/>
    <w:rsid w:val="009C49F3"/>
    <w:rsid w:val="009C4F14"/>
    <w:rsid w:val="009D58CE"/>
    <w:rsid w:val="009D5ADB"/>
    <w:rsid w:val="009D5B20"/>
    <w:rsid w:val="009D7CEF"/>
    <w:rsid w:val="009E1260"/>
    <w:rsid w:val="009E4E36"/>
    <w:rsid w:val="009E771D"/>
    <w:rsid w:val="009F2D7A"/>
    <w:rsid w:val="009F30BF"/>
    <w:rsid w:val="009F3107"/>
    <w:rsid w:val="009F7657"/>
    <w:rsid w:val="00A01806"/>
    <w:rsid w:val="00A0396D"/>
    <w:rsid w:val="00A06D3B"/>
    <w:rsid w:val="00A135A8"/>
    <w:rsid w:val="00A17978"/>
    <w:rsid w:val="00A20C23"/>
    <w:rsid w:val="00A375CD"/>
    <w:rsid w:val="00A441FC"/>
    <w:rsid w:val="00A4751E"/>
    <w:rsid w:val="00A70417"/>
    <w:rsid w:val="00A71639"/>
    <w:rsid w:val="00A73DD2"/>
    <w:rsid w:val="00A74409"/>
    <w:rsid w:val="00A75112"/>
    <w:rsid w:val="00A85B24"/>
    <w:rsid w:val="00A874AB"/>
    <w:rsid w:val="00A92963"/>
    <w:rsid w:val="00A934B7"/>
    <w:rsid w:val="00A936EC"/>
    <w:rsid w:val="00A9756E"/>
    <w:rsid w:val="00AB28D7"/>
    <w:rsid w:val="00AB39B2"/>
    <w:rsid w:val="00AB3A0C"/>
    <w:rsid w:val="00AB4487"/>
    <w:rsid w:val="00AB772E"/>
    <w:rsid w:val="00AC0863"/>
    <w:rsid w:val="00AC1B47"/>
    <w:rsid w:val="00AD12F0"/>
    <w:rsid w:val="00AD629C"/>
    <w:rsid w:val="00AE0A0F"/>
    <w:rsid w:val="00AF0462"/>
    <w:rsid w:val="00AF2C02"/>
    <w:rsid w:val="00AF3703"/>
    <w:rsid w:val="00AF4999"/>
    <w:rsid w:val="00B01B5F"/>
    <w:rsid w:val="00B020F1"/>
    <w:rsid w:val="00B028B8"/>
    <w:rsid w:val="00B03C8F"/>
    <w:rsid w:val="00B06E48"/>
    <w:rsid w:val="00B07A16"/>
    <w:rsid w:val="00B104B8"/>
    <w:rsid w:val="00B139F8"/>
    <w:rsid w:val="00B15855"/>
    <w:rsid w:val="00B15F27"/>
    <w:rsid w:val="00B20B49"/>
    <w:rsid w:val="00B21285"/>
    <w:rsid w:val="00B35A0C"/>
    <w:rsid w:val="00B36441"/>
    <w:rsid w:val="00B36A2B"/>
    <w:rsid w:val="00B41399"/>
    <w:rsid w:val="00B46236"/>
    <w:rsid w:val="00B51B9E"/>
    <w:rsid w:val="00B527BA"/>
    <w:rsid w:val="00B53F05"/>
    <w:rsid w:val="00B5441B"/>
    <w:rsid w:val="00B54F16"/>
    <w:rsid w:val="00B71CD8"/>
    <w:rsid w:val="00B752C5"/>
    <w:rsid w:val="00B75F93"/>
    <w:rsid w:val="00B76CC4"/>
    <w:rsid w:val="00B80750"/>
    <w:rsid w:val="00B81852"/>
    <w:rsid w:val="00B820E2"/>
    <w:rsid w:val="00B86C6B"/>
    <w:rsid w:val="00BA0B4F"/>
    <w:rsid w:val="00BA1E3A"/>
    <w:rsid w:val="00BA3090"/>
    <w:rsid w:val="00BB2C4F"/>
    <w:rsid w:val="00BB320C"/>
    <w:rsid w:val="00BB37B0"/>
    <w:rsid w:val="00BB62DA"/>
    <w:rsid w:val="00BB6786"/>
    <w:rsid w:val="00BC1771"/>
    <w:rsid w:val="00BC2251"/>
    <w:rsid w:val="00BC7943"/>
    <w:rsid w:val="00BD4225"/>
    <w:rsid w:val="00BD5032"/>
    <w:rsid w:val="00BD5E70"/>
    <w:rsid w:val="00BD65E3"/>
    <w:rsid w:val="00BD66F4"/>
    <w:rsid w:val="00BE05E2"/>
    <w:rsid w:val="00BE49C0"/>
    <w:rsid w:val="00BE67A1"/>
    <w:rsid w:val="00BF4FC6"/>
    <w:rsid w:val="00BF53B8"/>
    <w:rsid w:val="00C00044"/>
    <w:rsid w:val="00C01F3B"/>
    <w:rsid w:val="00C111BD"/>
    <w:rsid w:val="00C11C37"/>
    <w:rsid w:val="00C16608"/>
    <w:rsid w:val="00C17A26"/>
    <w:rsid w:val="00C2064E"/>
    <w:rsid w:val="00C210D5"/>
    <w:rsid w:val="00C301A7"/>
    <w:rsid w:val="00C3192B"/>
    <w:rsid w:val="00C32934"/>
    <w:rsid w:val="00C351DD"/>
    <w:rsid w:val="00C376E2"/>
    <w:rsid w:val="00C429C6"/>
    <w:rsid w:val="00C43746"/>
    <w:rsid w:val="00C51924"/>
    <w:rsid w:val="00C51F98"/>
    <w:rsid w:val="00C57F01"/>
    <w:rsid w:val="00C6067B"/>
    <w:rsid w:val="00C60F7A"/>
    <w:rsid w:val="00C62A29"/>
    <w:rsid w:val="00C742D0"/>
    <w:rsid w:val="00C764E1"/>
    <w:rsid w:val="00C767E4"/>
    <w:rsid w:val="00C77C2F"/>
    <w:rsid w:val="00C80046"/>
    <w:rsid w:val="00C80FD5"/>
    <w:rsid w:val="00C8151C"/>
    <w:rsid w:val="00C829CA"/>
    <w:rsid w:val="00C8570B"/>
    <w:rsid w:val="00C9038A"/>
    <w:rsid w:val="00C92996"/>
    <w:rsid w:val="00CA2AE1"/>
    <w:rsid w:val="00CB0381"/>
    <w:rsid w:val="00CB1FD4"/>
    <w:rsid w:val="00CB2982"/>
    <w:rsid w:val="00CB2A8A"/>
    <w:rsid w:val="00CB6992"/>
    <w:rsid w:val="00CC4849"/>
    <w:rsid w:val="00CD0448"/>
    <w:rsid w:val="00CD0587"/>
    <w:rsid w:val="00CE11C9"/>
    <w:rsid w:val="00CE1C0F"/>
    <w:rsid w:val="00CF06BD"/>
    <w:rsid w:val="00CF2600"/>
    <w:rsid w:val="00CF5DA3"/>
    <w:rsid w:val="00D004D9"/>
    <w:rsid w:val="00D03D23"/>
    <w:rsid w:val="00D05471"/>
    <w:rsid w:val="00D06640"/>
    <w:rsid w:val="00D06884"/>
    <w:rsid w:val="00D07F8C"/>
    <w:rsid w:val="00D10083"/>
    <w:rsid w:val="00D1459C"/>
    <w:rsid w:val="00D16B4F"/>
    <w:rsid w:val="00D175CD"/>
    <w:rsid w:val="00D20F97"/>
    <w:rsid w:val="00D2583D"/>
    <w:rsid w:val="00D32F94"/>
    <w:rsid w:val="00D3519F"/>
    <w:rsid w:val="00D35ADB"/>
    <w:rsid w:val="00D4276B"/>
    <w:rsid w:val="00D477C0"/>
    <w:rsid w:val="00D50346"/>
    <w:rsid w:val="00D54138"/>
    <w:rsid w:val="00D54ECF"/>
    <w:rsid w:val="00D558AC"/>
    <w:rsid w:val="00D56876"/>
    <w:rsid w:val="00D60A1E"/>
    <w:rsid w:val="00D63B94"/>
    <w:rsid w:val="00D70F38"/>
    <w:rsid w:val="00D720C3"/>
    <w:rsid w:val="00D73D21"/>
    <w:rsid w:val="00D74276"/>
    <w:rsid w:val="00D8018E"/>
    <w:rsid w:val="00D8065E"/>
    <w:rsid w:val="00D83FA5"/>
    <w:rsid w:val="00D85985"/>
    <w:rsid w:val="00D92D04"/>
    <w:rsid w:val="00D956EB"/>
    <w:rsid w:val="00D978F2"/>
    <w:rsid w:val="00DA0D11"/>
    <w:rsid w:val="00DA2196"/>
    <w:rsid w:val="00DA4595"/>
    <w:rsid w:val="00DA5A8B"/>
    <w:rsid w:val="00DA72FF"/>
    <w:rsid w:val="00DB193B"/>
    <w:rsid w:val="00DC0BF9"/>
    <w:rsid w:val="00DC23DE"/>
    <w:rsid w:val="00DC5ED7"/>
    <w:rsid w:val="00DD2352"/>
    <w:rsid w:val="00DE428C"/>
    <w:rsid w:val="00DF495A"/>
    <w:rsid w:val="00DF4E84"/>
    <w:rsid w:val="00DF5FBC"/>
    <w:rsid w:val="00E026B4"/>
    <w:rsid w:val="00E03BD1"/>
    <w:rsid w:val="00E05DB9"/>
    <w:rsid w:val="00E05DD5"/>
    <w:rsid w:val="00E207A9"/>
    <w:rsid w:val="00E216DA"/>
    <w:rsid w:val="00E21AA3"/>
    <w:rsid w:val="00E25A88"/>
    <w:rsid w:val="00E26DC5"/>
    <w:rsid w:val="00E26E8D"/>
    <w:rsid w:val="00E27FE6"/>
    <w:rsid w:val="00E3266D"/>
    <w:rsid w:val="00E36666"/>
    <w:rsid w:val="00E40972"/>
    <w:rsid w:val="00E41378"/>
    <w:rsid w:val="00E45EEF"/>
    <w:rsid w:val="00E5036B"/>
    <w:rsid w:val="00E527DF"/>
    <w:rsid w:val="00E5514E"/>
    <w:rsid w:val="00E61150"/>
    <w:rsid w:val="00E65810"/>
    <w:rsid w:val="00E67DB0"/>
    <w:rsid w:val="00E74E37"/>
    <w:rsid w:val="00E837F0"/>
    <w:rsid w:val="00E87475"/>
    <w:rsid w:val="00E93A8C"/>
    <w:rsid w:val="00E95268"/>
    <w:rsid w:val="00EA34F4"/>
    <w:rsid w:val="00EA5AA5"/>
    <w:rsid w:val="00EB0089"/>
    <w:rsid w:val="00EB017B"/>
    <w:rsid w:val="00EB618C"/>
    <w:rsid w:val="00EB6AB5"/>
    <w:rsid w:val="00EC2686"/>
    <w:rsid w:val="00ED2171"/>
    <w:rsid w:val="00ED568C"/>
    <w:rsid w:val="00ED6D8B"/>
    <w:rsid w:val="00ED7B18"/>
    <w:rsid w:val="00EE2681"/>
    <w:rsid w:val="00EE607F"/>
    <w:rsid w:val="00EF00F6"/>
    <w:rsid w:val="00EF4E7E"/>
    <w:rsid w:val="00EF5F8A"/>
    <w:rsid w:val="00EF6919"/>
    <w:rsid w:val="00F003ED"/>
    <w:rsid w:val="00F00921"/>
    <w:rsid w:val="00F01598"/>
    <w:rsid w:val="00F04096"/>
    <w:rsid w:val="00F04ED4"/>
    <w:rsid w:val="00F10FB4"/>
    <w:rsid w:val="00F13192"/>
    <w:rsid w:val="00F16CF4"/>
    <w:rsid w:val="00F17013"/>
    <w:rsid w:val="00F17662"/>
    <w:rsid w:val="00F2173A"/>
    <w:rsid w:val="00F227B3"/>
    <w:rsid w:val="00F23AB1"/>
    <w:rsid w:val="00F265C7"/>
    <w:rsid w:val="00F31775"/>
    <w:rsid w:val="00F37363"/>
    <w:rsid w:val="00F42237"/>
    <w:rsid w:val="00F44934"/>
    <w:rsid w:val="00F452C0"/>
    <w:rsid w:val="00F45A76"/>
    <w:rsid w:val="00F56C6C"/>
    <w:rsid w:val="00F6393D"/>
    <w:rsid w:val="00F65EA2"/>
    <w:rsid w:val="00F67DF1"/>
    <w:rsid w:val="00F72CC8"/>
    <w:rsid w:val="00F7397F"/>
    <w:rsid w:val="00F746C0"/>
    <w:rsid w:val="00F74DF5"/>
    <w:rsid w:val="00F76965"/>
    <w:rsid w:val="00F775C9"/>
    <w:rsid w:val="00F779D1"/>
    <w:rsid w:val="00F85851"/>
    <w:rsid w:val="00F85FED"/>
    <w:rsid w:val="00F8607D"/>
    <w:rsid w:val="00F92356"/>
    <w:rsid w:val="00FA3872"/>
    <w:rsid w:val="00FA48F2"/>
    <w:rsid w:val="00FA5F93"/>
    <w:rsid w:val="00FA7AFE"/>
    <w:rsid w:val="00FB3D04"/>
    <w:rsid w:val="00FB3F05"/>
    <w:rsid w:val="00FB3F70"/>
    <w:rsid w:val="00FB54E3"/>
    <w:rsid w:val="00FB6798"/>
    <w:rsid w:val="00FC1655"/>
    <w:rsid w:val="00FC3CC3"/>
    <w:rsid w:val="00FC5174"/>
    <w:rsid w:val="00FC73F8"/>
    <w:rsid w:val="00FC775A"/>
    <w:rsid w:val="00FD60C0"/>
    <w:rsid w:val="00FE66C5"/>
    <w:rsid w:val="00FE7128"/>
    <w:rsid w:val="00FF36A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459A08"/>
  <w15:docId w15:val="{07FA01F5-A5F0-4F8C-A2D9-2083CD8B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lang w:val="es-MX" w:eastAsia="es-MX"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BF9"/>
    <w:pPr>
      <w:jc w:val="both"/>
    </w:pPr>
    <w:rPr>
      <w:rFonts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ullet">
    <w:name w:val="bullet"/>
    <w:basedOn w:val="Normal"/>
    <w:rsid w:val="00DC0BF9"/>
    <w:pPr>
      <w:tabs>
        <w:tab w:val="left" w:pos="851"/>
      </w:tabs>
      <w:spacing w:before="120"/>
      <w:ind w:left="1985" w:right="1468" w:hanging="273"/>
    </w:pPr>
    <w:rPr>
      <w:rFonts w:ascii="Arial" w:eastAsia="Times New Roman" w:hAnsi="Arial"/>
      <w:b/>
      <w:color w:val="0000FF"/>
      <w:spacing w:val="10"/>
      <w:szCs w:val="20"/>
      <w:lang w:eastAsia="es-ES"/>
    </w:rPr>
  </w:style>
  <w:style w:type="paragraph" w:styleId="Prrafodelista">
    <w:name w:val="List Paragraph"/>
    <w:basedOn w:val="Normal"/>
    <w:uiPriority w:val="34"/>
    <w:qFormat/>
    <w:rsid w:val="00DC0BF9"/>
    <w:pPr>
      <w:spacing w:after="240"/>
      <w:ind w:left="720" w:hanging="357"/>
      <w:contextualSpacing/>
    </w:pPr>
    <w:rPr>
      <w:sz w:val="24"/>
      <w:szCs w:val="24"/>
    </w:rPr>
  </w:style>
  <w:style w:type="paragraph" w:styleId="Textoindependiente">
    <w:name w:val="Body Text"/>
    <w:basedOn w:val="Normal"/>
    <w:link w:val="TextoindependienteCar"/>
    <w:rsid w:val="00DC0BF9"/>
    <w:pPr>
      <w:widowControl w:val="0"/>
      <w:jc w:val="center"/>
    </w:pPr>
    <w:rPr>
      <w:rFonts w:ascii="Arial" w:eastAsia="Times New Roman" w:hAnsi="Arial"/>
      <w:b/>
      <w:caps/>
      <w:spacing w:val="25"/>
      <w:sz w:val="32"/>
      <w:szCs w:val="20"/>
      <w:lang w:eastAsia="es-ES"/>
    </w:rPr>
  </w:style>
  <w:style w:type="character" w:customStyle="1" w:styleId="TextoindependienteCar">
    <w:name w:val="Texto independiente Car"/>
    <w:link w:val="Textoindependiente"/>
    <w:rsid w:val="00DC0BF9"/>
    <w:rPr>
      <w:rFonts w:ascii="Arial" w:eastAsia="Times New Roman" w:hAnsi="Arial" w:cs="Times New Roman"/>
      <w:b/>
      <w:caps/>
      <w:spacing w:val="25"/>
      <w:sz w:val="32"/>
      <w:szCs w:val="20"/>
      <w:lang w:eastAsia="es-ES"/>
    </w:rPr>
  </w:style>
  <w:style w:type="paragraph" w:customStyle="1" w:styleId="Textodebloque1">
    <w:name w:val="Texto de bloque1"/>
    <w:basedOn w:val="Normal"/>
    <w:rsid w:val="00DC0BF9"/>
    <w:pPr>
      <w:spacing w:before="240"/>
      <w:ind w:left="1843" w:right="1361" w:hanging="273"/>
    </w:pPr>
    <w:rPr>
      <w:rFonts w:ascii="Arial" w:eastAsia="Times New Roman" w:hAnsi="Arial"/>
      <w:b/>
      <w:szCs w:val="20"/>
      <w:lang w:val="es-ES_tradnl" w:eastAsia="es-ES"/>
    </w:rPr>
  </w:style>
  <w:style w:type="paragraph" w:styleId="Textodeglobo">
    <w:name w:val="Balloon Text"/>
    <w:basedOn w:val="Normal"/>
    <w:link w:val="TextodegloboCar"/>
    <w:uiPriority w:val="99"/>
    <w:semiHidden/>
    <w:unhideWhenUsed/>
    <w:rsid w:val="00DC0BF9"/>
    <w:rPr>
      <w:rFonts w:ascii="Tahoma" w:hAnsi="Tahoma"/>
      <w:sz w:val="16"/>
      <w:szCs w:val="16"/>
    </w:rPr>
  </w:style>
  <w:style w:type="character" w:customStyle="1" w:styleId="TextodegloboCar">
    <w:name w:val="Texto de globo Car"/>
    <w:link w:val="Textodeglobo"/>
    <w:uiPriority w:val="99"/>
    <w:semiHidden/>
    <w:rsid w:val="00DC0BF9"/>
    <w:rPr>
      <w:rFonts w:ascii="Tahoma" w:hAnsi="Tahoma" w:cs="Tahoma"/>
      <w:sz w:val="16"/>
      <w:szCs w:val="16"/>
    </w:rPr>
  </w:style>
  <w:style w:type="paragraph" w:styleId="Encabezado">
    <w:name w:val="header"/>
    <w:basedOn w:val="Normal"/>
    <w:link w:val="EncabezadoCar"/>
    <w:uiPriority w:val="99"/>
    <w:unhideWhenUsed/>
    <w:rsid w:val="000C7D16"/>
    <w:pPr>
      <w:tabs>
        <w:tab w:val="center" w:pos="4419"/>
        <w:tab w:val="right" w:pos="8838"/>
      </w:tabs>
    </w:pPr>
  </w:style>
  <w:style w:type="character" w:customStyle="1" w:styleId="EncabezadoCar">
    <w:name w:val="Encabezado Car"/>
    <w:link w:val="Encabezado"/>
    <w:uiPriority w:val="99"/>
    <w:rsid w:val="000C7D16"/>
    <w:rPr>
      <w:rFonts w:cs="Times New Roman"/>
      <w:sz w:val="22"/>
      <w:szCs w:val="22"/>
      <w:lang w:eastAsia="en-US"/>
    </w:rPr>
  </w:style>
  <w:style w:type="paragraph" w:styleId="Piedepgina">
    <w:name w:val="footer"/>
    <w:basedOn w:val="Normal"/>
    <w:link w:val="PiedepginaCar"/>
    <w:uiPriority w:val="99"/>
    <w:unhideWhenUsed/>
    <w:rsid w:val="000C7D16"/>
    <w:pPr>
      <w:tabs>
        <w:tab w:val="center" w:pos="4419"/>
        <w:tab w:val="right" w:pos="8838"/>
      </w:tabs>
    </w:pPr>
  </w:style>
  <w:style w:type="character" w:customStyle="1" w:styleId="PiedepginaCar">
    <w:name w:val="Pie de página Car"/>
    <w:link w:val="Piedepgina"/>
    <w:uiPriority w:val="99"/>
    <w:rsid w:val="000C7D16"/>
    <w:rPr>
      <w:rFonts w:cs="Times New Roman"/>
      <w:sz w:val="22"/>
      <w:szCs w:val="22"/>
      <w:lang w:eastAsia="en-US"/>
    </w:rPr>
  </w:style>
  <w:style w:type="character" w:styleId="Hipervnculo">
    <w:name w:val="Hyperlink"/>
    <w:rsid w:val="001238F9"/>
    <w:rPr>
      <w:color w:val="0000FF"/>
      <w:u w:val="single"/>
    </w:rPr>
  </w:style>
  <w:style w:type="paragraph" w:customStyle="1" w:styleId="Profesin">
    <w:name w:val="Profesión"/>
    <w:basedOn w:val="Normal"/>
    <w:rsid w:val="001238F9"/>
    <w:pPr>
      <w:jc w:val="center"/>
    </w:pPr>
    <w:rPr>
      <w:rFonts w:ascii="Arial" w:eastAsia="Times New Roman" w:hAnsi="Arial"/>
      <w:b/>
      <w:caps/>
      <w:sz w:val="28"/>
      <w:szCs w:val="20"/>
      <w:lang w:val="es-ES_tradnl" w:eastAsia="es-ES"/>
    </w:rPr>
  </w:style>
  <w:style w:type="paragraph" w:styleId="Textonotapie">
    <w:name w:val="footnote text"/>
    <w:basedOn w:val="Normal"/>
    <w:link w:val="TextonotapieCar"/>
    <w:uiPriority w:val="99"/>
    <w:unhideWhenUsed/>
    <w:rsid w:val="001238F9"/>
    <w:rPr>
      <w:sz w:val="20"/>
      <w:szCs w:val="20"/>
    </w:rPr>
  </w:style>
  <w:style w:type="character" w:customStyle="1" w:styleId="TextonotapieCar">
    <w:name w:val="Texto nota pie Car"/>
    <w:link w:val="Textonotapie"/>
    <w:uiPriority w:val="99"/>
    <w:rsid w:val="001238F9"/>
    <w:rPr>
      <w:rFonts w:ascii="Calibri" w:eastAsia="Calibri" w:hAnsi="Calibri" w:cs="Times New Roman"/>
      <w:lang w:eastAsia="en-US"/>
    </w:rPr>
  </w:style>
  <w:style w:type="character" w:styleId="Refdenotaalpie">
    <w:name w:val="footnote reference"/>
    <w:uiPriority w:val="99"/>
    <w:unhideWhenUsed/>
    <w:rsid w:val="001238F9"/>
    <w:rPr>
      <w:vertAlign w:val="superscript"/>
    </w:rPr>
  </w:style>
  <w:style w:type="paragraph" w:customStyle="1" w:styleId="n01">
    <w:name w:val="n01"/>
    <w:basedOn w:val="Normal"/>
    <w:rsid w:val="001238F9"/>
    <w:pPr>
      <w:keepLines/>
      <w:spacing w:before="240"/>
      <w:ind w:left="720" w:hanging="720"/>
    </w:pPr>
    <w:rPr>
      <w:rFonts w:ascii="Univers (W1)" w:eastAsia="Times New Roman" w:hAnsi="Univers (W1)"/>
      <w:color w:val="800080"/>
      <w:sz w:val="24"/>
      <w:szCs w:val="20"/>
      <w:lang w:val="es-ES_tradnl" w:eastAsia="es-ES"/>
    </w:rPr>
  </w:style>
  <w:style w:type="character" w:styleId="Refdecomentario">
    <w:name w:val="annotation reference"/>
    <w:basedOn w:val="Fuentedeprrafopredeter"/>
    <w:uiPriority w:val="99"/>
    <w:semiHidden/>
    <w:unhideWhenUsed/>
    <w:rsid w:val="006531FC"/>
    <w:rPr>
      <w:sz w:val="16"/>
      <w:szCs w:val="16"/>
    </w:rPr>
  </w:style>
  <w:style w:type="paragraph" w:styleId="Textocomentario">
    <w:name w:val="annotation text"/>
    <w:basedOn w:val="Normal"/>
    <w:link w:val="TextocomentarioCar"/>
    <w:uiPriority w:val="99"/>
    <w:semiHidden/>
    <w:unhideWhenUsed/>
    <w:rsid w:val="006531FC"/>
    <w:rPr>
      <w:sz w:val="20"/>
      <w:szCs w:val="20"/>
    </w:rPr>
  </w:style>
  <w:style w:type="character" w:customStyle="1" w:styleId="TextocomentarioCar">
    <w:name w:val="Texto comentario Car"/>
    <w:basedOn w:val="Fuentedeprrafopredeter"/>
    <w:link w:val="Textocomentario"/>
    <w:uiPriority w:val="99"/>
    <w:semiHidden/>
    <w:rsid w:val="006531FC"/>
    <w:rPr>
      <w:rFonts w:cs="Times New Roman"/>
      <w:lang w:eastAsia="en-US"/>
    </w:rPr>
  </w:style>
  <w:style w:type="paragraph" w:styleId="Asuntodelcomentario">
    <w:name w:val="annotation subject"/>
    <w:basedOn w:val="Textocomentario"/>
    <w:next w:val="Textocomentario"/>
    <w:link w:val="AsuntodelcomentarioCar"/>
    <w:uiPriority w:val="99"/>
    <w:semiHidden/>
    <w:unhideWhenUsed/>
    <w:rsid w:val="006531FC"/>
    <w:rPr>
      <w:b/>
      <w:bCs/>
    </w:rPr>
  </w:style>
  <w:style w:type="character" w:customStyle="1" w:styleId="AsuntodelcomentarioCar">
    <w:name w:val="Asunto del comentario Car"/>
    <w:basedOn w:val="TextocomentarioCar"/>
    <w:link w:val="Asuntodelcomentario"/>
    <w:uiPriority w:val="99"/>
    <w:semiHidden/>
    <w:rsid w:val="006531FC"/>
    <w:rPr>
      <w:rFonts w:cs="Times New Roman"/>
      <w:b/>
      <w:bCs/>
      <w:lang w:eastAsia="en-US"/>
    </w:rPr>
  </w:style>
  <w:style w:type="paragraph" w:styleId="NormalWeb">
    <w:name w:val="Normal (Web)"/>
    <w:basedOn w:val="Normal"/>
    <w:uiPriority w:val="99"/>
    <w:unhideWhenUsed/>
    <w:rsid w:val="008D58DF"/>
    <w:pPr>
      <w:spacing w:before="100" w:beforeAutospacing="1" w:after="100" w:afterAutospacing="1"/>
      <w:jc w:val="left"/>
    </w:pPr>
    <w:rPr>
      <w:rFonts w:ascii="Times New Roman" w:eastAsiaTheme="minorEastAsia" w:hAnsi="Times New Roman"/>
      <w:sz w:val="24"/>
      <w:szCs w:val="24"/>
      <w:lang w:eastAsia="es-MX"/>
    </w:rPr>
  </w:style>
  <w:style w:type="paragraph" w:customStyle="1" w:styleId="Default">
    <w:name w:val="Default"/>
    <w:rsid w:val="00946452"/>
    <w:pPr>
      <w:autoSpaceDE w:val="0"/>
      <w:autoSpaceDN w:val="0"/>
      <w:adjustRightInd w:val="0"/>
    </w:pPr>
    <w:rPr>
      <w:rFonts w:ascii="HelveticaNeueLT Std" w:eastAsiaTheme="minorHAnsi" w:hAnsi="HelveticaNeueLT Std" w:cs="HelveticaNeueLT Std"/>
      <w:color w:val="000000"/>
      <w:sz w:val="24"/>
      <w:szCs w:val="24"/>
      <w:lang w:eastAsia="en-US"/>
    </w:rPr>
  </w:style>
  <w:style w:type="paragraph" w:styleId="Revisin">
    <w:name w:val="Revision"/>
    <w:hidden/>
    <w:uiPriority w:val="99"/>
    <w:semiHidden/>
    <w:rsid w:val="001E0C18"/>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60461">
      <w:bodyDiv w:val="1"/>
      <w:marLeft w:val="0"/>
      <w:marRight w:val="0"/>
      <w:marTop w:val="0"/>
      <w:marBottom w:val="0"/>
      <w:divBdr>
        <w:top w:val="none" w:sz="0" w:space="0" w:color="auto"/>
        <w:left w:val="none" w:sz="0" w:space="0" w:color="auto"/>
        <w:bottom w:val="none" w:sz="0" w:space="0" w:color="auto"/>
        <w:right w:val="none" w:sz="0" w:space="0" w:color="auto"/>
      </w:divBdr>
    </w:div>
    <w:div w:id="55976494">
      <w:bodyDiv w:val="1"/>
      <w:marLeft w:val="0"/>
      <w:marRight w:val="0"/>
      <w:marTop w:val="0"/>
      <w:marBottom w:val="0"/>
      <w:divBdr>
        <w:top w:val="none" w:sz="0" w:space="0" w:color="auto"/>
        <w:left w:val="none" w:sz="0" w:space="0" w:color="auto"/>
        <w:bottom w:val="none" w:sz="0" w:space="0" w:color="auto"/>
        <w:right w:val="none" w:sz="0" w:space="0" w:color="auto"/>
      </w:divBdr>
    </w:div>
    <w:div w:id="109400118">
      <w:bodyDiv w:val="1"/>
      <w:marLeft w:val="0"/>
      <w:marRight w:val="0"/>
      <w:marTop w:val="0"/>
      <w:marBottom w:val="0"/>
      <w:divBdr>
        <w:top w:val="none" w:sz="0" w:space="0" w:color="auto"/>
        <w:left w:val="none" w:sz="0" w:space="0" w:color="auto"/>
        <w:bottom w:val="none" w:sz="0" w:space="0" w:color="auto"/>
        <w:right w:val="none" w:sz="0" w:space="0" w:color="auto"/>
      </w:divBdr>
    </w:div>
    <w:div w:id="229771377">
      <w:bodyDiv w:val="1"/>
      <w:marLeft w:val="0"/>
      <w:marRight w:val="0"/>
      <w:marTop w:val="0"/>
      <w:marBottom w:val="0"/>
      <w:divBdr>
        <w:top w:val="none" w:sz="0" w:space="0" w:color="auto"/>
        <w:left w:val="none" w:sz="0" w:space="0" w:color="auto"/>
        <w:bottom w:val="none" w:sz="0" w:space="0" w:color="auto"/>
        <w:right w:val="none" w:sz="0" w:space="0" w:color="auto"/>
      </w:divBdr>
    </w:div>
    <w:div w:id="424152114">
      <w:bodyDiv w:val="1"/>
      <w:marLeft w:val="0"/>
      <w:marRight w:val="0"/>
      <w:marTop w:val="0"/>
      <w:marBottom w:val="0"/>
      <w:divBdr>
        <w:top w:val="none" w:sz="0" w:space="0" w:color="auto"/>
        <w:left w:val="none" w:sz="0" w:space="0" w:color="auto"/>
        <w:bottom w:val="none" w:sz="0" w:space="0" w:color="auto"/>
        <w:right w:val="none" w:sz="0" w:space="0" w:color="auto"/>
      </w:divBdr>
    </w:div>
    <w:div w:id="437258279">
      <w:bodyDiv w:val="1"/>
      <w:marLeft w:val="0"/>
      <w:marRight w:val="0"/>
      <w:marTop w:val="0"/>
      <w:marBottom w:val="0"/>
      <w:divBdr>
        <w:top w:val="none" w:sz="0" w:space="0" w:color="auto"/>
        <w:left w:val="none" w:sz="0" w:space="0" w:color="auto"/>
        <w:bottom w:val="none" w:sz="0" w:space="0" w:color="auto"/>
        <w:right w:val="none" w:sz="0" w:space="0" w:color="auto"/>
      </w:divBdr>
    </w:div>
    <w:div w:id="674455588">
      <w:bodyDiv w:val="1"/>
      <w:marLeft w:val="0"/>
      <w:marRight w:val="0"/>
      <w:marTop w:val="0"/>
      <w:marBottom w:val="0"/>
      <w:divBdr>
        <w:top w:val="none" w:sz="0" w:space="0" w:color="auto"/>
        <w:left w:val="none" w:sz="0" w:space="0" w:color="auto"/>
        <w:bottom w:val="none" w:sz="0" w:space="0" w:color="auto"/>
        <w:right w:val="none" w:sz="0" w:space="0" w:color="auto"/>
      </w:divBdr>
    </w:div>
    <w:div w:id="745496167">
      <w:bodyDiv w:val="1"/>
      <w:marLeft w:val="0"/>
      <w:marRight w:val="0"/>
      <w:marTop w:val="0"/>
      <w:marBottom w:val="0"/>
      <w:divBdr>
        <w:top w:val="none" w:sz="0" w:space="0" w:color="auto"/>
        <w:left w:val="none" w:sz="0" w:space="0" w:color="auto"/>
        <w:bottom w:val="none" w:sz="0" w:space="0" w:color="auto"/>
        <w:right w:val="none" w:sz="0" w:space="0" w:color="auto"/>
      </w:divBdr>
    </w:div>
    <w:div w:id="924337433">
      <w:bodyDiv w:val="1"/>
      <w:marLeft w:val="0"/>
      <w:marRight w:val="0"/>
      <w:marTop w:val="0"/>
      <w:marBottom w:val="0"/>
      <w:divBdr>
        <w:top w:val="none" w:sz="0" w:space="0" w:color="auto"/>
        <w:left w:val="none" w:sz="0" w:space="0" w:color="auto"/>
        <w:bottom w:val="none" w:sz="0" w:space="0" w:color="auto"/>
        <w:right w:val="none" w:sz="0" w:space="0" w:color="auto"/>
      </w:divBdr>
    </w:div>
    <w:div w:id="929236048">
      <w:bodyDiv w:val="1"/>
      <w:marLeft w:val="0"/>
      <w:marRight w:val="0"/>
      <w:marTop w:val="0"/>
      <w:marBottom w:val="0"/>
      <w:divBdr>
        <w:top w:val="none" w:sz="0" w:space="0" w:color="auto"/>
        <w:left w:val="none" w:sz="0" w:space="0" w:color="auto"/>
        <w:bottom w:val="none" w:sz="0" w:space="0" w:color="auto"/>
        <w:right w:val="none" w:sz="0" w:space="0" w:color="auto"/>
      </w:divBdr>
    </w:div>
    <w:div w:id="1033774945">
      <w:bodyDiv w:val="1"/>
      <w:marLeft w:val="0"/>
      <w:marRight w:val="0"/>
      <w:marTop w:val="0"/>
      <w:marBottom w:val="0"/>
      <w:divBdr>
        <w:top w:val="none" w:sz="0" w:space="0" w:color="auto"/>
        <w:left w:val="none" w:sz="0" w:space="0" w:color="auto"/>
        <w:bottom w:val="none" w:sz="0" w:space="0" w:color="auto"/>
        <w:right w:val="none" w:sz="0" w:space="0" w:color="auto"/>
      </w:divBdr>
    </w:div>
    <w:div w:id="1156842147">
      <w:bodyDiv w:val="1"/>
      <w:marLeft w:val="0"/>
      <w:marRight w:val="0"/>
      <w:marTop w:val="0"/>
      <w:marBottom w:val="0"/>
      <w:divBdr>
        <w:top w:val="none" w:sz="0" w:space="0" w:color="auto"/>
        <w:left w:val="none" w:sz="0" w:space="0" w:color="auto"/>
        <w:bottom w:val="none" w:sz="0" w:space="0" w:color="auto"/>
        <w:right w:val="none" w:sz="0" w:space="0" w:color="auto"/>
      </w:divBdr>
    </w:div>
    <w:div w:id="1667905615">
      <w:bodyDiv w:val="1"/>
      <w:marLeft w:val="0"/>
      <w:marRight w:val="0"/>
      <w:marTop w:val="0"/>
      <w:marBottom w:val="0"/>
      <w:divBdr>
        <w:top w:val="none" w:sz="0" w:space="0" w:color="auto"/>
        <w:left w:val="none" w:sz="0" w:space="0" w:color="auto"/>
        <w:bottom w:val="none" w:sz="0" w:space="0" w:color="auto"/>
        <w:right w:val="none" w:sz="0" w:space="0" w:color="auto"/>
      </w:divBdr>
    </w:div>
    <w:div w:id="1696075714">
      <w:bodyDiv w:val="1"/>
      <w:marLeft w:val="0"/>
      <w:marRight w:val="0"/>
      <w:marTop w:val="0"/>
      <w:marBottom w:val="0"/>
      <w:divBdr>
        <w:top w:val="none" w:sz="0" w:space="0" w:color="auto"/>
        <w:left w:val="none" w:sz="0" w:space="0" w:color="auto"/>
        <w:bottom w:val="none" w:sz="0" w:space="0" w:color="auto"/>
        <w:right w:val="none" w:sz="0" w:space="0" w:color="auto"/>
      </w:divBdr>
    </w:div>
    <w:div w:id="1941984457">
      <w:bodyDiv w:val="1"/>
      <w:marLeft w:val="0"/>
      <w:marRight w:val="0"/>
      <w:marTop w:val="0"/>
      <w:marBottom w:val="0"/>
      <w:divBdr>
        <w:top w:val="none" w:sz="0" w:space="0" w:color="auto"/>
        <w:left w:val="none" w:sz="0" w:space="0" w:color="auto"/>
        <w:bottom w:val="none" w:sz="0" w:space="0" w:color="auto"/>
        <w:right w:val="none" w:sz="0" w:space="0" w:color="auto"/>
      </w:divBdr>
    </w:div>
    <w:div w:id="207993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2.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charts/_rels/chart1.xml.rels><?xml version="1.0" encoding="UTF-8" standalone="yes"?>
<Relationships xmlns="http://schemas.openxmlformats.org/package/2006/relationships"><Relationship Id="rId3" Type="http://schemas.openxmlformats.org/officeDocument/2006/relationships/oleObject" Target="file:///D:\Escritorio\Rebeca%20Ruiz_01_22\Actualizaci&#243;n%20VABCOEL%202020p\Para%20presentaci&#243;n%20VABCOEL%202020p.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hart>
    <c:autoTitleDeleted val="1"/>
    <c:plotArea>
      <c:layout/>
      <c:barChart>
        <c:barDir val="bar"/>
        <c:grouping val="percentStacked"/>
        <c:varyColors val="0"/>
        <c:ser>
          <c:idx val="0"/>
          <c:order val="0"/>
          <c:tx>
            <c:strRef>
              <c:f>'Hoja4 (2)'!$A$3</c:f>
              <c:strCache>
                <c:ptCount val="1"/>
                <c:pt idx="0">
                  <c:v>Comercio al por mayor</c:v>
                </c:pt>
              </c:strCache>
            </c:strRef>
          </c:tx>
          <c:spPr>
            <a:solidFill>
              <a:schemeClr val="accent1">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'Hoja4 (2)'!$B$2:$I$2</c:f>
              <c:strCache>
                <c:ptCount val="8"/>
                <c:pt idx="0">
                  <c:v>2013</c:v>
                </c:pt>
                <c:pt idx="1">
                  <c:v>2014</c:v>
                </c:pt>
                <c:pt idx="2">
                  <c:v>2015</c:v>
                </c:pt>
                <c:pt idx="3">
                  <c:v>2016</c:v>
                </c:pt>
                <c:pt idx="4">
                  <c:v>2017</c:v>
                </c:pt>
                <c:pt idx="5">
                  <c:v>2018</c:v>
                </c:pt>
                <c:pt idx="6">
                  <c:v>2019r</c:v>
                </c:pt>
                <c:pt idx="7">
                  <c:v>2020p</c:v>
                </c:pt>
              </c:strCache>
            </c:strRef>
          </c:cat>
          <c:val>
            <c:numRef>
              <c:f>'Hoja4 (2)'!$B$3:$I$3</c:f>
              <c:numCache>
                <c:formatCode>#,##0.0</c:formatCode>
                <c:ptCount val="8"/>
                <c:pt idx="0">
                  <c:v>25.675999999999998</c:v>
                </c:pt>
                <c:pt idx="1">
                  <c:v>23.417999999999999</c:v>
                </c:pt>
                <c:pt idx="2">
                  <c:v>27.477</c:v>
                </c:pt>
                <c:pt idx="3">
                  <c:v>26.716999999999999</c:v>
                </c:pt>
                <c:pt idx="4">
                  <c:v>27.254000000000001</c:v>
                </c:pt>
                <c:pt idx="5">
                  <c:v>26.588000000000001</c:v>
                </c:pt>
                <c:pt idx="6">
                  <c:v>22.125</c:v>
                </c:pt>
                <c:pt idx="7">
                  <c:v>24.905999999999999</c:v>
                </c:pt>
              </c:numCache>
            </c:numRef>
          </c:val>
          <c:extLst>
            <c:ext xmlns:c16="http://schemas.microsoft.com/office/drawing/2014/chart" uri="{C3380CC4-5D6E-409C-BE32-E72D297353CC}">
              <c16:uniqueId val="{00000000-E95B-45EE-B87B-04F9D697ABB0}"/>
            </c:ext>
          </c:extLst>
        </c:ser>
        <c:ser>
          <c:idx val="1"/>
          <c:order val="1"/>
          <c:tx>
            <c:strRef>
              <c:f>'Hoja4 (2)'!$A$4</c:f>
              <c:strCache>
                <c:ptCount val="1"/>
                <c:pt idx="0">
                  <c:v>Comercio al por menor</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'Hoja4 (2)'!$B$2:$I$2</c:f>
              <c:strCache>
                <c:ptCount val="8"/>
                <c:pt idx="0">
                  <c:v>2013</c:v>
                </c:pt>
                <c:pt idx="1">
                  <c:v>2014</c:v>
                </c:pt>
                <c:pt idx="2">
                  <c:v>2015</c:v>
                </c:pt>
                <c:pt idx="3">
                  <c:v>2016</c:v>
                </c:pt>
                <c:pt idx="4">
                  <c:v>2017</c:v>
                </c:pt>
                <c:pt idx="5">
                  <c:v>2018</c:v>
                </c:pt>
                <c:pt idx="6">
                  <c:v>2019r</c:v>
                </c:pt>
                <c:pt idx="7">
                  <c:v>2020p</c:v>
                </c:pt>
              </c:strCache>
            </c:strRef>
          </c:cat>
          <c:val>
            <c:numRef>
              <c:f>'Hoja4 (2)'!$B$4:$I$4</c:f>
              <c:numCache>
                <c:formatCode>#,##0.0</c:formatCode>
                <c:ptCount val="8"/>
                <c:pt idx="0">
                  <c:v>16.382999999999999</c:v>
                </c:pt>
                <c:pt idx="1">
                  <c:v>20.05</c:v>
                </c:pt>
                <c:pt idx="2">
                  <c:v>20.244</c:v>
                </c:pt>
                <c:pt idx="3">
                  <c:v>27.515000000000001</c:v>
                </c:pt>
                <c:pt idx="4">
                  <c:v>28.492000000000001</c:v>
                </c:pt>
                <c:pt idx="5">
                  <c:v>27.696000000000002</c:v>
                </c:pt>
                <c:pt idx="6">
                  <c:v>38.116</c:v>
                </c:pt>
                <c:pt idx="7">
                  <c:v>40.372999999999998</c:v>
                </c:pt>
              </c:numCache>
            </c:numRef>
          </c:val>
          <c:extLst>
            <c:ext xmlns:c16="http://schemas.microsoft.com/office/drawing/2014/chart" uri="{C3380CC4-5D6E-409C-BE32-E72D297353CC}">
              <c16:uniqueId val="{00000001-E95B-45EE-B87B-04F9D697ABB0}"/>
            </c:ext>
          </c:extLst>
        </c:ser>
        <c:ser>
          <c:idx val="2"/>
          <c:order val="2"/>
          <c:tx>
            <c:strRef>
              <c:f>'Hoja4 (2)'!$A$5</c:f>
              <c:strCache>
                <c:ptCount val="1"/>
                <c:pt idx="0">
                  <c:v>Otros servicios</c:v>
                </c:pt>
              </c:strCache>
            </c:strRef>
          </c:tx>
          <c:spPr>
            <a:solidFill>
              <a:schemeClr val="bg1">
                <a:lumMod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'Hoja4 (2)'!$B$2:$I$2</c:f>
              <c:strCache>
                <c:ptCount val="8"/>
                <c:pt idx="0">
                  <c:v>2013</c:v>
                </c:pt>
                <c:pt idx="1">
                  <c:v>2014</c:v>
                </c:pt>
                <c:pt idx="2">
                  <c:v>2015</c:v>
                </c:pt>
                <c:pt idx="3">
                  <c:v>2016</c:v>
                </c:pt>
                <c:pt idx="4">
                  <c:v>2017</c:v>
                </c:pt>
                <c:pt idx="5">
                  <c:v>2018</c:v>
                </c:pt>
                <c:pt idx="6">
                  <c:v>2019r</c:v>
                </c:pt>
                <c:pt idx="7">
                  <c:v>2020p</c:v>
                </c:pt>
              </c:strCache>
            </c:strRef>
          </c:cat>
          <c:val>
            <c:numRef>
              <c:f>'Hoja4 (2)'!$B$5:$I$5</c:f>
              <c:numCache>
                <c:formatCode>#,##0.0</c:formatCode>
                <c:ptCount val="8"/>
                <c:pt idx="0">
                  <c:v>57.941000000000003</c:v>
                </c:pt>
                <c:pt idx="1">
                  <c:v>56.531999999999996</c:v>
                </c:pt>
                <c:pt idx="2">
                  <c:v>52.279000000000003</c:v>
                </c:pt>
                <c:pt idx="3">
                  <c:v>45.767000000000003</c:v>
                </c:pt>
                <c:pt idx="4">
                  <c:v>44.253999999999998</c:v>
                </c:pt>
                <c:pt idx="5">
                  <c:v>45.716000000000001</c:v>
                </c:pt>
                <c:pt idx="6">
                  <c:v>39.759</c:v>
                </c:pt>
                <c:pt idx="7">
                  <c:v>34.72</c:v>
                </c:pt>
              </c:numCache>
            </c:numRef>
          </c:val>
          <c:extLst>
            <c:ext xmlns:c16="http://schemas.microsoft.com/office/drawing/2014/chart" uri="{C3380CC4-5D6E-409C-BE32-E72D297353CC}">
              <c16:uniqueId val="{00000002-E95B-45EE-B87B-04F9D697ABB0}"/>
            </c:ext>
          </c:extLst>
        </c:ser>
        <c:dLbls>
          <c:dLblPos val="ctr"/>
          <c:showLegendKey val="0"/>
          <c:showVal val="1"/>
          <c:showCatName val="0"/>
          <c:showSerName val="0"/>
          <c:showPercent val="0"/>
          <c:showBubbleSize val="0"/>
        </c:dLbls>
        <c:gapWidth val="79"/>
        <c:overlap val="100"/>
        <c:axId val="529924719"/>
        <c:axId val="529940943"/>
      </c:barChart>
      <c:catAx>
        <c:axId val="52992471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s-MX"/>
          </a:p>
        </c:txPr>
        <c:crossAx val="529940943"/>
        <c:crosses val="autoZero"/>
        <c:auto val="1"/>
        <c:lblAlgn val="ctr"/>
        <c:lblOffset val="100"/>
        <c:noMultiLvlLbl val="0"/>
      </c:catAx>
      <c:valAx>
        <c:axId val="529940943"/>
        <c:scaling>
          <c:orientation val="minMax"/>
        </c:scaling>
        <c:delete val="1"/>
        <c:axPos val="b"/>
        <c:numFmt formatCode="0%" sourceLinked="1"/>
        <c:majorTickMark val="none"/>
        <c:minorTickMark val="none"/>
        <c:tickLblPos val="nextTo"/>
        <c:crossAx val="529924719"/>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12700" cap="flat" cmpd="sng" algn="ctr">
      <a:solidFill>
        <a:schemeClr val="tx1">
          <a:lumMod val="15000"/>
          <a:lumOff val="85000"/>
        </a:schemeClr>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497B4-8726-4D5F-8090-54DD10310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1162</Words>
  <Characters>6395</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Comunicado. Valor Agregado Bruto del Comercio Electrónico</vt:lpstr>
    </vt:vector>
  </TitlesOfParts>
  <Company>INEGI</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Valor Agregado Bruto del Comercio Electrónico</dc:title>
  <dc:creator>INEGI</dc:creator>
  <cp:lastModifiedBy>GUILLEN MEDINA MOISES</cp:lastModifiedBy>
  <cp:revision>6</cp:revision>
  <cp:lastPrinted>2014-07-29T21:03:00Z</cp:lastPrinted>
  <dcterms:created xsi:type="dcterms:W3CDTF">2022-02-11T02:06:00Z</dcterms:created>
  <dcterms:modified xsi:type="dcterms:W3CDTF">2022-02-11T02:48:00Z</dcterms:modified>
</cp:coreProperties>
</file>