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3BD05" w14:textId="77777777" w:rsidR="004B30E3" w:rsidRDefault="004B30E3" w:rsidP="004B5311">
      <w:pPr>
        <w:pStyle w:val="p0"/>
        <w:spacing w:before="0"/>
        <w:ind w:left="-567" w:right="425"/>
        <w:jc w:val="center"/>
        <w:rPr>
          <w:rFonts w:cs="Arial"/>
          <w:b/>
          <w:bCs/>
          <w:color w:val="auto"/>
          <w:szCs w:val="24"/>
          <w:lang w:val="es-MX"/>
        </w:rPr>
      </w:pPr>
    </w:p>
    <w:p w14:paraId="7BD021FF" w14:textId="77777777" w:rsidR="00EE6F34" w:rsidRDefault="00EE6F34" w:rsidP="004B5311">
      <w:pPr>
        <w:pStyle w:val="p0"/>
        <w:spacing w:before="0"/>
        <w:ind w:left="-567" w:right="425"/>
        <w:jc w:val="center"/>
        <w:rPr>
          <w:rFonts w:cs="Arial"/>
          <w:b/>
          <w:bCs/>
          <w:color w:val="auto"/>
          <w:szCs w:val="24"/>
          <w:lang w:val="es-MX"/>
        </w:rPr>
      </w:pPr>
    </w:p>
    <w:p w14:paraId="0AC8D080" w14:textId="69ACA764" w:rsidR="00DB2229" w:rsidRDefault="00DB2229" w:rsidP="004B5311">
      <w:pPr>
        <w:pStyle w:val="p0"/>
        <w:spacing w:before="0"/>
        <w:ind w:left="-567" w:right="425"/>
        <w:jc w:val="center"/>
        <w:rPr>
          <w:rFonts w:cs="Arial"/>
          <w:b/>
          <w:bCs/>
          <w:color w:val="auto"/>
          <w:szCs w:val="24"/>
          <w:lang w:val="es-MX"/>
        </w:rPr>
      </w:pPr>
      <w:bookmarkStart w:id="0" w:name="_GoBack"/>
      <w:bookmarkEnd w:id="0"/>
      <w:r>
        <w:rPr>
          <w:rFonts w:cs="Arial"/>
          <w:b/>
          <w:bCs/>
          <w:color w:val="auto"/>
          <w:szCs w:val="24"/>
          <w:lang w:val="es-MX"/>
        </w:rPr>
        <w:t>DEFUNCIONES POR HOMICIDIO</w:t>
      </w:r>
      <w:r w:rsidR="00847B28">
        <w:rPr>
          <w:rFonts w:cs="Arial"/>
          <w:b/>
          <w:bCs/>
          <w:color w:val="auto"/>
          <w:szCs w:val="24"/>
          <w:lang w:val="es-MX"/>
        </w:rPr>
        <w:t xml:space="preserve"> </w:t>
      </w:r>
      <w:r w:rsidR="00EC1AE2">
        <w:rPr>
          <w:rFonts w:cs="Arial"/>
          <w:b/>
          <w:bCs/>
          <w:color w:val="auto"/>
          <w:szCs w:val="24"/>
          <w:lang w:val="es-MX"/>
        </w:rPr>
        <w:t>DE</w:t>
      </w:r>
      <w:r w:rsidR="00847B28">
        <w:rPr>
          <w:rFonts w:cs="Arial"/>
          <w:b/>
          <w:bCs/>
          <w:color w:val="auto"/>
          <w:szCs w:val="24"/>
          <w:lang w:val="es-MX"/>
        </w:rPr>
        <w:t xml:space="preserve"> </w:t>
      </w:r>
      <w:r w:rsidR="00173488">
        <w:rPr>
          <w:rFonts w:cs="Arial"/>
          <w:b/>
          <w:bCs/>
          <w:color w:val="auto"/>
          <w:szCs w:val="24"/>
          <w:lang w:val="es-MX"/>
        </w:rPr>
        <w:t xml:space="preserve">ENERO A JUNIO DE </w:t>
      </w:r>
      <w:r w:rsidR="00847B28">
        <w:rPr>
          <w:rFonts w:cs="Arial"/>
          <w:b/>
          <w:bCs/>
          <w:color w:val="auto"/>
          <w:szCs w:val="24"/>
          <w:lang w:val="es-MX"/>
        </w:rPr>
        <w:t>20</w:t>
      </w:r>
      <w:r w:rsidR="0009342E">
        <w:rPr>
          <w:rFonts w:cs="Arial"/>
          <w:b/>
          <w:bCs/>
          <w:color w:val="auto"/>
          <w:szCs w:val="24"/>
          <w:lang w:val="es-MX"/>
        </w:rPr>
        <w:t>2</w:t>
      </w:r>
      <w:r>
        <w:rPr>
          <w:rFonts w:cs="Arial"/>
          <w:b/>
          <w:bCs/>
          <w:color w:val="auto"/>
          <w:szCs w:val="24"/>
          <w:lang w:val="es-MX"/>
        </w:rPr>
        <w:t>2</w:t>
      </w:r>
    </w:p>
    <w:p w14:paraId="54F36C81" w14:textId="7AB53629" w:rsidR="00377B9D" w:rsidRDefault="00DB2229" w:rsidP="004B5311">
      <w:pPr>
        <w:pStyle w:val="p0"/>
        <w:spacing w:before="0"/>
        <w:ind w:left="-567" w:right="425"/>
        <w:jc w:val="center"/>
        <w:rPr>
          <w:rFonts w:cs="Arial"/>
          <w:b/>
          <w:bCs/>
          <w:color w:val="auto"/>
          <w:szCs w:val="24"/>
          <w:lang w:val="es-MX"/>
        </w:rPr>
      </w:pPr>
      <w:r>
        <w:rPr>
          <w:rFonts w:cs="Arial"/>
          <w:b/>
          <w:bCs/>
          <w:color w:val="auto"/>
          <w:szCs w:val="24"/>
          <w:lang w:val="es-MX"/>
        </w:rPr>
        <w:t>(PRELIMINAR)</w:t>
      </w:r>
      <w:r w:rsidR="00023433" w:rsidRPr="00EA427E">
        <w:rPr>
          <w:rStyle w:val="Refdenotaalpie"/>
          <w:rFonts w:cs="Arial"/>
          <w:bCs/>
          <w:color w:val="000000"/>
          <w:szCs w:val="24"/>
          <w:lang w:val="es-MX"/>
        </w:rPr>
        <w:footnoteReference w:id="1"/>
      </w:r>
    </w:p>
    <w:p w14:paraId="14EBACEC" w14:textId="77777777" w:rsidR="00EE6F34" w:rsidRPr="004B5311" w:rsidRDefault="00EE6F34" w:rsidP="004B5311">
      <w:pPr>
        <w:pStyle w:val="p0"/>
        <w:spacing w:before="0"/>
        <w:ind w:left="-567" w:right="425"/>
        <w:jc w:val="center"/>
        <w:rPr>
          <w:rFonts w:cs="Arial"/>
          <w:b/>
          <w:bCs/>
          <w:color w:val="auto"/>
          <w:szCs w:val="24"/>
          <w:lang w:val="es-MX"/>
        </w:rPr>
      </w:pPr>
    </w:p>
    <w:p w14:paraId="19967EF0" w14:textId="77777777" w:rsidR="00C94368" w:rsidRDefault="00C94368" w:rsidP="008B52BD">
      <w:pPr>
        <w:pStyle w:val="p0"/>
        <w:spacing w:before="0" w:line="120" w:lineRule="auto"/>
        <w:ind w:left="-567" w:right="425"/>
        <w:jc w:val="center"/>
        <w:rPr>
          <w:rFonts w:cs="Arial"/>
          <w:b/>
          <w:bCs/>
          <w:color w:val="auto"/>
          <w:szCs w:val="26"/>
          <w:lang w:val="es-MX"/>
        </w:rPr>
      </w:pPr>
    </w:p>
    <w:p w14:paraId="4ACED311" w14:textId="5AE711D3" w:rsidR="00C25802" w:rsidRPr="004B30E3" w:rsidRDefault="00C25802" w:rsidP="00EE6F34">
      <w:pPr>
        <w:pStyle w:val="p0"/>
        <w:numPr>
          <w:ilvl w:val="0"/>
          <w:numId w:val="5"/>
        </w:numPr>
        <w:tabs>
          <w:tab w:val="left" w:pos="8080"/>
        </w:tabs>
        <w:spacing w:before="120"/>
        <w:ind w:left="-142" w:right="1134" w:hanging="284"/>
        <w:rPr>
          <w:rFonts w:cs="Arial"/>
          <w:bCs/>
          <w:color w:val="auto"/>
          <w:szCs w:val="24"/>
          <w:lang w:val="es-MX"/>
        </w:rPr>
      </w:pPr>
      <w:r w:rsidRPr="004B30E3">
        <w:rPr>
          <w:rFonts w:cs="Arial"/>
          <w:bCs/>
          <w:color w:val="auto"/>
          <w:szCs w:val="24"/>
          <w:lang w:val="es-MX"/>
        </w:rPr>
        <w:t xml:space="preserve">De </w:t>
      </w:r>
      <w:r w:rsidRPr="00C147E6">
        <w:rPr>
          <w:rFonts w:cs="Arial"/>
          <w:bCs/>
          <w:color w:val="auto"/>
          <w:szCs w:val="24"/>
          <w:lang w:val="es-MX"/>
        </w:rPr>
        <w:t>enero a junio de 2022</w:t>
      </w:r>
      <w:r w:rsidR="00725DB9">
        <w:rPr>
          <w:rFonts w:cs="Arial"/>
          <w:bCs/>
          <w:color w:val="auto"/>
          <w:szCs w:val="24"/>
          <w:lang w:val="es-MX"/>
        </w:rPr>
        <w:t>,</w:t>
      </w:r>
      <w:r w:rsidRPr="00C147E6">
        <w:rPr>
          <w:rFonts w:cs="Arial"/>
          <w:bCs/>
          <w:color w:val="auto"/>
          <w:szCs w:val="24"/>
          <w:lang w:val="es-MX"/>
        </w:rPr>
        <w:t xml:space="preserve"> se registraron 15 561 homicidios en México</w:t>
      </w:r>
      <w:r w:rsidR="00725DB9">
        <w:rPr>
          <w:rFonts w:cs="Arial"/>
          <w:bCs/>
          <w:color w:val="auto"/>
          <w:szCs w:val="24"/>
          <w:lang w:val="es-MX"/>
        </w:rPr>
        <w:t xml:space="preserve">. La </w:t>
      </w:r>
      <w:r w:rsidR="006C6E9D">
        <w:rPr>
          <w:rFonts w:cs="Arial"/>
          <w:bCs/>
          <w:color w:val="auto"/>
          <w:szCs w:val="24"/>
          <w:lang w:val="es-MX"/>
        </w:rPr>
        <w:t xml:space="preserve">tasa </w:t>
      </w:r>
      <w:r w:rsidR="00725DB9">
        <w:rPr>
          <w:rFonts w:cs="Arial"/>
          <w:bCs/>
          <w:color w:val="auto"/>
          <w:szCs w:val="24"/>
          <w:lang w:val="es-MX"/>
        </w:rPr>
        <w:t>fue</w:t>
      </w:r>
      <w:r w:rsidRPr="00C147E6">
        <w:rPr>
          <w:rFonts w:cs="Arial"/>
          <w:bCs/>
          <w:color w:val="auto"/>
          <w:szCs w:val="24"/>
          <w:lang w:val="es-MX"/>
        </w:rPr>
        <w:t xml:space="preserve"> de 12 homicidios por cada 100 mil </w:t>
      </w:r>
      <w:r w:rsidRPr="00A73917">
        <w:rPr>
          <w:rFonts w:cs="Arial"/>
          <w:bCs/>
          <w:color w:val="auto"/>
          <w:szCs w:val="24"/>
          <w:lang w:val="es-MX"/>
        </w:rPr>
        <w:t>habitantes</w:t>
      </w:r>
      <w:r w:rsidR="006C6E9D" w:rsidRPr="00A73917">
        <w:rPr>
          <w:rFonts w:cs="Arial"/>
          <w:bCs/>
          <w:color w:val="auto"/>
          <w:szCs w:val="24"/>
        </w:rPr>
        <w:t xml:space="preserve"> a nivel nacional</w:t>
      </w:r>
      <w:r w:rsidR="009C3BE0">
        <w:rPr>
          <w:rFonts w:cs="Arial"/>
          <w:bCs/>
          <w:color w:val="auto"/>
          <w:szCs w:val="24"/>
        </w:rPr>
        <w:t>.</w:t>
      </w:r>
    </w:p>
    <w:p w14:paraId="78E6CDE9" w14:textId="4D5B80D1" w:rsidR="006C6E9D" w:rsidRPr="008B52BD" w:rsidRDefault="006C6E9D" w:rsidP="00EE6F34">
      <w:pPr>
        <w:pStyle w:val="p0"/>
        <w:numPr>
          <w:ilvl w:val="0"/>
          <w:numId w:val="4"/>
        </w:numPr>
        <w:tabs>
          <w:tab w:val="left" w:pos="8080"/>
        </w:tabs>
        <w:spacing w:before="120"/>
        <w:ind w:left="-142" w:right="1134" w:hanging="284"/>
        <w:rPr>
          <w:rFonts w:cs="Arial"/>
          <w:bCs/>
          <w:color w:val="000000" w:themeColor="text1"/>
          <w:szCs w:val="24"/>
          <w:lang w:val="es-MX"/>
        </w:rPr>
      </w:pPr>
      <w:r>
        <w:rPr>
          <w:rFonts w:cs="Arial"/>
          <w:color w:val="auto"/>
          <w:szCs w:val="24"/>
          <w:lang w:val="es-MX"/>
        </w:rPr>
        <w:t xml:space="preserve">El principal medio usado para provocar </w:t>
      </w:r>
      <w:r w:rsidR="004B30E3" w:rsidRPr="004B30E3">
        <w:rPr>
          <w:rFonts w:cs="Arial"/>
          <w:color w:val="auto"/>
          <w:szCs w:val="24"/>
          <w:lang w:val="es-MX"/>
        </w:rPr>
        <w:t>homicidio</w:t>
      </w:r>
      <w:r w:rsidR="00725DB9">
        <w:rPr>
          <w:rFonts w:cs="Arial"/>
          <w:color w:val="auto"/>
          <w:szCs w:val="24"/>
          <w:lang w:val="es-MX"/>
        </w:rPr>
        <w:t>,</w:t>
      </w:r>
      <w:r w:rsidR="004B30E3" w:rsidRPr="004B30E3">
        <w:rPr>
          <w:rFonts w:cs="Arial"/>
          <w:color w:val="auto"/>
          <w:szCs w:val="24"/>
          <w:lang w:val="es-MX"/>
        </w:rPr>
        <w:t xml:space="preserve"> durante el primer semestre de 2022</w:t>
      </w:r>
      <w:r w:rsidR="00725DB9">
        <w:rPr>
          <w:rFonts w:cs="Arial"/>
          <w:color w:val="auto"/>
          <w:szCs w:val="24"/>
          <w:lang w:val="es-MX"/>
        </w:rPr>
        <w:t>,</w:t>
      </w:r>
      <w:r w:rsidR="004B30E3" w:rsidRPr="004B30E3">
        <w:rPr>
          <w:rFonts w:cs="Arial"/>
          <w:color w:val="auto"/>
          <w:szCs w:val="24"/>
          <w:lang w:val="es-MX"/>
        </w:rPr>
        <w:t xml:space="preserve"> fue </w:t>
      </w:r>
      <w:r>
        <w:rPr>
          <w:rFonts w:cs="Arial"/>
          <w:color w:val="auto"/>
          <w:szCs w:val="24"/>
          <w:lang w:val="es-MX"/>
        </w:rPr>
        <w:t>la</w:t>
      </w:r>
      <w:r w:rsidR="004B30E3" w:rsidRPr="004B30E3">
        <w:rPr>
          <w:rFonts w:cs="Arial"/>
          <w:color w:val="auto"/>
          <w:szCs w:val="24"/>
          <w:lang w:val="es-MX"/>
        </w:rPr>
        <w:t xml:space="preserve"> </w:t>
      </w:r>
      <w:r w:rsidR="008B52BD" w:rsidRPr="008B52BD">
        <w:rPr>
          <w:rFonts w:cs="Arial"/>
          <w:color w:val="000000"/>
          <w:szCs w:val="24"/>
        </w:rPr>
        <w:t>agresi</w:t>
      </w:r>
      <w:r w:rsidR="008B52BD" w:rsidRPr="00C147E6">
        <w:rPr>
          <w:rFonts w:cs="Arial"/>
          <w:color w:val="000000"/>
          <w:szCs w:val="24"/>
        </w:rPr>
        <w:t>ón</w:t>
      </w:r>
      <w:r w:rsidR="00AF1BB7" w:rsidRPr="008B52BD">
        <w:rPr>
          <w:rFonts w:cs="Arial"/>
          <w:color w:val="000000"/>
          <w:szCs w:val="24"/>
        </w:rPr>
        <w:t xml:space="preserve"> con disparo de armas de fuego</w:t>
      </w:r>
      <w:r w:rsidR="003D5D13">
        <w:rPr>
          <w:rFonts w:cs="Arial"/>
          <w:color w:val="000000"/>
          <w:szCs w:val="24"/>
        </w:rPr>
        <w:t>,</w:t>
      </w:r>
      <w:r>
        <w:rPr>
          <w:rFonts w:cs="Arial"/>
          <w:color w:val="000000"/>
          <w:szCs w:val="24"/>
        </w:rPr>
        <w:t xml:space="preserve"> con </w:t>
      </w:r>
      <w:r>
        <w:rPr>
          <w:rFonts w:cs="Arial"/>
          <w:bCs/>
          <w:color w:val="000000" w:themeColor="text1"/>
          <w:szCs w:val="24"/>
          <w:lang w:val="es-MX"/>
        </w:rPr>
        <w:t xml:space="preserve">68.1 %, seguido de </w:t>
      </w:r>
      <w:r w:rsidR="00DB7AC6">
        <w:rPr>
          <w:rFonts w:cs="Arial"/>
          <w:bCs/>
          <w:color w:val="000000" w:themeColor="text1"/>
          <w:szCs w:val="24"/>
          <w:lang w:val="es-MX"/>
        </w:rPr>
        <w:t xml:space="preserve">arma blanca, con </w:t>
      </w:r>
      <w:r>
        <w:rPr>
          <w:rFonts w:cs="Arial"/>
          <w:bCs/>
          <w:color w:val="000000" w:themeColor="text1"/>
          <w:szCs w:val="24"/>
          <w:lang w:val="es-MX"/>
        </w:rPr>
        <w:t>9.7 %</w:t>
      </w:r>
      <w:r w:rsidR="00DB7AC6">
        <w:rPr>
          <w:rFonts w:cs="Arial"/>
          <w:bCs/>
          <w:color w:val="000000" w:themeColor="text1"/>
          <w:szCs w:val="24"/>
          <w:lang w:val="es-MX"/>
        </w:rPr>
        <w:t>;</w:t>
      </w:r>
      <w:r>
        <w:rPr>
          <w:rFonts w:cs="Arial"/>
          <w:bCs/>
          <w:color w:val="000000" w:themeColor="text1"/>
          <w:szCs w:val="24"/>
          <w:lang w:val="es-MX"/>
        </w:rPr>
        <w:t xml:space="preserve"> 7.0 % </w:t>
      </w:r>
      <w:r w:rsidR="00DB7AC6">
        <w:rPr>
          <w:rFonts w:cs="Arial"/>
          <w:bCs/>
          <w:color w:val="000000" w:themeColor="text1"/>
          <w:szCs w:val="24"/>
          <w:lang w:val="es-MX"/>
        </w:rPr>
        <w:t xml:space="preserve">se generó por </w:t>
      </w:r>
      <w:r>
        <w:rPr>
          <w:rFonts w:cs="Arial"/>
          <w:bCs/>
          <w:color w:val="000000" w:themeColor="text1"/>
          <w:szCs w:val="24"/>
          <w:lang w:val="es-MX"/>
        </w:rPr>
        <w:t>ahorcamiento, estrangulamiento y sofocación</w:t>
      </w:r>
      <w:r w:rsidR="00EE6F34">
        <w:rPr>
          <w:rFonts w:cs="Arial"/>
          <w:bCs/>
          <w:color w:val="000000" w:themeColor="text1"/>
          <w:szCs w:val="24"/>
          <w:lang w:val="es-MX"/>
        </w:rPr>
        <w:t>. E</w:t>
      </w:r>
      <w:r>
        <w:rPr>
          <w:rFonts w:cs="Arial"/>
          <w:bCs/>
          <w:color w:val="000000" w:themeColor="text1"/>
          <w:szCs w:val="24"/>
          <w:lang w:val="es-MX"/>
        </w:rPr>
        <w:t>n los restantes se utilizaron otros medios.</w:t>
      </w:r>
    </w:p>
    <w:p w14:paraId="69C33E67" w14:textId="3A82635C" w:rsidR="006C6E9D" w:rsidRPr="006C6E9D" w:rsidRDefault="00C25802" w:rsidP="00EE6F34">
      <w:pPr>
        <w:pStyle w:val="p0"/>
        <w:numPr>
          <w:ilvl w:val="0"/>
          <w:numId w:val="4"/>
        </w:numPr>
        <w:tabs>
          <w:tab w:val="left" w:pos="8080"/>
        </w:tabs>
        <w:spacing w:before="120"/>
        <w:ind w:left="-142" w:right="1134" w:hanging="284"/>
        <w:rPr>
          <w:rFonts w:cs="Arial"/>
          <w:bCs/>
          <w:color w:val="000000" w:themeColor="text1"/>
          <w:szCs w:val="24"/>
          <w:lang w:val="es-MX"/>
        </w:rPr>
      </w:pPr>
      <w:r w:rsidRPr="008B52BD">
        <w:rPr>
          <w:rFonts w:cs="Arial"/>
          <w:color w:val="000000" w:themeColor="text1"/>
          <w:szCs w:val="24"/>
        </w:rPr>
        <w:t xml:space="preserve">En el caso de los hombres, </w:t>
      </w:r>
      <w:r w:rsidR="008B52BD">
        <w:rPr>
          <w:rFonts w:cs="Arial"/>
          <w:color w:val="000000" w:themeColor="text1"/>
          <w:szCs w:val="24"/>
        </w:rPr>
        <w:t xml:space="preserve">en el primer semestre de 2022, </w:t>
      </w:r>
      <w:r w:rsidRPr="008B52BD">
        <w:rPr>
          <w:rFonts w:cs="Arial"/>
          <w:color w:val="000000" w:themeColor="text1"/>
          <w:szCs w:val="24"/>
        </w:rPr>
        <w:t xml:space="preserve">la tasa fue de 22 homicidios por cada 100 </w:t>
      </w:r>
      <w:r w:rsidR="00AF1BB7" w:rsidRPr="00C147E6">
        <w:rPr>
          <w:rFonts w:cs="Arial"/>
          <w:color w:val="000000" w:themeColor="text1"/>
          <w:szCs w:val="24"/>
        </w:rPr>
        <w:t>mil</w:t>
      </w:r>
      <w:r w:rsidRPr="008B52BD">
        <w:rPr>
          <w:rFonts w:cs="Arial"/>
          <w:color w:val="000000" w:themeColor="text1"/>
          <w:szCs w:val="24"/>
        </w:rPr>
        <w:t>.</w:t>
      </w:r>
      <w:r w:rsidR="00AF1BB7" w:rsidRPr="00C147E6">
        <w:rPr>
          <w:rFonts w:cs="Arial"/>
          <w:bCs/>
          <w:color w:val="000000" w:themeColor="text1"/>
          <w:szCs w:val="24"/>
          <w:lang w:val="es-MX"/>
        </w:rPr>
        <w:t xml:space="preserve"> </w:t>
      </w:r>
      <w:r w:rsidR="008B52BD">
        <w:rPr>
          <w:rFonts w:cs="Arial"/>
          <w:bCs/>
          <w:color w:val="000000" w:themeColor="text1"/>
          <w:szCs w:val="24"/>
          <w:lang w:val="es-MX"/>
        </w:rPr>
        <w:t xml:space="preserve">Para las mujeres, la tasa fue de </w:t>
      </w:r>
      <w:r w:rsidRPr="008B52BD">
        <w:rPr>
          <w:rFonts w:cs="Arial"/>
          <w:color w:val="000000" w:themeColor="text1"/>
          <w:szCs w:val="24"/>
        </w:rPr>
        <w:t>tres por cada 100</w:t>
      </w:r>
      <w:r w:rsidR="004B30E3">
        <w:rPr>
          <w:rFonts w:cs="Arial"/>
          <w:color w:val="000000" w:themeColor="text1"/>
          <w:szCs w:val="24"/>
        </w:rPr>
        <w:t xml:space="preserve"> mil</w:t>
      </w:r>
      <w:r w:rsidR="00AF1BB7" w:rsidRPr="00C147E6">
        <w:rPr>
          <w:rFonts w:cs="Arial"/>
          <w:color w:val="000000" w:themeColor="text1"/>
          <w:szCs w:val="24"/>
        </w:rPr>
        <w:t>.</w:t>
      </w:r>
    </w:p>
    <w:p w14:paraId="6844E6AE" w14:textId="77777777" w:rsidR="00377B9D" w:rsidRPr="003D68FD" w:rsidRDefault="00B2477D" w:rsidP="00B2477D">
      <w:pPr>
        <w:pStyle w:val="p0"/>
        <w:tabs>
          <w:tab w:val="left" w:pos="5580"/>
        </w:tabs>
        <w:spacing w:before="0"/>
        <w:ind w:left="-567" w:right="425"/>
        <w:jc w:val="left"/>
        <w:rPr>
          <w:rFonts w:cs="Arial"/>
          <w:b/>
          <w:bCs/>
          <w:color w:val="auto"/>
          <w:sz w:val="22"/>
          <w:szCs w:val="22"/>
          <w:lang w:val="es-MX"/>
        </w:rPr>
      </w:pPr>
      <w:r w:rsidRPr="003D68FD">
        <w:rPr>
          <w:rFonts w:cs="Arial"/>
          <w:b/>
          <w:bCs/>
          <w:color w:val="auto"/>
          <w:sz w:val="22"/>
          <w:szCs w:val="22"/>
          <w:lang w:val="es-MX"/>
        </w:rPr>
        <w:tab/>
      </w:r>
    </w:p>
    <w:p w14:paraId="7D539622" w14:textId="77777777" w:rsidR="00EE6F34" w:rsidRDefault="00EE6F34" w:rsidP="00C334C6">
      <w:pPr>
        <w:pStyle w:val="p0"/>
        <w:spacing w:before="0"/>
        <w:ind w:left="-567" w:right="425"/>
        <w:rPr>
          <w:rFonts w:cs="Arial"/>
          <w:bCs/>
          <w:color w:val="auto"/>
          <w:szCs w:val="24"/>
          <w:lang w:val="es-MX"/>
        </w:rPr>
      </w:pPr>
    </w:p>
    <w:p w14:paraId="365287DD" w14:textId="0052A369" w:rsidR="00C334C6" w:rsidRPr="00EA427E" w:rsidRDefault="00377B9D" w:rsidP="00C334C6">
      <w:pPr>
        <w:pStyle w:val="p0"/>
        <w:spacing w:before="0"/>
        <w:ind w:left="-567" w:right="425"/>
        <w:rPr>
          <w:rFonts w:cs="Arial"/>
          <w:bCs/>
          <w:color w:val="auto"/>
          <w:szCs w:val="24"/>
          <w:lang w:val="es-MX"/>
        </w:rPr>
      </w:pPr>
      <w:r w:rsidRPr="00EA427E">
        <w:rPr>
          <w:rFonts w:cs="Arial"/>
          <w:bCs/>
          <w:color w:val="auto"/>
          <w:szCs w:val="24"/>
          <w:lang w:val="es-MX"/>
        </w:rPr>
        <w:t>El Instituto Nacional de Estadística y Geografía (INEG</w:t>
      </w:r>
      <w:r w:rsidR="006B36FA" w:rsidRPr="00EA427E">
        <w:rPr>
          <w:rFonts w:cs="Arial"/>
          <w:bCs/>
          <w:color w:val="auto"/>
          <w:szCs w:val="24"/>
          <w:lang w:val="es-MX"/>
        </w:rPr>
        <w:t xml:space="preserve">I) da a conocer las estadísticas </w:t>
      </w:r>
      <w:r w:rsidR="006B36FA" w:rsidRPr="00EA427E">
        <w:rPr>
          <w:rFonts w:cs="Arial"/>
          <w:bCs/>
          <w:color w:val="000000"/>
          <w:szCs w:val="24"/>
          <w:lang w:val="es-MX"/>
        </w:rPr>
        <w:t>preliminares</w:t>
      </w:r>
      <w:r w:rsidRPr="00EA427E">
        <w:rPr>
          <w:rFonts w:cs="Arial"/>
          <w:bCs/>
          <w:color w:val="auto"/>
          <w:szCs w:val="24"/>
          <w:lang w:val="es-MX"/>
        </w:rPr>
        <w:t xml:space="preserve"> de los homi</w:t>
      </w:r>
      <w:r w:rsidR="00C61ACD" w:rsidRPr="00EA427E">
        <w:rPr>
          <w:rFonts w:cs="Arial"/>
          <w:bCs/>
          <w:color w:val="auto"/>
          <w:szCs w:val="24"/>
          <w:lang w:val="es-MX"/>
        </w:rPr>
        <w:t>cidios registrados en el país durante</w:t>
      </w:r>
      <w:r w:rsidR="00847B28" w:rsidRPr="00EA427E">
        <w:rPr>
          <w:rFonts w:cs="Arial"/>
          <w:bCs/>
          <w:color w:val="auto"/>
          <w:szCs w:val="24"/>
          <w:lang w:val="es-MX"/>
        </w:rPr>
        <w:t xml:space="preserve"> el primer semestre de 20</w:t>
      </w:r>
      <w:r w:rsidR="0009342E" w:rsidRPr="00EA427E">
        <w:rPr>
          <w:rFonts w:cs="Arial"/>
          <w:bCs/>
          <w:color w:val="auto"/>
          <w:szCs w:val="24"/>
          <w:lang w:val="es-MX"/>
        </w:rPr>
        <w:t>2</w:t>
      </w:r>
      <w:r w:rsidR="00DB2229" w:rsidRPr="00EA427E">
        <w:rPr>
          <w:rFonts w:cs="Arial"/>
          <w:bCs/>
          <w:color w:val="auto"/>
          <w:szCs w:val="24"/>
          <w:lang w:val="es-MX"/>
        </w:rPr>
        <w:t>2</w:t>
      </w:r>
      <w:r w:rsidR="008B52BD">
        <w:rPr>
          <w:rFonts w:cs="Arial"/>
          <w:bCs/>
          <w:color w:val="auto"/>
          <w:szCs w:val="24"/>
          <w:lang w:val="es-MX"/>
        </w:rPr>
        <w:t>, a nivel nacional</w:t>
      </w:r>
      <w:r w:rsidR="00847B28" w:rsidRPr="00EA427E">
        <w:rPr>
          <w:rFonts w:cs="Arial"/>
          <w:bCs/>
          <w:color w:val="auto"/>
          <w:szCs w:val="24"/>
          <w:lang w:val="es-MX"/>
        </w:rPr>
        <w:t>.</w:t>
      </w:r>
    </w:p>
    <w:p w14:paraId="1732FD48" w14:textId="77777777" w:rsidR="00C334C6" w:rsidRPr="00EA427E" w:rsidRDefault="00C334C6" w:rsidP="00C334C6">
      <w:pPr>
        <w:pStyle w:val="p0"/>
        <w:spacing w:before="0"/>
        <w:ind w:left="-567" w:right="425"/>
        <w:rPr>
          <w:rFonts w:cs="Arial"/>
          <w:bCs/>
          <w:color w:val="auto"/>
          <w:szCs w:val="24"/>
          <w:lang w:val="es-MX"/>
        </w:rPr>
      </w:pPr>
    </w:p>
    <w:p w14:paraId="1A2B7E63" w14:textId="6844A684" w:rsidR="00AA623E" w:rsidRDefault="004B30E3" w:rsidP="00BA3852">
      <w:pPr>
        <w:pStyle w:val="p0"/>
        <w:spacing w:before="0"/>
        <w:ind w:left="-567" w:right="425"/>
        <w:rPr>
          <w:rFonts w:cs="Arial"/>
          <w:bCs/>
          <w:color w:val="auto"/>
          <w:szCs w:val="24"/>
          <w:lang w:val="es-MX"/>
        </w:rPr>
      </w:pPr>
      <w:r>
        <w:rPr>
          <w:rFonts w:cs="Arial"/>
          <w:bCs/>
          <w:color w:val="auto"/>
          <w:szCs w:val="24"/>
          <w:lang w:val="es-MX"/>
        </w:rPr>
        <w:t>De</w:t>
      </w:r>
      <w:r w:rsidR="00DB2229" w:rsidRPr="00EA427E">
        <w:rPr>
          <w:rFonts w:cs="Arial"/>
          <w:bCs/>
          <w:color w:val="auto"/>
          <w:szCs w:val="24"/>
          <w:lang w:val="es-MX"/>
        </w:rPr>
        <w:t xml:space="preserve"> enero a junio</w:t>
      </w:r>
      <w:r w:rsidR="0039524F" w:rsidRPr="00EA427E">
        <w:rPr>
          <w:rFonts w:cs="Arial"/>
          <w:bCs/>
          <w:color w:val="auto"/>
          <w:szCs w:val="24"/>
          <w:lang w:val="es-MX"/>
        </w:rPr>
        <w:t xml:space="preserve"> de 20</w:t>
      </w:r>
      <w:r w:rsidR="0009342E" w:rsidRPr="00EA427E">
        <w:rPr>
          <w:rFonts w:cs="Arial"/>
          <w:bCs/>
          <w:color w:val="auto"/>
          <w:szCs w:val="24"/>
          <w:lang w:val="es-MX"/>
        </w:rPr>
        <w:t>2</w:t>
      </w:r>
      <w:r w:rsidR="00DB2229" w:rsidRPr="00EA427E">
        <w:rPr>
          <w:rFonts w:cs="Arial"/>
          <w:bCs/>
          <w:color w:val="auto"/>
          <w:szCs w:val="24"/>
          <w:lang w:val="es-MX"/>
        </w:rPr>
        <w:t>2</w:t>
      </w:r>
      <w:r w:rsidR="00BA628C">
        <w:rPr>
          <w:rFonts w:cs="Arial"/>
          <w:bCs/>
          <w:color w:val="auto"/>
          <w:szCs w:val="24"/>
          <w:lang w:val="es-MX"/>
        </w:rPr>
        <w:t>,</w:t>
      </w:r>
      <w:r w:rsidR="0039524F" w:rsidRPr="00EA427E">
        <w:rPr>
          <w:rFonts w:cs="Arial"/>
          <w:bCs/>
          <w:color w:val="auto"/>
          <w:szCs w:val="24"/>
          <w:lang w:val="es-MX"/>
        </w:rPr>
        <w:t xml:space="preserve"> se registraron </w:t>
      </w:r>
      <w:bookmarkStart w:id="1" w:name="_Hlk124854865"/>
      <w:r w:rsidR="00DB2229" w:rsidRPr="00EA427E">
        <w:rPr>
          <w:rFonts w:cs="Arial"/>
          <w:bCs/>
          <w:color w:val="auto"/>
          <w:szCs w:val="24"/>
          <w:lang w:val="es-MX"/>
        </w:rPr>
        <w:t>15</w:t>
      </w:r>
      <w:r w:rsidR="00E82A67">
        <w:rPr>
          <w:rFonts w:cs="Arial"/>
          <w:bCs/>
          <w:color w:val="auto"/>
          <w:szCs w:val="24"/>
          <w:lang w:val="es-MX"/>
        </w:rPr>
        <w:t xml:space="preserve"> </w:t>
      </w:r>
      <w:r w:rsidR="00DB2229" w:rsidRPr="00EA427E">
        <w:rPr>
          <w:rFonts w:cs="Arial"/>
          <w:bCs/>
          <w:color w:val="auto"/>
          <w:szCs w:val="24"/>
          <w:lang w:val="es-MX"/>
        </w:rPr>
        <w:t>561</w:t>
      </w:r>
      <w:r w:rsidR="009A0E80" w:rsidRPr="00EA427E">
        <w:rPr>
          <w:rFonts w:cs="Arial"/>
          <w:bCs/>
          <w:color w:val="auto"/>
          <w:szCs w:val="24"/>
          <w:lang w:val="es-MX"/>
        </w:rPr>
        <w:t xml:space="preserve"> </w:t>
      </w:r>
      <w:bookmarkEnd w:id="1"/>
      <w:r w:rsidR="0039524F" w:rsidRPr="00EA427E">
        <w:rPr>
          <w:rFonts w:cs="Arial"/>
          <w:bCs/>
          <w:color w:val="auto"/>
          <w:szCs w:val="24"/>
          <w:lang w:val="es-MX"/>
        </w:rPr>
        <w:t>homicidios en México</w:t>
      </w:r>
      <w:r w:rsidR="008B52BD">
        <w:rPr>
          <w:rFonts w:cs="Arial"/>
          <w:bCs/>
          <w:color w:val="auto"/>
          <w:szCs w:val="24"/>
          <w:lang w:val="es-MX"/>
        </w:rPr>
        <w:t xml:space="preserve">: </w:t>
      </w:r>
      <w:r w:rsidR="00C334C6" w:rsidRPr="00EA427E">
        <w:rPr>
          <w:rFonts w:cs="Arial"/>
          <w:bCs/>
          <w:color w:val="auto"/>
          <w:szCs w:val="24"/>
          <w:lang w:val="es-MX"/>
        </w:rPr>
        <w:t xml:space="preserve">una </w:t>
      </w:r>
      <w:r w:rsidR="008F6E4A">
        <w:rPr>
          <w:rFonts w:cs="Arial"/>
          <w:bCs/>
          <w:color w:val="auto"/>
          <w:szCs w:val="24"/>
          <w:lang w:val="es-MX"/>
        </w:rPr>
        <w:t>tasa</w:t>
      </w:r>
      <w:r w:rsidR="008F6E4A" w:rsidRPr="00EA427E">
        <w:rPr>
          <w:rFonts w:cs="Arial"/>
          <w:bCs/>
          <w:color w:val="auto"/>
          <w:szCs w:val="24"/>
          <w:lang w:val="es-MX"/>
        </w:rPr>
        <w:t xml:space="preserve"> </w:t>
      </w:r>
      <w:r w:rsidR="00C334C6" w:rsidRPr="00EA427E">
        <w:rPr>
          <w:rFonts w:cs="Arial"/>
          <w:bCs/>
          <w:color w:val="auto"/>
          <w:szCs w:val="24"/>
          <w:lang w:val="es-MX"/>
        </w:rPr>
        <w:t xml:space="preserve">de </w:t>
      </w:r>
      <w:r w:rsidR="0039524F" w:rsidRPr="00EA427E">
        <w:rPr>
          <w:rFonts w:cs="Arial"/>
          <w:bCs/>
          <w:color w:val="auto"/>
          <w:szCs w:val="24"/>
          <w:lang w:val="es-MX"/>
        </w:rPr>
        <w:t>1</w:t>
      </w:r>
      <w:r w:rsidR="00DB2229" w:rsidRPr="00EA427E">
        <w:rPr>
          <w:rFonts w:cs="Arial"/>
          <w:bCs/>
          <w:color w:val="auto"/>
          <w:szCs w:val="24"/>
          <w:lang w:val="es-MX"/>
        </w:rPr>
        <w:t>2</w:t>
      </w:r>
      <w:r w:rsidR="00C334C6" w:rsidRPr="00EA427E">
        <w:rPr>
          <w:rFonts w:cs="Arial"/>
          <w:bCs/>
          <w:color w:val="auto"/>
          <w:szCs w:val="24"/>
          <w:lang w:val="es-MX"/>
        </w:rPr>
        <w:t xml:space="preserve"> homicidios por cada 100 mil habitantes a nivel nacional</w:t>
      </w:r>
      <w:r w:rsidR="008F6E4A">
        <w:rPr>
          <w:rFonts w:cs="Arial"/>
          <w:bCs/>
          <w:color w:val="auto"/>
          <w:szCs w:val="24"/>
          <w:lang w:val="es-MX"/>
        </w:rPr>
        <w:t xml:space="preserve">, la cual </w:t>
      </w:r>
      <w:r w:rsidR="008B52BD">
        <w:rPr>
          <w:rFonts w:cs="Arial"/>
          <w:bCs/>
          <w:color w:val="auto"/>
          <w:szCs w:val="24"/>
          <w:lang w:val="es-MX"/>
        </w:rPr>
        <w:t xml:space="preserve">fue </w:t>
      </w:r>
      <w:r w:rsidR="00E01E8D" w:rsidRPr="00EA427E">
        <w:rPr>
          <w:rFonts w:cs="Arial"/>
          <w:bCs/>
          <w:color w:val="auto"/>
          <w:szCs w:val="24"/>
          <w:lang w:val="es-MX"/>
        </w:rPr>
        <w:t>menor</w:t>
      </w:r>
      <w:r w:rsidR="00C334C6" w:rsidRPr="00EA427E">
        <w:rPr>
          <w:rFonts w:cs="Arial"/>
          <w:bCs/>
          <w:color w:val="auto"/>
          <w:szCs w:val="24"/>
          <w:lang w:val="es-MX"/>
        </w:rPr>
        <w:t xml:space="preserve"> a la </w:t>
      </w:r>
      <w:r w:rsidR="002A52FA">
        <w:rPr>
          <w:rFonts w:cs="Arial"/>
          <w:bCs/>
          <w:color w:val="auto"/>
          <w:szCs w:val="24"/>
          <w:lang w:val="es-MX"/>
        </w:rPr>
        <w:t>d</w:t>
      </w:r>
      <w:r w:rsidR="001E0151" w:rsidRPr="00EA427E">
        <w:rPr>
          <w:rFonts w:cs="Arial"/>
          <w:bCs/>
          <w:color w:val="auto"/>
          <w:szCs w:val="24"/>
          <w:lang w:val="es-MX"/>
        </w:rPr>
        <w:t>el mismo periodo</w:t>
      </w:r>
      <w:r w:rsidR="00DB2229" w:rsidRPr="00EA427E">
        <w:rPr>
          <w:rFonts w:cs="Arial"/>
          <w:bCs/>
          <w:color w:val="auto"/>
          <w:szCs w:val="24"/>
          <w:lang w:val="es-MX"/>
        </w:rPr>
        <w:t xml:space="preserve"> de 2021</w:t>
      </w:r>
      <w:r w:rsidR="00C334C6" w:rsidRPr="00EA427E">
        <w:rPr>
          <w:rFonts w:cs="Arial"/>
          <w:bCs/>
          <w:color w:val="auto"/>
          <w:szCs w:val="24"/>
          <w:lang w:val="es-MX"/>
        </w:rPr>
        <w:t>.</w:t>
      </w:r>
      <w:r w:rsidR="0039524F" w:rsidRPr="00EA427E">
        <w:rPr>
          <w:rFonts w:cs="Arial"/>
          <w:bCs/>
          <w:color w:val="auto"/>
          <w:szCs w:val="24"/>
          <w:lang w:val="es-MX"/>
        </w:rPr>
        <w:t xml:space="preserve"> </w:t>
      </w:r>
      <w:r w:rsidR="002A52FA">
        <w:rPr>
          <w:rFonts w:cs="Arial"/>
          <w:bCs/>
          <w:color w:val="auto"/>
          <w:szCs w:val="24"/>
          <w:lang w:val="es-MX"/>
        </w:rPr>
        <w:t>Así, c</w:t>
      </w:r>
      <w:r w:rsidR="008B52BD" w:rsidRPr="00EA427E">
        <w:rPr>
          <w:rFonts w:cs="Arial"/>
          <w:bCs/>
          <w:color w:val="auto"/>
          <w:szCs w:val="24"/>
          <w:lang w:val="es-MX"/>
        </w:rPr>
        <w:t xml:space="preserve">on la finalidad de facilitar </w:t>
      </w:r>
      <w:r w:rsidR="008B52BD">
        <w:rPr>
          <w:rFonts w:cs="Arial"/>
          <w:bCs/>
          <w:color w:val="auto"/>
          <w:szCs w:val="24"/>
          <w:lang w:val="es-MX"/>
        </w:rPr>
        <w:t xml:space="preserve">la </w:t>
      </w:r>
      <w:r w:rsidR="008B52BD" w:rsidRPr="00EA427E">
        <w:rPr>
          <w:rFonts w:cs="Arial"/>
          <w:bCs/>
          <w:color w:val="auto"/>
          <w:szCs w:val="24"/>
          <w:lang w:val="es-MX"/>
        </w:rPr>
        <w:t>comparación con años anteriores, se agrega la serie histórica de la estadística definitiva de presuntos homicidios de los primeros semestres de 1990 a 2021.</w:t>
      </w:r>
    </w:p>
    <w:p w14:paraId="2CB50BAB" w14:textId="77777777" w:rsidR="00AA623E" w:rsidRDefault="00AA623E">
      <w:pPr>
        <w:spacing w:after="0" w:line="240" w:lineRule="auto"/>
        <w:rPr>
          <w:rFonts w:ascii="Arial" w:hAnsi="Arial" w:cs="Arial"/>
          <w:bCs/>
          <w:sz w:val="24"/>
          <w:szCs w:val="24"/>
          <w:lang w:eastAsia="es-ES"/>
        </w:rPr>
      </w:pPr>
      <w:r>
        <w:rPr>
          <w:rFonts w:cs="Arial"/>
          <w:bCs/>
          <w:szCs w:val="24"/>
        </w:rPr>
        <w:br w:type="page"/>
      </w:r>
    </w:p>
    <w:p w14:paraId="1EF2EB96" w14:textId="77777777" w:rsidR="00DB2229" w:rsidRPr="00EA427E" w:rsidRDefault="00DB2229" w:rsidP="00BA3852">
      <w:pPr>
        <w:pStyle w:val="p0"/>
        <w:spacing w:before="0"/>
        <w:ind w:left="-567" w:right="425"/>
        <w:rPr>
          <w:rFonts w:cs="Arial"/>
          <w:bCs/>
          <w:color w:val="auto"/>
          <w:szCs w:val="24"/>
          <w:lang w:val="es-MX"/>
        </w:rPr>
      </w:pPr>
    </w:p>
    <w:p w14:paraId="327CB65B" w14:textId="77777777" w:rsidR="004B30E3" w:rsidRPr="00C4321E" w:rsidRDefault="004B30E3" w:rsidP="004B30E3">
      <w:pPr>
        <w:spacing w:after="0" w:line="240" w:lineRule="auto"/>
        <w:ind w:left="-284" w:right="425"/>
        <w:jc w:val="center"/>
        <w:rPr>
          <w:rFonts w:ascii="Arial" w:hAnsi="Arial" w:cs="Arial"/>
          <w:sz w:val="20"/>
          <w:szCs w:val="20"/>
          <w:lang w:eastAsia="es-ES"/>
        </w:rPr>
      </w:pPr>
      <w:r w:rsidRPr="00C4321E">
        <w:rPr>
          <w:rFonts w:ascii="Arial" w:hAnsi="Arial" w:cs="Arial"/>
          <w:sz w:val="20"/>
          <w:szCs w:val="20"/>
          <w:lang w:eastAsia="es-ES"/>
        </w:rPr>
        <w:t>Gráfica 1</w:t>
      </w:r>
    </w:p>
    <w:p w14:paraId="756C8923" w14:textId="77777777" w:rsidR="004B30E3" w:rsidRPr="00EA427E" w:rsidRDefault="004B30E3" w:rsidP="004B30E3">
      <w:pPr>
        <w:spacing w:after="0" w:line="240" w:lineRule="auto"/>
        <w:ind w:left="-284" w:right="425"/>
        <w:jc w:val="center"/>
        <w:rPr>
          <w:rFonts w:ascii="Arial" w:hAnsi="Arial"/>
          <w:b/>
          <w:bCs/>
          <w:smallCaps/>
          <w:lang w:eastAsia="es-ES"/>
        </w:rPr>
      </w:pPr>
      <w:r w:rsidRPr="00EA427E">
        <w:rPr>
          <w:rFonts w:ascii="Arial" w:hAnsi="Arial"/>
          <w:b/>
          <w:bCs/>
          <w:smallCaps/>
          <w:lang w:eastAsia="es-ES"/>
        </w:rPr>
        <w:t>Homicidios a nivel nacional</w:t>
      </w:r>
    </w:p>
    <w:p w14:paraId="5FD5F9E0" w14:textId="13495B02" w:rsidR="004B30E3" w:rsidRDefault="004B30E3" w:rsidP="004B30E3">
      <w:pPr>
        <w:spacing w:after="0" w:line="240" w:lineRule="auto"/>
        <w:ind w:left="-284" w:right="425"/>
        <w:jc w:val="center"/>
        <w:rPr>
          <w:rFonts w:ascii="Arial" w:hAnsi="Arial"/>
          <w:b/>
          <w:bCs/>
          <w:smallCaps/>
          <w:lang w:eastAsia="es-ES"/>
        </w:rPr>
      </w:pPr>
      <w:r w:rsidRPr="00EA427E">
        <w:rPr>
          <w:rFonts w:ascii="Arial" w:hAnsi="Arial"/>
          <w:b/>
          <w:bCs/>
          <w:smallCaps/>
          <w:lang w:eastAsia="es-ES"/>
        </w:rPr>
        <w:t>Enero a junio de los años señalados</w:t>
      </w:r>
    </w:p>
    <w:p w14:paraId="603E91E8" w14:textId="2E1C3DC0" w:rsidR="004B30E3" w:rsidRDefault="00BC3A33" w:rsidP="00BC3A33">
      <w:pPr>
        <w:spacing w:after="0" w:line="240" w:lineRule="auto"/>
        <w:ind w:left="-284" w:right="425"/>
        <w:jc w:val="center"/>
        <w:rPr>
          <w:noProof/>
        </w:rPr>
      </w:pPr>
      <w:r>
        <w:rPr>
          <w:noProof/>
        </w:rPr>
        <w:drawing>
          <wp:inline distT="0" distB="0" distL="0" distR="0" wp14:anchorId="428F1A5E" wp14:editId="1E2B47F2">
            <wp:extent cx="6210935" cy="3625850"/>
            <wp:effectExtent l="0" t="0" r="18415" b="1270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ED93DF92-2D14-FA67-2EEC-2BC351CAC5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B7055E9" w14:textId="21A0115E" w:rsidR="004B30E3" w:rsidRPr="008B52BD" w:rsidRDefault="004B30E3" w:rsidP="008B52BD">
      <w:pPr>
        <w:spacing w:after="0" w:line="240" w:lineRule="auto"/>
        <w:ind w:left="993" w:right="850" w:hanging="851"/>
        <w:jc w:val="both"/>
        <w:rPr>
          <w:rFonts w:ascii="Arial" w:hAnsi="Arial" w:cs="Arial"/>
          <w:sz w:val="16"/>
          <w:szCs w:val="16"/>
        </w:rPr>
      </w:pPr>
      <w:r w:rsidRPr="008B52BD">
        <w:rPr>
          <w:rFonts w:ascii="Arial" w:hAnsi="Arial" w:cs="Arial"/>
          <w:color w:val="000000"/>
          <w:sz w:val="16"/>
          <w:szCs w:val="16"/>
        </w:rPr>
        <w:t>Nota:</w:t>
      </w:r>
      <w:r w:rsidRPr="008B52BD">
        <w:rPr>
          <w:rFonts w:ascii="Arial" w:hAnsi="Arial" w:cs="Arial"/>
          <w:color w:val="000000"/>
          <w:sz w:val="16"/>
          <w:szCs w:val="16"/>
        </w:rPr>
        <w:tab/>
        <w:t xml:space="preserve">Comprende el total de registros con códigos de causa </w:t>
      </w:r>
      <w:r w:rsidRPr="008B52BD">
        <w:rPr>
          <w:rFonts w:ascii="Arial" w:hAnsi="Arial" w:cs="Arial"/>
          <w:sz w:val="16"/>
          <w:szCs w:val="16"/>
        </w:rPr>
        <w:t>básica para homicidios (X85-Y09) según la Clasificación Estadística Internacional de Enfermedades y Problemas Relacionados con la Salud, Décima Revisión (CIE-10)</w:t>
      </w:r>
      <w:r w:rsidR="006566AA">
        <w:rPr>
          <w:rFonts w:ascii="Arial" w:hAnsi="Arial" w:cs="Arial"/>
          <w:sz w:val="16"/>
          <w:szCs w:val="16"/>
        </w:rPr>
        <w:t>.</w:t>
      </w:r>
    </w:p>
    <w:p w14:paraId="7F9CA34F" w14:textId="189BAF45" w:rsidR="004B30E3" w:rsidRPr="008B52BD" w:rsidRDefault="004B30E3" w:rsidP="008B52BD">
      <w:pPr>
        <w:tabs>
          <w:tab w:val="left" w:pos="567"/>
        </w:tabs>
        <w:spacing w:after="0" w:line="240" w:lineRule="auto"/>
        <w:ind w:left="993" w:right="850" w:hanging="851"/>
        <w:jc w:val="both"/>
        <w:rPr>
          <w:rFonts w:ascii="Arial" w:hAnsi="Arial" w:cs="Arial"/>
          <w:bCs/>
          <w:sz w:val="16"/>
          <w:szCs w:val="16"/>
        </w:rPr>
      </w:pPr>
      <w:r w:rsidRPr="008B52BD">
        <w:rPr>
          <w:rFonts w:ascii="Arial" w:hAnsi="Arial" w:cs="Arial"/>
          <w:bCs/>
          <w:sz w:val="16"/>
          <w:szCs w:val="16"/>
          <w:vertAlign w:val="superscript"/>
        </w:rPr>
        <w:t>p</w:t>
      </w:r>
      <w:r w:rsidR="00EE6F34">
        <w:rPr>
          <w:rFonts w:ascii="Arial" w:hAnsi="Arial" w:cs="Arial"/>
          <w:bCs/>
          <w:sz w:val="16"/>
          <w:szCs w:val="16"/>
          <w:vertAlign w:val="superscript"/>
        </w:rPr>
        <w:t>/</w:t>
      </w:r>
      <w:r w:rsidRPr="008B52BD">
        <w:rPr>
          <w:rFonts w:ascii="Arial" w:hAnsi="Arial" w:cs="Arial"/>
          <w:bCs/>
          <w:sz w:val="16"/>
          <w:szCs w:val="16"/>
        </w:rPr>
        <w:tab/>
      </w:r>
      <w:r w:rsidR="002D6EA2">
        <w:rPr>
          <w:rFonts w:ascii="Arial" w:hAnsi="Arial" w:cs="Arial"/>
          <w:bCs/>
          <w:sz w:val="16"/>
          <w:szCs w:val="16"/>
        </w:rPr>
        <w:t xml:space="preserve">          </w:t>
      </w:r>
      <w:r w:rsidRPr="008B52BD">
        <w:rPr>
          <w:rFonts w:ascii="Arial" w:hAnsi="Arial" w:cs="Arial"/>
          <w:bCs/>
          <w:sz w:val="16"/>
          <w:szCs w:val="16"/>
        </w:rPr>
        <w:t>Cifras preliminares (enero a junio 2022) con corte al 16 de enero de 2023, debido a que aún no concluyen los procesos de generación de la estadística de defunciones registradas.</w:t>
      </w:r>
    </w:p>
    <w:p w14:paraId="3731FB78" w14:textId="7538F83E" w:rsidR="004B30E3" w:rsidRPr="008B52BD" w:rsidRDefault="004B30E3" w:rsidP="008B52BD">
      <w:pPr>
        <w:tabs>
          <w:tab w:val="left" w:pos="567"/>
        </w:tabs>
        <w:spacing w:after="0" w:line="240" w:lineRule="auto"/>
        <w:ind w:left="993" w:right="850" w:hanging="851"/>
        <w:jc w:val="both"/>
        <w:rPr>
          <w:rFonts w:ascii="Arial" w:hAnsi="Arial" w:cs="Arial"/>
          <w:color w:val="000000"/>
          <w:sz w:val="16"/>
          <w:szCs w:val="16"/>
        </w:rPr>
      </w:pPr>
      <w:r w:rsidRPr="008B52BD">
        <w:rPr>
          <w:rFonts w:ascii="Arial" w:hAnsi="Arial" w:cs="Arial"/>
          <w:color w:val="000000"/>
          <w:sz w:val="16"/>
          <w:szCs w:val="16"/>
        </w:rPr>
        <w:t>Fuente:</w:t>
      </w:r>
      <w:r w:rsidRPr="008B52BD">
        <w:rPr>
          <w:rFonts w:ascii="Arial" w:hAnsi="Arial" w:cs="Arial"/>
          <w:color w:val="000000"/>
          <w:sz w:val="16"/>
          <w:szCs w:val="16"/>
        </w:rPr>
        <w:tab/>
        <w:t>INEGI. Estadísticas Vitales. Estadísticas de Defunciones Registradas</w:t>
      </w:r>
    </w:p>
    <w:p w14:paraId="067786D8" w14:textId="77777777" w:rsidR="004B30E3" w:rsidRPr="00EA427E" w:rsidRDefault="004B30E3" w:rsidP="00B2477D">
      <w:pPr>
        <w:pStyle w:val="p0"/>
        <w:spacing w:before="0"/>
        <w:ind w:left="-567" w:right="425"/>
        <w:rPr>
          <w:rFonts w:cs="Arial"/>
          <w:bCs/>
          <w:color w:val="auto"/>
          <w:szCs w:val="24"/>
          <w:lang w:val="es-MX"/>
        </w:rPr>
      </w:pPr>
    </w:p>
    <w:p w14:paraId="44A2FF2A" w14:textId="77777777" w:rsidR="00BA3852" w:rsidRDefault="00BA3852">
      <w:pPr>
        <w:spacing w:after="0" w:line="240" w:lineRule="auto"/>
        <w:ind w:left="-567" w:right="425"/>
        <w:jc w:val="both"/>
        <w:rPr>
          <w:rFonts w:ascii="Arial" w:hAnsi="Arial" w:cs="Arial"/>
          <w:sz w:val="24"/>
          <w:szCs w:val="24"/>
        </w:rPr>
      </w:pPr>
    </w:p>
    <w:p w14:paraId="5CD502C0" w14:textId="0C79B111" w:rsidR="002A52FA" w:rsidRDefault="002F6E9B" w:rsidP="002A52FA">
      <w:pPr>
        <w:spacing w:after="0" w:line="240" w:lineRule="auto"/>
        <w:ind w:left="-567" w:right="425"/>
        <w:jc w:val="both"/>
        <w:rPr>
          <w:rFonts w:ascii="Arial" w:hAnsi="Arial" w:cs="Arial"/>
          <w:sz w:val="24"/>
          <w:szCs w:val="24"/>
        </w:rPr>
      </w:pPr>
      <w:r w:rsidRPr="002F6E9B">
        <w:rPr>
          <w:rFonts w:ascii="Arial" w:hAnsi="Arial" w:cs="Arial"/>
          <w:sz w:val="24"/>
          <w:szCs w:val="24"/>
        </w:rPr>
        <w:t xml:space="preserve">En las siguientes gráficas se muestran las tasas de homicidios por cada 100 mil habitantes </w:t>
      </w:r>
      <w:r w:rsidR="00777D34">
        <w:rPr>
          <w:rFonts w:ascii="Arial" w:hAnsi="Arial" w:cs="Arial"/>
          <w:sz w:val="24"/>
          <w:szCs w:val="24"/>
        </w:rPr>
        <w:t xml:space="preserve">para </w:t>
      </w:r>
      <w:r w:rsidRPr="002F6E9B">
        <w:rPr>
          <w:rFonts w:ascii="Arial" w:hAnsi="Arial" w:cs="Arial"/>
          <w:sz w:val="24"/>
          <w:szCs w:val="24"/>
        </w:rPr>
        <w:t xml:space="preserve">el periodo de referencia, a nivel nacional, </w:t>
      </w:r>
      <w:r w:rsidR="00BA628C">
        <w:rPr>
          <w:rFonts w:ascii="Arial" w:hAnsi="Arial" w:cs="Arial"/>
          <w:sz w:val="24"/>
          <w:szCs w:val="24"/>
        </w:rPr>
        <w:t>p</w:t>
      </w:r>
      <w:r w:rsidRPr="002F6E9B">
        <w:rPr>
          <w:rFonts w:ascii="Arial" w:hAnsi="Arial" w:cs="Arial"/>
          <w:sz w:val="24"/>
          <w:szCs w:val="24"/>
        </w:rPr>
        <w:t xml:space="preserve">ara hombres </w:t>
      </w:r>
      <w:r w:rsidR="00BA628C">
        <w:rPr>
          <w:rFonts w:ascii="Arial" w:hAnsi="Arial" w:cs="Arial"/>
          <w:sz w:val="24"/>
          <w:szCs w:val="24"/>
        </w:rPr>
        <w:t xml:space="preserve">y </w:t>
      </w:r>
      <w:r w:rsidRPr="002F6E9B">
        <w:rPr>
          <w:rFonts w:ascii="Arial" w:hAnsi="Arial" w:cs="Arial"/>
          <w:sz w:val="24"/>
          <w:szCs w:val="24"/>
        </w:rPr>
        <w:t>mujeres</w:t>
      </w:r>
      <w:r w:rsidR="000F49C1">
        <w:rPr>
          <w:rFonts w:ascii="Arial" w:hAnsi="Arial" w:cs="Arial"/>
          <w:sz w:val="24"/>
          <w:szCs w:val="24"/>
        </w:rPr>
        <w:t>.</w:t>
      </w:r>
      <w:r w:rsidR="002A52FA" w:rsidRPr="002A52FA">
        <w:rPr>
          <w:rFonts w:ascii="Arial" w:hAnsi="Arial" w:cs="Arial"/>
          <w:sz w:val="24"/>
          <w:szCs w:val="24"/>
        </w:rPr>
        <w:t xml:space="preserve"> </w:t>
      </w:r>
      <w:r w:rsidR="002A52FA" w:rsidRPr="00C334C6">
        <w:rPr>
          <w:rFonts w:ascii="Arial" w:hAnsi="Arial" w:cs="Arial"/>
          <w:sz w:val="24"/>
          <w:szCs w:val="24"/>
        </w:rPr>
        <w:t xml:space="preserve">Las tasas </w:t>
      </w:r>
      <w:r w:rsidR="002A52FA">
        <w:rPr>
          <w:rFonts w:ascii="Arial" w:hAnsi="Arial" w:cs="Arial"/>
          <w:sz w:val="24"/>
          <w:szCs w:val="24"/>
        </w:rPr>
        <w:t>con corte semestral, para el total</w:t>
      </w:r>
      <w:r w:rsidR="002A52FA" w:rsidRPr="00C334C6">
        <w:rPr>
          <w:rFonts w:ascii="Arial" w:hAnsi="Arial" w:cs="Arial"/>
          <w:sz w:val="24"/>
          <w:szCs w:val="24"/>
        </w:rPr>
        <w:t xml:space="preserve"> y por sexo</w:t>
      </w:r>
      <w:r w:rsidR="002A52FA">
        <w:rPr>
          <w:rFonts w:ascii="Arial" w:hAnsi="Arial" w:cs="Arial"/>
          <w:sz w:val="24"/>
          <w:szCs w:val="24"/>
        </w:rPr>
        <w:t>,</w:t>
      </w:r>
      <w:r w:rsidR="002A52FA" w:rsidRPr="00C334C6">
        <w:rPr>
          <w:rFonts w:ascii="Arial" w:hAnsi="Arial" w:cs="Arial"/>
          <w:sz w:val="24"/>
          <w:szCs w:val="24"/>
        </w:rPr>
        <w:t xml:space="preserve"> </w:t>
      </w:r>
      <w:r w:rsidR="002A52FA">
        <w:rPr>
          <w:rFonts w:ascii="Arial" w:hAnsi="Arial" w:cs="Arial"/>
          <w:sz w:val="24"/>
          <w:szCs w:val="24"/>
        </w:rPr>
        <w:t>representan</w:t>
      </w:r>
      <w:r w:rsidR="002A52FA" w:rsidRPr="00C334C6">
        <w:rPr>
          <w:rFonts w:ascii="Arial" w:hAnsi="Arial" w:cs="Arial"/>
          <w:sz w:val="24"/>
          <w:szCs w:val="24"/>
        </w:rPr>
        <w:t xml:space="preserve"> una prop</w:t>
      </w:r>
      <w:r w:rsidR="002A52FA">
        <w:rPr>
          <w:rFonts w:ascii="Arial" w:hAnsi="Arial" w:cs="Arial"/>
          <w:sz w:val="24"/>
          <w:szCs w:val="24"/>
        </w:rPr>
        <w:t>orción de la magnitud que corresponde a</w:t>
      </w:r>
      <w:r w:rsidR="002A52FA" w:rsidRPr="00C334C6">
        <w:rPr>
          <w:rFonts w:ascii="Arial" w:hAnsi="Arial" w:cs="Arial"/>
          <w:sz w:val="24"/>
          <w:szCs w:val="24"/>
        </w:rPr>
        <w:t xml:space="preserve"> las</w:t>
      </w:r>
      <w:r w:rsidR="00BA628C">
        <w:rPr>
          <w:rFonts w:ascii="Arial" w:hAnsi="Arial" w:cs="Arial"/>
          <w:sz w:val="24"/>
          <w:szCs w:val="24"/>
        </w:rPr>
        <w:t xml:space="preserve"> tasas</w:t>
      </w:r>
      <w:r w:rsidR="002A52FA">
        <w:rPr>
          <w:rFonts w:ascii="Arial" w:hAnsi="Arial" w:cs="Arial"/>
          <w:sz w:val="24"/>
          <w:szCs w:val="24"/>
        </w:rPr>
        <w:t xml:space="preserve"> </w:t>
      </w:r>
      <w:r w:rsidR="002A52FA" w:rsidRPr="00C334C6">
        <w:rPr>
          <w:rFonts w:ascii="Arial" w:hAnsi="Arial" w:cs="Arial"/>
          <w:sz w:val="24"/>
          <w:szCs w:val="24"/>
        </w:rPr>
        <w:t>anuales</w:t>
      </w:r>
      <w:r w:rsidR="002A52FA">
        <w:rPr>
          <w:rFonts w:ascii="Arial" w:hAnsi="Arial" w:cs="Arial"/>
          <w:sz w:val="24"/>
          <w:szCs w:val="24"/>
        </w:rPr>
        <w:t>,</w:t>
      </w:r>
      <w:r w:rsidR="002A52FA" w:rsidRPr="00C334C6">
        <w:rPr>
          <w:rFonts w:ascii="Arial" w:hAnsi="Arial" w:cs="Arial"/>
          <w:sz w:val="24"/>
          <w:szCs w:val="24"/>
        </w:rPr>
        <w:t xml:space="preserve"> tanto preliminares como definitivas.</w:t>
      </w:r>
    </w:p>
    <w:p w14:paraId="2E6427C7" w14:textId="6CF7DC71" w:rsidR="00C147E6" w:rsidRPr="002F6E9B" w:rsidRDefault="00C147E6" w:rsidP="00A73917">
      <w:pPr>
        <w:spacing w:after="0" w:line="240" w:lineRule="auto"/>
        <w:ind w:right="425"/>
        <w:jc w:val="both"/>
        <w:rPr>
          <w:rFonts w:ascii="Arial" w:hAnsi="Arial" w:cs="Arial"/>
          <w:sz w:val="24"/>
          <w:szCs w:val="24"/>
        </w:rPr>
      </w:pPr>
    </w:p>
    <w:p w14:paraId="301148A9" w14:textId="04420E00" w:rsidR="00AA623E" w:rsidRDefault="00715391">
      <w:pPr>
        <w:spacing w:after="0" w:line="240" w:lineRule="auto"/>
        <w:ind w:left="-567" w:right="42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 enero a junio de</w:t>
      </w:r>
      <w:r w:rsidRPr="00BD7ACC">
        <w:rPr>
          <w:rFonts w:ascii="Arial" w:hAnsi="Arial" w:cs="Arial"/>
          <w:bCs/>
          <w:sz w:val="24"/>
          <w:szCs w:val="24"/>
        </w:rPr>
        <w:t xml:space="preserve"> 202</w:t>
      </w:r>
      <w:r>
        <w:rPr>
          <w:rFonts w:ascii="Arial" w:hAnsi="Arial" w:cs="Arial"/>
          <w:bCs/>
          <w:sz w:val="24"/>
          <w:szCs w:val="24"/>
        </w:rPr>
        <w:t>2</w:t>
      </w:r>
      <w:r w:rsidRPr="00BD7ACC">
        <w:rPr>
          <w:rFonts w:ascii="Arial" w:hAnsi="Arial" w:cs="Arial"/>
          <w:bCs/>
          <w:sz w:val="24"/>
          <w:szCs w:val="24"/>
        </w:rPr>
        <w:t>, se obtuvo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D7ACC">
        <w:rPr>
          <w:rFonts w:ascii="Arial" w:hAnsi="Arial" w:cs="Arial"/>
          <w:bCs/>
          <w:i/>
          <w:iCs/>
          <w:sz w:val="24"/>
          <w:szCs w:val="24"/>
        </w:rPr>
        <w:t>de manera preliminar</w:t>
      </w:r>
      <w:r w:rsidR="003B2AD5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70449">
        <w:rPr>
          <w:rFonts w:ascii="Arial" w:hAnsi="Arial" w:cs="Arial"/>
          <w:bCs/>
          <w:sz w:val="24"/>
          <w:szCs w:val="24"/>
        </w:rPr>
        <w:t xml:space="preserve">una </w:t>
      </w:r>
      <w:r w:rsidR="008F6E4A">
        <w:rPr>
          <w:rFonts w:ascii="Arial" w:hAnsi="Arial" w:cs="Arial"/>
          <w:bCs/>
          <w:sz w:val="24"/>
          <w:szCs w:val="24"/>
        </w:rPr>
        <w:t>tasa</w:t>
      </w:r>
      <w:r w:rsidR="008F6E4A" w:rsidRPr="00570449">
        <w:rPr>
          <w:rFonts w:ascii="Arial" w:hAnsi="Arial" w:cs="Arial"/>
          <w:bCs/>
          <w:sz w:val="24"/>
          <w:szCs w:val="24"/>
        </w:rPr>
        <w:t xml:space="preserve"> </w:t>
      </w:r>
      <w:r w:rsidRPr="00570449">
        <w:rPr>
          <w:rFonts w:ascii="Arial" w:hAnsi="Arial" w:cs="Arial"/>
          <w:bCs/>
          <w:sz w:val="24"/>
          <w:szCs w:val="24"/>
        </w:rPr>
        <w:t>de 12 homicidios por cada 100 mil habitantes a nivel nacional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3B2AD5">
        <w:rPr>
          <w:rFonts w:ascii="Arial" w:hAnsi="Arial" w:cs="Arial"/>
          <w:bCs/>
          <w:sz w:val="24"/>
          <w:szCs w:val="24"/>
        </w:rPr>
        <w:t>Esta</w:t>
      </w:r>
      <w:r w:rsidRPr="00BD7AC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es </w:t>
      </w:r>
      <w:r w:rsidRPr="00BD7ACC">
        <w:rPr>
          <w:rFonts w:ascii="Arial" w:hAnsi="Arial" w:cs="Arial"/>
          <w:bCs/>
          <w:sz w:val="24"/>
          <w:szCs w:val="24"/>
        </w:rPr>
        <w:t xml:space="preserve">menor a la </w:t>
      </w:r>
      <w:r w:rsidR="003B2AD5">
        <w:rPr>
          <w:rFonts w:ascii="Arial" w:hAnsi="Arial" w:cs="Arial"/>
          <w:bCs/>
          <w:sz w:val="24"/>
          <w:szCs w:val="24"/>
        </w:rPr>
        <w:t xml:space="preserve">tasa </w:t>
      </w:r>
      <w:r w:rsidRPr="00BD7ACC">
        <w:rPr>
          <w:rFonts w:ascii="Arial" w:hAnsi="Arial" w:cs="Arial"/>
          <w:bCs/>
          <w:sz w:val="24"/>
          <w:szCs w:val="24"/>
        </w:rPr>
        <w:t>registrada para el mismo periodo de 202</w:t>
      </w:r>
      <w:r>
        <w:rPr>
          <w:rFonts w:ascii="Arial" w:hAnsi="Arial" w:cs="Arial"/>
          <w:bCs/>
          <w:sz w:val="24"/>
          <w:szCs w:val="24"/>
        </w:rPr>
        <w:t>1,</w:t>
      </w:r>
      <w:r w:rsidRPr="00BD7ACC">
        <w:rPr>
          <w:rFonts w:ascii="Arial" w:hAnsi="Arial" w:cs="Arial"/>
          <w:bCs/>
          <w:sz w:val="24"/>
          <w:szCs w:val="24"/>
        </w:rPr>
        <w:t xml:space="preserve"> que fue de </w:t>
      </w:r>
      <w:r w:rsidR="00C765EA">
        <w:rPr>
          <w:rFonts w:ascii="Arial" w:hAnsi="Arial" w:cs="Arial"/>
          <w:bCs/>
          <w:sz w:val="24"/>
          <w:szCs w:val="24"/>
        </w:rPr>
        <w:t>14</w:t>
      </w:r>
      <w:r w:rsidR="002D6EA2">
        <w:rPr>
          <w:rFonts w:ascii="Arial" w:hAnsi="Arial" w:cs="Arial"/>
          <w:bCs/>
          <w:sz w:val="24"/>
          <w:szCs w:val="24"/>
        </w:rPr>
        <w:t>,</w:t>
      </w:r>
      <w:r w:rsidR="00C765EA">
        <w:rPr>
          <w:rFonts w:ascii="Arial" w:hAnsi="Arial" w:cs="Arial"/>
          <w:bCs/>
          <w:sz w:val="24"/>
          <w:szCs w:val="24"/>
        </w:rPr>
        <w:t xml:space="preserve"> con información definitiva.</w:t>
      </w:r>
    </w:p>
    <w:p w14:paraId="751FB5B1" w14:textId="77777777" w:rsidR="00AA623E" w:rsidRDefault="00AA623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22B49197" w14:textId="77777777" w:rsidR="00715391" w:rsidRDefault="00715391">
      <w:pPr>
        <w:spacing w:after="0" w:line="240" w:lineRule="auto"/>
        <w:ind w:left="-567" w:right="425"/>
        <w:jc w:val="both"/>
        <w:rPr>
          <w:rFonts w:ascii="Arial" w:hAnsi="Arial" w:cs="Arial"/>
          <w:bCs/>
          <w:sz w:val="24"/>
          <w:szCs w:val="24"/>
        </w:rPr>
      </w:pPr>
    </w:p>
    <w:p w14:paraId="221D49B2" w14:textId="77777777" w:rsidR="004514B3" w:rsidRPr="00C4321E" w:rsidRDefault="004514B3" w:rsidP="004514B3">
      <w:pPr>
        <w:spacing w:after="0" w:line="240" w:lineRule="auto"/>
        <w:ind w:left="-284" w:right="425"/>
        <w:jc w:val="center"/>
        <w:rPr>
          <w:rFonts w:ascii="Arial" w:hAnsi="Arial" w:cs="Arial"/>
          <w:sz w:val="20"/>
          <w:szCs w:val="20"/>
          <w:lang w:eastAsia="es-ES"/>
        </w:rPr>
      </w:pPr>
      <w:r w:rsidRPr="00C4321E">
        <w:rPr>
          <w:rFonts w:ascii="Arial" w:hAnsi="Arial" w:cs="Arial"/>
          <w:sz w:val="20"/>
          <w:szCs w:val="20"/>
          <w:lang w:eastAsia="es-ES"/>
        </w:rPr>
        <w:t xml:space="preserve">Gráfica </w:t>
      </w:r>
      <w:r>
        <w:rPr>
          <w:rFonts w:ascii="Arial" w:hAnsi="Arial" w:cs="Arial"/>
          <w:sz w:val="20"/>
          <w:szCs w:val="20"/>
          <w:lang w:eastAsia="es-ES"/>
        </w:rPr>
        <w:t>2</w:t>
      </w:r>
    </w:p>
    <w:p w14:paraId="58A10462" w14:textId="77777777" w:rsidR="002F6E9B" w:rsidRPr="004514B3" w:rsidRDefault="002F6E9B" w:rsidP="0079436F">
      <w:pPr>
        <w:autoSpaceDE w:val="0"/>
        <w:autoSpaceDN w:val="0"/>
        <w:adjustRightInd w:val="0"/>
        <w:spacing w:after="0" w:line="240" w:lineRule="auto"/>
        <w:jc w:val="center"/>
        <w:rPr>
          <w:rFonts w:ascii="Arial Negrita" w:hAnsi="Arial Negrita"/>
          <w:b/>
          <w:bCs/>
          <w:smallCaps/>
          <w:lang w:eastAsia="es-ES"/>
        </w:rPr>
      </w:pPr>
      <w:r w:rsidRPr="004514B3">
        <w:rPr>
          <w:rFonts w:ascii="Arial Negrita" w:hAnsi="Arial Negrita"/>
          <w:b/>
          <w:bCs/>
          <w:smallCaps/>
          <w:lang w:eastAsia="es-ES"/>
        </w:rPr>
        <w:t>Tasa de homicidios por cada 100</w:t>
      </w:r>
      <w:r w:rsidR="00170D43">
        <w:rPr>
          <w:rFonts w:ascii="Arial Negrita" w:hAnsi="Arial Negrita"/>
          <w:b/>
          <w:bCs/>
          <w:smallCaps/>
          <w:lang w:eastAsia="es-ES"/>
        </w:rPr>
        <w:t xml:space="preserve"> mil</w:t>
      </w:r>
      <w:r w:rsidRPr="004514B3">
        <w:rPr>
          <w:rFonts w:ascii="Arial Negrita" w:hAnsi="Arial Negrita"/>
          <w:b/>
          <w:bCs/>
          <w:smallCaps/>
          <w:lang w:eastAsia="es-ES"/>
        </w:rPr>
        <w:t xml:space="preserve"> habitantes a nivel nacional</w:t>
      </w:r>
    </w:p>
    <w:p w14:paraId="343211D2" w14:textId="77777777" w:rsidR="002F6E9B" w:rsidRPr="004514B3" w:rsidRDefault="002F6E9B" w:rsidP="004514B3">
      <w:pPr>
        <w:spacing w:after="0" w:line="240" w:lineRule="auto"/>
        <w:ind w:left="-284" w:right="425"/>
        <w:jc w:val="center"/>
        <w:rPr>
          <w:rFonts w:ascii="Arial" w:hAnsi="Arial"/>
          <w:b/>
          <w:bCs/>
          <w:lang w:eastAsia="es-ES"/>
        </w:rPr>
      </w:pPr>
      <w:r w:rsidRPr="004514B3">
        <w:rPr>
          <w:rFonts w:ascii="Arial Negrita" w:hAnsi="Arial Negrita"/>
          <w:b/>
          <w:bCs/>
          <w:smallCaps/>
          <w:lang w:eastAsia="es-ES"/>
        </w:rPr>
        <w:t>Enero a junio de los años señalados</w:t>
      </w:r>
    </w:p>
    <w:p w14:paraId="7FE2868B" w14:textId="77777777" w:rsidR="0018762E" w:rsidRPr="007974B5" w:rsidRDefault="002F6E9B" w:rsidP="0018762E">
      <w:pPr>
        <w:spacing w:after="120" w:line="240" w:lineRule="auto"/>
        <w:ind w:left="-284" w:right="425"/>
        <w:jc w:val="center"/>
        <w:rPr>
          <w:rFonts w:ascii="Arial" w:hAnsi="Arial"/>
          <w:smallCaps/>
          <w:sz w:val="18"/>
          <w:szCs w:val="18"/>
          <w:lang w:eastAsia="es-ES"/>
        </w:rPr>
      </w:pPr>
      <w:r w:rsidRPr="007974B5">
        <w:rPr>
          <w:rFonts w:ascii="Arial" w:hAnsi="Arial"/>
          <w:smallCaps/>
          <w:sz w:val="18"/>
          <w:szCs w:val="18"/>
          <w:lang w:eastAsia="es-ES"/>
        </w:rPr>
        <w:t>(</w:t>
      </w:r>
      <w:r w:rsidR="0018762E" w:rsidRPr="007974B5">
        <w:rPr>
          <w:rFonts w:ascii="Arial" w:hAnsi="Arial"/>
          <w:smallCaps/>
          <w:sz w:val="18"/>
          <w:szCs w:val="18"/>
          <w:lang w:eastAsia="es-ES"/>
        </w:rPr>
        <w:t>Total</w:t>
      </w:r>
      <w:r w:rsidRPr="007974B5">
        <w:rPr>
          <w:rFonts w:ascii="Arial" w:hAnsi="Arial"/>
          <w:smallCaps/>
          <w:sz w:val="18"/>
          <w:szCs w:val="18"/>
          <w:lang w:eastAsia="es-ES"/>
        </w:rPr>
        <w:t>)</w:t>
      </w:r>
    </w:p>
    <w:p w14:paraId="305079DC" w14:textId="63906680" w:rsidR="008300C2" w:rsidRDefault="00113249" w:rsidP="0018762E">
      <w:pPr>
        <w:spacing w:after="120" w:line="240" w:lineRule="auto"/>
        <w:ind w:left="-284" w:right="425"/>
        <w:jc w:val="center"/>
        <w:rPr>
          <w:rFonts w:ascii="Arial" w:hAnsi="Arial"/>
          <w:b/>
          <w:bCs/>
          <w:sz w:val="28"/>
          <w:szCs w:val="28"/>
          <w:lang w:eastAsia="es-ES"/>
        </w:rPr>
      </w:pPr>
      <w:r w:rsidRPr="00964793">
        <w:rPr>
          <w:noProof/>
        </w:rPr>
        <w:drawing>
          <wp:inline distT="0" distB="0" distL="0" distR="0" wp14:anchorId="10B75995" wp14:editId="38A31604">
            <wp:extent cx="5853430" cy="3151505"/>
            <wp:effectExtent l="0" t="0" r="0" b="0"/>
            <wp:docPr id="8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A5FAE0A" w14:textId="6883CC68" w:rsidR="00DE7EC6" w:rsidRPr="008B52BD" w:rsidRDefault="00B903D5" w:rsidP="008B52BD">
      <w:pPr>
        <w:tabs>
          <w:tab w:val="left" w:pos="8789"/>
        </w:tabs>
        <w:spacing w:after="0" w:line="240" w:lineRule="auto"/>
        <w:ind w:left="567" w:right="709" w:hanging="567"/>
        <w:jc w:val="both"/>
        <w:rPr>
          <w:rFonts w:ascii="Arial" w:eastAsia="Calibri" w:hAnsi="Arial" w:cs="Arial"/>
          <w:sz w:val="16"/>
          <w:szCs w:val="16"/>
        </w:rPr>
      </w:pPr>
      <w:r w:rsidRPr="008B52BD">
        <w:rPr>
          <w:rFonts w:ascii="Arial" w:hAnsi="Arial" w:cs="Arial"/>
          <w:color w:val="000000"/>
          <w:sz w:val="16"/>
          <w:szCs w:val="16"/>
        </w:rPr>
        <w:t>Nota:</w:t>
      </w:r>
      <w:r w:rsidRPr="008B52BD">
        <w:rPr>
          <w:rFonts w:ascii="Arial" w:hAnsi="Arial" w:cs="Arial"/>
          <w:color w:val="000000"/>
          <w:sz w:val="16"/>
          <w:szCs w:val="16"/>
        </w:rPr>
        <w:tab/>
      </w:r>
      <w:r w:rsidR="0003168F" w:rsidRPr="008B52BD">
        <w:rPr>
          <w:rFonts w:ascii="Arial" w:eastAsia="Calibri" w:hAnsi="Arial" w:cs="Arial"/>
          <w:sz w:val="16"/>
          <w:szCs w:val="16"/>
        </w:rPr>
        <w:t>El denominador para el cálculo de la tasa para el periodo 1990-2019 corresponde a las proyecciones de población 2016-2050 de</w:t>
      </w:r>
      <w:r w:rsidR="00E3117A">
        <w:rPr>
          <w:rFonts w:ascii="Arial" w:eastAsia="Calibri" w:hAnsi="Arial" w:cs="Arial"/>
          <w:sz w:val="16"/>
          <w:szCs w:val="16"/>
        </w:rPr>
        <w:t>l Consejo Nacional de Población</w:t>
      </w:r>
      <w:r w:rsidR="0003168F" w:rsidRPr="008B52BD">
        <w:rPr>
          <w:rFonts w:ascii="Arial" w:eastAsia="Calibri" w:hAnsi="Arial" w:cs="Arial"/>
          <w:sz w:val="16"/>
          <w:szCs w:val="16"/>
        </w:rPr>
        <w:t xml:space="preserve"> </w:t>
      </w:r>
      <w:r w:rsidR="00E3117A">
        <w:rPr>
          <w:rFonts w:ascii="Arial" w:eastAsia="Calibri" w:hAnsi="Arial" w:cs="Arial"/>
          <w:sz w:val="16"/>
          <w:szCs w:val="16"/>
        </w:rPr>
        <w:t>(</w:t>
      </w:r>
      <w:r w:rsidR="0003168F" w:rsidRPr="008B52BD">
        <w:rPr>
          <w:rFonts w:ascii="Arial" w:eastAsia="Calibri" w:hAnsi="Arial" w:cs="Arial"/>
          <w:sz w:val="16"/>
          <w:szCs w:val="16"/>
        </w:rPr>
        <w:t>CONAPO</w:t>
      </w:r>
      <w:r w:rsidR="00E3117A">
        <w:rPr>
          <w:rFonts w:ascii="Arial" w:eastAsia="Calibri" w:hAnsi="Arial" w:cs="Arial"/>
          <w:sz w:val="16"/>
          <w:szCs w:val="16"/>
        </w:rPr>
        <w:t>)</w:t>
      </w:r>
      <w:r w:rsidR="0003168F" w:rsidRPr="008B52BD">
        <w:rPr>
          <w:rFonts w:ascii="Arial" w:eastAsia="Calibri" w:hAnsi="Arial" w:cs="Arial"/>
          <w:sz w:val="16"/>
          <w:szCs w:val="16"/>
        </w:rPr>
        <w:t xml:space="preserve"> y a la Conciliación Demográfica de México, 1950-2015. El denominador de los años 2020-2022 corresponde a la estimación de población que elabora el </w:t>
      </w:r>
      <w:r w:rsidR="00252AAC">
        <w:rPr>
          <w:rFonts w:ascii="Arial" w:eastAsia="Calibri" w:hAnsi="Arial" w:cs="Arial"/>
          <w:sz w:val="16"/>
          <w:szCs w:val="16"/>
        </w:rPr>
        <w:t>Instituto Nacional de Estadística y Geografía (</w:t>
      </w:r>
      <w:r w:rsidR="0003168F" w:rsidRPr="008B52BD">
        <w:rPr>
          <w:rFonts w:ascii="Arial" w:eastAsia="Calibri" w:hAnsi="Arial" w:cs="Arial"/>
          <w:sz w:val="16"/>
          <w:szCs w:val="16"/>
        </w:rPr>
        <w:t>INEGI</w:t>
      </w:r>
      <w:r w:rsidR="00252AAC">
        <w:rPr>
          <w:rFonts w:ascii="Arial" w:eastAsia="Calibri" w:hAnsi="Arial" w:cs="Arial"/>
          <w:sz w:val="16"/>
          <w:szCs w:val="16"/>
        </w:rPr>
        <w:t>)</w:t>
      </w:r>
      <w:r w:rsidR="0003168F" w:rsidRPr="008B52BD">
        <w:rPr>
          <w:rFonts w:ascii="Arial" w:eastAsia="Calibri" w:hAnsi="Arial" w:cs="Arial"/>
          <w:sz w:val="16"/>
          <w:szCs w:val="16"/>
        </w:rPr>
        <w:t xml:space="preserve"> con base en el Marco de Muestreo de Viviendas</w:t>
      </w:r>
      <w:r w:rsidR="00715391" w:rsidRPr="008B52BD">
        <w:rPr>
          <w:rFonts w:ascii="Arial" w:eastAsia="Calibri" w:hAnsi="Arial" w:cs="Arial"/>
          <w:sz w:val="16"/>
          <w:szCs w:val="16"/>
        </w:rPr>
        <w:t xml:space="preserve"> con referencia a</w:t>
      </w:r>
      <w:r w:rsidR="00E24D03" w:rsidRPr="008B52BD">
        <w:rPr>
          <w:rFonts w:ascii="Arial" w:eastAsia="Calibri" w:hAnsi="Arial" w:cs="Arial"/>
          <w:sz w:val="16"/>
          <w:szCs w:val="16"/>
        </w:rPr>
        <w:t>l 31 de marzo</w:t>
      </w:r>
      <w:r w:rsidR="00DE7EC6" w:rsidRPr="008B52BD">
        <w:rPr>
          <w:rFonts w:ascii="Arial" w:eastAsia="Calibri" w:hAnsi="Arial" w:cs="Arial"/>
          <w:sz w:val="16"/>
          <w:szCs w:val="16"/>
        </w:rPr>
        <w:t>.</w:t>
      </w:r>
    </w:p>
    <w:p w14:paraId="63A46330" w14:textId="279FA556" w:rsidR="008300C2" w:rsidRPr="008B52BD" w:rsidRDefault="008300C2" w:rsidP="008B52BD">
      <w:pPr>
        <w:tabs>
          <w:tab w:val="left" w:pos="8789"/>
        </w:tabs>
        <w:spacing w:after="0" w:line="240" w:lineRule="auto"/>
        <w:ind w:left="567" w:right="709" w:hanging="567"/>
        <w:jc w:val="both"/>
        <w:rPr>
          <w:rFonts w:ascii="Arial" w:hAnsi="Arial" w:cs="Arial"/>
          <w:bCs/>
          <w:sz w:val="16"/>
          <w:szCs w:val="16"/>
        </w:rPr>
      </w:pPr>
      <w:r w:rsidRPr="008B52BD">
        <w:rPr>
          <w:rFonts w:ascii="Arial" w:hAnsi="Arial" w:cs="Arial"/>
          <w:bCs/>
          <w:sz w:val="16"/>
          <w:szCs w:val="16"/>
          <w:vertAlign w:val="superscript"/>
        </w:rPr>
        <w:t>p</w:t>
      </w:r>
      <w:r w:rsidR="00EE6F34">
        <w:rPr>
          <w:rFonts w:ascii="Arial" w:hAnsi="Arial" w:cs="Arial"/>
          <w:bCs/>
          <w:sz w:val="16"/>
          <w:szCs w:val="16"/>
          <w:vertAlign w:val="superscript"/>
        </w:rPr>
        <w:t>/</w:t>
      </w:r>
      <w:r w:rsidRPr="008B52BD">
        <w:rPr>
          <w:rFonts w:ascii="Arial" w:hAnsi="Arial" w:cs="Arial"/>
          <w:bCs/>
          <w:sz w:val="16"/>
          <w:szCs w:val="16"/>
        </w:rPr>
        <w:tab/>
      </w:r>
      <w:r w:rsidR="00E15D36" w:rsidRPr="008B52BD">
        <w:rPr>
          <w:rFonts w:ascii="Arial" w:hAnsi="Arial" w:cs="Arial"/>
          <w:bCs/>
          <w:sz w:val="16"/>
          <w:szCs w:val="16"/>
        </w:rPr>
        <w:t>Cifras preliminares (enero a junio</w:t>
      </w:r>
      <w:r w:rsidR="003129C5" w:rsidRPr="008B52BD">
        <w:rPr>
          <w:rFonts w:ascii="Arial" w:hAnsi="Arial" w:cs="Arial"/>
          <w:bCs/>
          <w:sz w:val="16"/>
          <w:szCs w:val="16"/>
        </w:rPr>
        <w:t xml:space="preserve"> 2022</w:t>
      </w:r>
      <w:r w:rsidR="00E15D36" w:rsidRPr="008B52BD">
        <w:rPr>
          <w:rFonts w:ascii="Arial" w:hAnsi="Arial" w:cs="Arial"/>
          <w:bCs/>
          <w:sz w:val="16"/>
          <w:szCs w:val="16"/>
        </w:rPr>
        <w:t xml:space="preserve">) con corte al </w:t>
      </w:r>
      <w:r w:rsidR="003129C5" w:rsidRPr="008B52BD">
        <w:rPr>
          <w:rFonts w:ascii="Arial" w:hAnsi="Arial" w:cs="Arial"/>
          <w:bCs/>
          <w:sz w:val="16"/>
          <w:szCs w:val="16"/>
        </w:rPr>
        <w:t>16</w:t>
      </w:r>
      <w:r w:rsidR="00E15D36" w:rsidRPr="008B52BD">
        <w:rPr>
          <w:rFonts w:ascii="Arial" w:hAnsi="Arial" w:cs="Arial"/>
          <w:bCs/>
          <w:sz w:val="16"/>
          <w:szCs w:val="16"/>
        </w:rPr>
        <w:t xml:space="preserve"> de enero de 202</w:t>
      </w:r>
      <w:r w:rsidR="003129C5" w:rsidRPr="008B52BD">
        <w:rPr>
          <w:rFonts w:ascii="Arial" w:hAnsi="Arial" w:cs="Arial"/>
          <w:bCs/>
          <w:sz w:val="16"/>
          <w:szCs w:val="16"/>
        </w:rPr>
        <w:t>3</w:t>
      </w:r>
      <w:r w:rsidR="00E15D36" w:rsidRPr="008B52BD">
        <w:rPr>
          <w:rFonts w:ascii="Arial" w:hAnsi="Arial" w:cs="Arial"/>
          <w:bCs/>
          <w:sz w:val="16"/>
          <w:szCs w:val="16"/>
        </w:rPr>
        <w:t>, debido a que aún no concluyen los procesos de generación de la estadística de defunciones registradas</w:t>
      </w:r>
      <w:r w:rsidRPr="008B52BD">
        <w:rPr>
          <w:rFonts w:ascii="Arial" w:hAnsi="Arial" w:cs="Arial"/>
          <w:bCs/>
          <w:sz w:val="16"/>
          <w:szCs w:val="16"/>
        </w:rPr>
        <w:t>.</w:t>
      </w:r>
    </w:p>
    <w:p w14:paraId="347E1310" w14:textId="20C64FFA" w:rsidR="008300C2" w:rsidRPr="00910506" w:rsidRDefault="001603EF" w:rsidP="008B52BD">
      <w:pPr>
        <w:tabs>
          <w:tab w:val="left" w:pos="567"/>
        </w:tabs>
        <w:spacing w:after="0" w:line="240" w:lineRule="auto"/>
        <w:ind w:left="567" w:right="709" w:hanging="567"/>
        <w:jc w:val="both"/>
        <w:rPr>
          <w:rFonts w:ascii="Arial" w:hAnsi="Arial" w:cs="Arial"/>
          <w:color w:val="000000"/>
          <w:sz w:val="14"/>
          <w:szCs w:val="14"/>
        </w:rPr>
      </w:pPr>
      <w:r w:rsidRPr="008B52BD">
        <w:rPr>
          <w:rFonts w:ascii="Arial" w:hAnsi="Arial" w:cs="Arial"/>
          <w:color w:val="000000"/>
          <w:sz w:val="16"/>
          <w:szCs w:val="16"/>
        </w:rPr>
        <w:t>Fuente:</w:t>
      </w:r>
      <w:r w:rsidRPr="008B52BD">
        <w:rPr>
          <w:rFonts w:ascii="Arial" w:hAnsi="Arial" w:cs="Arial"/>
          <w:color w:val="000000"/>
          <w:sz w:val="16"/>
          <w:szCs w:val="16"/>
        </w:rPr>
        <w:tab/>
        <w:t>INEGI. Estadísticas Vitales. Estadísticas de Defunciones Registradas</w:t>
      </w:r>
    </w:p>
    <w:p w14:paraId="63AE127E" w14:textId="77777777" w:rsidR="008300C2" w:rsidRDefault="008300C2" w:rsidP="0018762E">
      <w:pPr>
        <w:spacing w:after="120" w:line="240" w:lineRule="auto"/>
        <w:ind w:left="-284" w:right="425"/>
        <w:jc w:val="center"/>
        <w:rPr>
          <w:rFonts w:ascii="Arial" w:hAnsi="Arial"/>
          <w:b/>
          <w:bCs/>
          <w:sz w:val="28"/>
          <w:szCs w:val="28"/>
          <w:lang w:eastAsia="es-ES"/>
        </w:rPr>
      </w:pPr>
    </w:p>
    <w:p w14:paraId="28086921" w14:textId="77777777" w:rsidR="008300C2" w:rsidRDefault="008300C2" w:rsidP="0018762E">
      <w:pPr>
        <w:spacing w:after="120" w:line="240" w:lineRule="auto"/>
        <w:ind w:left="-284" w:right="425"/>
        <w:jc w:val="center"/>
        <w:rPr>
          <w:rFonts w:ascii="Arial" w:hAnsi="Arial"/>
          <w:b/>
          <w:bCs/>
          <w:sz w:val="28"/>
          <w:szCs w:val="28"/>
          <w:lang w:eastAsia="es-ES"/>
        </w:rPr>
      </w:pPr>
    </w:p>
    <w:p w14:paraId="03CCFE09" w14:textId="77777777" w:rsidR="002D6EA2" w:rsidRDefault="0018762E" w:rsidP="00715391">
      <w:pPr>
        <w:spacing w:after="0" w:line="240" w:lineRule="auto"/>
        <w:ind w:right="-137"/>
        <w:jc w:val="both"/>
        <w:rPr>
          <w:rFonts w:ascii="Arial" w:hAnsi="Arial"/>
          <w:b/>
          <w:bCs/>
          <w:sz w:val="28"/>
          <w:szCs w:val="28"/>
          <w:lang w:eastAsia="es-ES"/>
        </w:rPr>
      </w:pPr>
      <w:r>
        <w:rPr>
          <w:rFonts w:ascii="Arial" w:hAnsi="Arial"/>
          <w:b/>
          <w:bCs/>
          <w:sz w:val="28"/>
          <w:szCs w:val="28"/>
          <w:lang w:eastAsia="es-ES"/>
        </w:rPr>
        <w:br w:type="page"/>
      </w:r>
    </w:p>
    <w:p w14:paraId="5BCFCC2F" w14:textId="77777777" w:rsidR="002D6EA2" w:rsidRDefault="002D6EA2" w:rsidP="00715391">
      <w:pPr>
        <w:spacing w:after="0" w:line="240" w:lineRule="auto"/>
        <w:ind w:right="-137"/>
        <w:jc w:val="both"/>
        <w:rPr>
          <w:rFonts w:ascii="Arial" w:hAnsi="Arial"/>
          <w:sz w:val="24"/>
          <w:szCs w:val="24"/>
          <w:lang w:eastAsia="es-ES"/>
        </w:rPr>
      </w:pPr>
    </w:p>
    <w:p w14:paraId="65B5EC68" w14:textId="3DABE94D" w:rsidR="00FC68CB" w:rsidRDefault="00715391" w:rsidP="008B52BD">
      <w:pPr>
        <w:spacing w:after="0" w:line="240" w:lineRule="auto"/>
        <w:ind w:left="-567" w:right="425"/>
        <w:jc w:val="both"/>
        <w:rPr>
          <w:rFonts w:ascii="Arial" w:hAnsi="Arial"/>
          <w:sz w:val="24"/>
          <w:szCs w:val="24"/>
          <w:lang w:eastAsia="es-ES"/>
        </w:rPr>
      </w:pPr>
      <w:r w:rsidRPr="00DC57AF">
        <w:rPr>
          <w:rFonts w:ascii="Arial" w:hAnsi="Arial"/>
          <w:sz w:val="24"/>
          <w:szCs w:val="24"/>
          <w:lang w:eastAsia="es-ES"/>
        </w:rPr>
        <w:t xml:space="preserve">En el caso de los hombres, </w:t>
      </w:r>
      <w:r w:rsidR="00E3117A">
        <w:rPr>
          <w:rFonts w:ascii="Arial" w:hAnsi="Arial"/>
          <w:sz w:val="24"/>
          <w:szCs w:val="24"/>
          <w:lang w:eastAsia="es-ES"/>
        </w:rPr>
        <w:t xml:space="preserve">en el primer semestre de 2022, </w:t>
      </w:r>
      <w:r w:rsidRPr="00DC57AF">
        <w:rPr>
          <w:rFonts w:ascii="Arial" w:hAnsi="Arial"/>
          <w:sz w:val="24"/>
          <w:szCs w:val="24"/>
          <w:lang w:eastAsia="es-ES"/>
        </w:rPr>
        <w:t xml:space="preserve">la </w:t>
      </w:r>
      <w:r w:rsidR="00E24D03">
        <w:rPr>
          <w:rFonts w:ascii="Arial" w:hAnsi="Arial"/>
          <w:sz w:val="24"/>
          <w:szCs w:val="24"/>
          <w:lang w:eastAsia="es-ES"/>
        </w:rPr>
        <w:t>tasa</w:t>
      </w:r>
      <w:r w:rsidRPr="00DC57AF">
        <w:rPr>
          <w:rFonts w:ascii="Arial" w:hAnsi="Arial"/>
          <w:sz w:val="24"/>
          <w:szCs w:val="24"/>
          <w:lang w:eastAsia="es-ES"/>
        </w:rPr>
        <w:t xml:space="preserve"> fue de </w:t>
      </w:r>
      <w:r>
        <w:rPr>
          <w:rFonts w:ascii="Arial" w:hAnsi="Arial"/>
          <w:sz w:val="24"/>
          <w:szCs w:val="24"/>
          <w:lang w:eastAsia="es-ES"/>
        </w:rPr>
        <w:t>22</w:t>
      </w:r>
      <w:r w:rsidRPr="00DC57AF">
        <w:rPr>
          <w:rFonts w:ascii="Arial" w:hAnsi="Arial"/>
          <w:sz w:val="24"/>
          <w:szCs w:val="24"/>
          <w:lang w:eastAsia="es-ES"/>
        </w:rPr>
        <w:t xml:space="preserve"> </w:t>
      </w:r>
      <w:r>
        <w:rPr>
          <w:rFonts w:ascii="Arial" w:hAnsi="Arial"/>
          <w:sz w:val="24"/>
          <w:szCs w:val="24"/>
          <w:lang w:eastAsia="es-ES"/>
        </w:rPr>
        <w:t xml:space="preserve">homicidios por cada 100 </w:t>
      </w:r>
      <w:r w:rsidR="002D6EA2">
        <w:rPr>
          <w:rFonts w:ascii="Arial" w:hAnsi="Arial"/>
          <w:sz w:val="24"/>
          <w:szCs w:val="24"/>
          <w:lang w:eastAsia="es-ES"/>
        </w:rPr>
        <w:t>mil</w:t>
      </w:r>
      <w:r>
        <w:rPr>
          <w:rFonts w:ascii="Arial" w:hAnsi="Arial"/>
          <w:sz w:val="24"/>
          <w:szCs w:val="24"/>
          <w:lang w:eastAsia="es-ES"/>
        </w:rPr>
        <w:t xml:space="preserve">. </w:t>
      </w:r>
      <w:r w:rsidR="00E3117A">
        <w:rPr>
          <w:rFonts w:ascii="Arial" w:hAnsi="Arial"/>
          <w:sz w:val="24"/>
          <w:szCs w:val="24"/>
          <w:lang w:eastAsia="es-ES"/>
        </w:rPr>
        <w:t xml:space="preserve">Con </w:t>
      </w:r>
      <w:r>
        <w:rPr>
          <w:rFonts w:ascii="Arial" w:hAnsi="Arial"/>
          <w:sz w:val="24"/>
          <w:szCs w:val="24"/>
          <w:lang w:eastAsia="es-ES"/>
        </w:rPr>
        <w:t xml:space="preserve">respecto al mismo periodo de 2021, </w:t>
      </w:r>
      <w:r w:rsidR="00E3117A">
        <w:rPr>
          <w:rFonts w:ascii="Arial" w:hAnsi="Arial"/>
          <w:sz w:val="24"/>
          <w:szCs w:val="24"/>
          <w:lang w:eastAsia="es-ES"/>
        </w:rPr>
        <w:t>se observa una disminución d</w:t>
      </w:r>
      <w:r>
        <w:rPr>
          <w:rFonts w:ascii="Arial" w:hAnsi="Arial"/>
          <w:sz w:val="24"/>
          <w:szCs w:val="24"/>
          <w:lang w:eastAsia="es-ES"/>
        </w:rPr>
        <w:t xml:space="preserve">e </w:t>
      </w:r>
      <w:r w:rsidR="001F2616">
        <w:rPr>
          <w:rFonts w:ascii="Arial" w:hAnsi="Arial"/>
          <w:sz w:val="24"/>
          <w:szCs w:val="24"/>
          <w:lang w:eastAsia="es-ES"/>
        </w:rPr>
        <w:t>3 unidades</w:t>
      </w:r>
      <w:r w:rsidR="00C765EA">
        <w:rPr>
          <w:rFonts w:ascii="Arial" w:hAnsi="Arial"/>
          <w:sz w:val="24"/>
          <w:szCs w:val="24"/>
          <w:lang w:eastAsia="es-ES"/>
        </w:rPr>
        <w:t xml:space="preserve"> con</w:t>
      </w:r>
      <w:r w:rsidR="009C3BE0">
        <w:rPr>
          <w:rFonts w:ascii="Arial" w:hAnsi="Arial"/>
          <w:sz w:val="24"/>
          <w:szCs w:val="24"/>
          <w:lang w:eastAsia="es-ES"/>
        </w:rPr>
        <w:t xml:space="preserve"> la</w:t>
      </w:r>
      <w:r w:rsidR="00C765EA">
        <w:rPr>
          <w:rFonts w:ascii="Arial" w:hAnsi="Arial"/>
          <w:sz w:val="24"/>
          <w:szCs w:val="24"/>
          <w:lang w:eastAsia="es-ES"/>
        </w:rPr>
        <w:t xml:space="preserve"> información definitiva</w:t>
      </w:r>
      <w:r w:rsidR="001F2616">
        <w:rPr>
          <w:rFonts w:ascii="Arial" w:hAnsi="Arial"/>
          <w:sz w:val="24"/>
          <w:szCs w:val="24"/>
          <w:lang w:eastAsia="es-ES"/>
        </w:rPr>
        <w:t>, ya que en ese año fue de 25</w:t>
      </w:r>
      <w:r w:rsidR="009C3BE0">
        <w:rPr>
          <w:rFonts w:ascii="Arial" w:hAnsi="Arial"/>
          <w:sz w:val="24"/>
          <w:szCs w:val="24"/>
          <w:lang w:eastAsia="es-ES"/>
        </w:rPr>
        <w:t>.</w:t>
      </w:r>
      <w:r w:rsidR="001F2616" w:rsidDel="001F2616">
        <w:rPr>
          <w:rFonts w:ascii="Arial" w:hAnsi="Arial"/>
          <w:sz w:val="24"/>
          <w:szCs w:val="24"/>
          <w:lang w:eastAsia="es-ES"/>
        </w:rPr>
        <w:t xml:space="preserve"> </w:t>
      </w:r>
    </w:p>
    <w:p w14:paraId="0F3B2E52" w14:textId="77777777" w:rsidR="00FC68CB" w:rsidRDefault="00FC68CB" w:rsidP="00A73917">
      <w:pPr>
        <w:spacing w:after="0" w:line="240" w:lineRule="auto"/>
        <w:ind w:left="-567" w:right="425"/>
        <w:jc w:val="both"/>
        <w:rPr>
          <w:rFonts w:ascii="Arial" w:hAnsi="Arial"/>
          <w:b/>
          <w:bCs/>
          <w:sz w:val="28"/>
          <w:szCs w:val="28"/>
          <w:lang w:eastAsia="es-ES"/>
        </w:rPr>
      </w:pPr>
    </w:p>
    <w:p w14:paraId="6C6CBFC7" w14:textId="77777777" w:rsidR="00B16AC1" w:rsidRPr="00C4321E" w:rsidRDefault="00B16AC1" w:rsidP="00B16AC1">
      <w:pPr>
        <w:spacing w:after="0" w:line="240" w:lineRule="auto"/>
        <w:ind w:left="-284" w:right="425"/>
        <w:jc w:val="center"/>
        <w:rPr>
          <w:rFonts w:ascii="Arial" w:hAnsi="Arial" w:cs="Arial"/>
          <w:sz w:val="20"/>
          <w:szCs w:val="20"/>
          <w:lang w:eastAsia="es-ES"/>
        </w:rPr>
      </w:pPr>
      <w:r w:rsidRPr="00C4321E">
        <w:rPr>
          <w:rFonts w:ascii="Arial" w:hAnsi="Arial" w:cs="Arial"/>
          <w:sz w:val="20"/>
          <w:szCs w:val="20"/>
          <w:lang w:eastAsia="es-ES"/>
        </w:rPr>
        <w:t xml:space="preserve">Gráfica </w:t>
      </w:r>
      <w:r>
        <w:rPr>
          <w:rFonts w:ascii="Arial" w:hAnsi="Arial" w:cs="Arial"/>
          <w:sz w:val="20"/>
          <w:szCs w:val="20"/>
          <w:lang w:eastAsia="es-ES"/>
        </w:rPr>
        <w:t>3</w:t>
      </w:r>
    </w:p>
    <w:p w14:paraId="230613C8" w14:textId="77777777" w:rsidR="0018762E" w:rsidRPr="00B16AC1" w:rsidRDefault="0018762E" w:rsidP="0079436F">
      <w:pPr>
        <w:spacing w:after="0" w:line="240" w:lineRule="auto"/>
        <w:ind w:left="-284" w:right="425"/>
        <w:jc w:val="center"/>
        <w:rPr>
          <w:rFonts w:ascii="Arial" w:hAnsi="Arial"/>
          <w:bCs/>
          <w:smallCaps/>
          <w:lang w:eastAsia="es-ES"/>
        </w:rPr>
      </w:pPr>
      <w:r w:rsidRPr="00B16AC1">
        <w:rPr>
          <w:rFonts w:ascii="Arial" w:hAnsi="Arial"/>
          <w:b/>
          <w:bCs/>
          <w:smallCaps/>
          <w:lang w:eastAsia="es-ES"/>
        </w:rPr>
        <w:t>Tasa de homicidios por cada 100</w:t>
      </w:r>
      <w:r w:rsidR="00170D43">
        <w:rPr>
          <w:rFonts w:ascii="Arial" w:hAnsi="Arial"/>
          <w:b/>
          <w:bCs/>
          <w:smallCaps/>
          <w:lang w:eastAsia="es-ES"/>
        </w:rPr>
        <w:t xml:space="preserve"> mil</w:t>
      </w:r>
      <w:r w:rsidRPr="00B16AC1">
        <w:rPr>
          <w:rFonts w:ascii="Arial" w:hAnsi="Arial"/>
          <w:b/>
          <w:bCs/>
          <w:smallCaps/>
          <w:lang w:eastAsia="es-ES"/>
        </w:rPr>
        <w:t xml:space="preserve"> habitantes a nivel nacional</w:t>
      </w:r>
      <w:r w:rsidRPr="00B16AC1">
        <w:rPr>
          <w:rFonts w:ascii="Arial" w:hAnsi="Arial"/>
          <w:bCs/>
          <w:smallCaps/>
          <w:lang w:eastAsia="es-ES"/>
        </w:rPr>
        <w:t xml:space="preserve"> </w:t>
      </w:r>
    </w:p>
    <w:p w14:paraId="3B319515" w14:textId="77777777" w:rsidR="00F71E0F" w:rsidRPr="00B16AC1" w:rsidRDefault="00F71E0F" w:rsidP="00F71E0F">
      <w:pPr>
        <w:spacing w:after="0" w:line="240" w:lineRule="auto"/>
        <w:ind w:left="-284" w:right="425"/>
        <w:jc w:val="center"/>
        <w:rPr>
          <w:rFonts w:ascii="Arial" w:hAnsi="Arial"/>
          <w:b/>
          <w:bCs/>
          <w:smallCaps/>
          <w:lang w:eastAsia="es-ES"/>
        </w:rPr>
      </w:pPr>
      <w:r w:rsidRPr="00B16AC1">
        <w:rPr>
          <w:rFonts w:ascii="Arial" w:hAnsi="Arial"/>
          <w:b/>
          <w:bCs/>
          <w:smallCaps/>
          <w:lang w:eastAsia="es-ES"/>
        </w:rPr>
        <w:t>Enero a junio de los años señalados</w:t>
      </w:r>
    </w:p>
    <w:p w14:paraId="78310DA8" w14:textId="77777777" w:rsidR="00C615F9" w:rsidRPr="007974B5" w:rsidRDefault="00F71E0F" w:rsidP="00C615F9">
      <w:pPr>
        <w:spacing w:after="120" w:line="240" w:lineRule="auto"/>
        <w:ind w:left="-284" w:right="425"/>
        <w:jc w:val="center"/>
        <w:rPr>
          <w:rFonts w:ascii="Arial" w:hAnsi="Arial"/>
          <w:sz w:val="18"/>
          <w:szCs w:val="18"/>
          <w:lang w:eastAsia="es-ES"/>
        </w:rPr>
      </w:pPr>
      <w:r w:rsidRPr="007974B5">
        <w:rPr>
          <w:rFonts w:ascii="Arial" w:hAnsi="Arial"/>
          <w:smallCaps/>
          <w:sz w:val="18"/>
          <w:szCs w:val="18"/>
          <w:lang w:eastAsia="es-ES"/>
        </w:rPr>
        <w:t>(</w:t>
      </w:r>
      <w:r w:rsidR="00C615F9" w:rsidRPr="007974B5">
        <w:rPr>
          <w:rFonts w:ascii="Arial" w:hAnsi="Arial"/>
          <w:smallCaps/>
          <w:sz w:val="18"/>
          <w:szCs w:val="18"/>
          <w:lang w:eastAsia="es-ES"/>
        </w:rPr>
        <w:t>Hombres</w:t>
      </w:r>
      <w:r w:rsidRPr="007974B5">
        <w:rPr>
          <w:rFonts w:ascii="Arial" w:hAnsi="Arial"/>
          <w:smallCaps/>
          <w:sz w:val="18"/>
          <w:szCs w:val="18"/>
          <w:lang w:eastAsia="es-ES"/>
        </w:rPr>
        <w:t>)</w:t>
      </w:r>
    </w:p>
    <w:p w14:paraId="0CE5EDBB" w14:textId="1BAC8B82" w:rsidR="00B652CB" w:rsidRPr="00F71E0F" w:rsidRDefault="00113249" w:rsidP="00F71E0F">
      <w:pPr>
        <w:spacing w:after="120" w:line="240" w:lineRule="auto"/>
        <w:ind w:left="-284" w:right="425"/>
        <w:jc w:val="center"/>
        <w:rPr>
          <w:rFonts w:ascii="Arial" w:hAnsi="Arial"/>
          <w:b/>
          <w:bCs/>
          <w:sz w:val="28"/>
          <w:szCs w:val="28"/>
          <w:lang w:eastAsia="es-ES"/>
        </w:rPr>
      </w:pPr>
      <w:r w:rsidRPr="00964793">
        <w:rPr>
          <w:noProof/>
        </w:rPr>
        <w:drawing>
          <wp:inline distT="0" distB="0" distL="0" distR="0" wp14:anchorId="64F46C7D" wp14:editId="082C0445">
            <wp:extent cx="5853430" cy="3079115"/>
            <wp:effectExtent l="0" t="0" r="0" b="0"/>
            <wp:docPr id="9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BDDD09C" w14:textId="32712CF5" w:rsidR="00B16AC1" w:rsidRPr="008B52BD" w:rsidRDefault="00B16AC1" w:rsidP="008B52BD">
      <w:pPr>
        <w:tabs>
          <w:tab w:val="left" w:pos="8789"/>
        </w:tabs>
        <w:spacing w:after="0" w:line="240" w:lineRule="auto"/>
        <w:ind w:left="567" w:right="709" w:hanging="567"/>
        <w:jc w:val="both"/>
        <w:rPr>
          <w:rFonts w:ascii="Arial" w:eastAsia="Calibri" w:hAnsi="Arial" w:cs="Arial"/>
          <w:sz w:val="16"/>
          <w:szCs w:val="16"/>
        </w:rPr>
      </w:pPr>
      <w:r w:rsidRPr="008B52BD">
        <w:rPr>
          <w:rFonts w:ascii="Arial" w:hAnsi="Arial" w:cs="Arial"/>
          <w:color w:val="000000"/>
          <w:sz w:val="16"/>
          <w:szCs w:val="16"/>
        </w:rPr>
        <w:t>Nota:</w:t>
      </w:r>
      <w:r w:rsidRPr="008B52BD">
        <w:rPr>
          <w:rFonts w:ascii="Arial" w:hAnsi="Arial" w:cs="Arial"/>
          <w:color w:val="000000"/>
          <w:sz w:val="16"/>
          <w:szCs w:val="16"/>
        </w:rPr>
        <w:tab/>
      </w:r>
      <w:r w:rsidRPr="008B52BD">
        <w:rPr>
          <w:rFonts w:ascii="Arial" w:eastAsia="Calibri" w:hAnsi="Arial" w:cs="Arial"/>
          <w:sz w:val="16"/>
          <w:szCs w:val="16"/>
        </w:rPr>
        <w:t>El denominador para el cálculo de la tasa para el periodo 1990-2019 corresponde a las proyecciones de población 2016-2050 de</w:t>
      </w:r>
      <w:r w:rsidR="00252AAC">
        <w:rPr>
          <w:rFonts w:ascii="Arial" w:eastAsia="Calibri" w:hAnsi="Arial" w:cs="Arial"/>
          <w:sz w:val="16"/>
          <w:szCs w:val="16"/>
        </w:rPr>
        <w:t>l</w:t>
      </w:r>
      <w:r w:rsidRPr="008B52BD">
        <w:rPr>
          <w:rFonts w:ascii="Arial" w:eastAsia="Calibri" w:hAnsi="Arial" w:cs="Arial"/>
          <w:sz w:val="16"/>
          <w:szCs w:val="16"/>
        </w:rPr>
        <w:t xml:space="preserve"> CONAPO y a la Conciliación Demográfica de México, 1950-2015. El denominador de los años 2020-2022</w:t>
      </w:r>
      <w:r w:rsidR="00252AAC">
        <w:rPr>
          <w:rFonts w:ascii="Arial" w:eastAsia="Calibri" w:hAnsi="Arial" w:cs="Arial"/>
          <w:sz w:val="16"/>
          <w:szCs w:val="16"/>
        </w:rPr>
        <w:t xml:space="preserve"> </w:t>
      </w:r>
      <w:r w:rsidRPr="008B52BD">
        <w:rPr>
          <w:rFonts w:ascii="Arial" w:eastAsia="Calibri" w:hAnsi="Arial" w:cs="Arial"/>
          <w:sz w:val="16"/>
          <w:szCs w:val="16"/>
        </w:rPr>
        <w:t>corresponde a la estimación de población que elabora el INEGI con base en el Marco de Muestreo de Viviendas</w:t>
      </w:r>
      <w:r w:rsidR="00F2349C" w:rsidRPr="008B52BD">
        <w:rPr>
          <w:rFonts w:ascii="Arial" w:eastAsia="Calibri" w:hAnsi="Arial" w:cs="Arial"/>
          <w:sz w:val="16"/>
          <w:szCs w:val="16"/>
        </w:rPr>
        <w:t xml:space="preserve"> con referencia al 31 de marzo</w:t>
      </w:r>
      <w:r w:rsidRPr="008B52BD">
        <w:rPr>
          <w:rFonts w:ascii="Arial" w:eastAsia="Calibri" w:hAnsi="Arial" w:cs="Arial"/>
          <w:sz w:val="16"/>
          <w:szCs w:val="16"/>
        </w:rPr>
        <w:t>.</w:t>
      </w:r>
    </w:p>
    <w:p w14:paraId="3798DAEC" w14:textId="3296A1B8" w:rsidR="00B16AC1" w:rsidRPr="008B52BD" w:rsidRDefault="00B16AC1" w:rsidP="008B52BD">
      <w:pPr>
        <w:tabs>
          <w:tab w:val="left" w:pos="8789"/>
        </w:tabs>
        <w:spacing w:after="0" w:line="240" w:lineRule="auto"/>
        <w:ind w:left="567" w:right="709" w:hanging="567"/>
        <w:jc w:val="both"/>
        <w:rPr>
          <w:rFonts w:ascii="Arial" w:hAnsi="Arial" w:cs="Arial"/>
          <w:bCs/>
          <w:sz w:val="16"/>
          <w:szCs w:val="16"/>
        </w:rPr>
      </w:pPr>
      <w:r w:rsidRPr="008B52BD">
        <w:rPr>
          <w:rFonts w:ascii="Arial" w:hAnsi="Arial" w:cs="Arial"/>
          <w:bCs/>
          <w:sz w:val="16"/>
          <w:szCs w:val="16"/>
          <w:vertAlign w:val="superscript"/>
        </w:rPr>
        <w:t>p</w:t>
      </w:r>
      <w:r w:rsidR="00EE6F34">
        <w:rPr>
          <w:rFonts w:ascii="Arial" w:hAnsi="Arial" w:cs="Arial"/>
          <w:bCs/>
          <w:sz w:val="16"/>
          <w:szCs w:val="16"/>
          <w:vertAlign w:val="superscript"/>
        </w:rPr>
        <w:t>/</w:t>
      </w:r>
      <w:r w:rsidRPr="008B52BD">
        <w:rPr>
          <w:rFonts w:ascii="Arial" w:hAnsi="Arial" w:cs="Arial"/>
          <w:bCs/>
          <w:sz w:val="16"/>
          <w:szCs w:val="16"/>
        </w:rPr>
        <w:tab/>
        <w:t>Cifras preliminares (enero a junio 2022) con corte al 16 de enero de 2023, debido a que aún no concluyen los procesos de generación de la estadística de defunciones registradas.</w:t>
      </w:r>
    </w:p>
    <w:p w14:paraId="7E135916" w14:textId="31AADA7C" w:rsidR="00B16AC1" w:rsidRPr="00910506" w:rsidRDefault="00B16AC1" w:rsidP="008B52BD">
      <w:pPr>
        <w:tabs>
          <w:tab w:val="left" w:pos="567"/>
        </w:tabs>
        <w:spacing w:after="0" w:line="240" w:lineRule="auto"/>
        <w:ind w:left="567" w:right="709" w:hanging="567"/>
        <w:jc w:val="both"/>
        <w:rPr>
          <w:rFonts w:ascii="Arial" w:hAnsi="Arial" w:cs="Arial"/>
          <w:color w:val="000000"/>
          <w:sz w:val="14"/>
          <w:szCs w:val="14"/>
        </w:rPr>
      </w:pPr>
      <w:r w:rsidRPr="008B52BD">
        <w:rPr>
          <w:rFonts w:ascii="Arial" w:hAnsi="Arial" w:cs="Arial"/>
          <w:color w:val="000000"/>
          <w:sz w:val="16"/>
          <w:szCs w:val="16"/>
        </w:rPr>
        <w:t>Fuente:</w:t>
      </w:r>
      <w:r w:rsidRPr="008B52BD">
        <w:rPr>
          <w:rFonts w:ascii="Arial" w:hAnsi="Arial" w:cs="Arial"/>
          <w:color w:val="000000"/>
          <w:sz w:val="16"/>
          <w:szCs w:val="16"/>
        </w:rPr>
        <w:tab/>
        <w:t>INEGI. Estadísticas Vitales. Estadísticas de Defunciones Registradas</w:t>
      </w:r>
    </w:p>
    <w:p w14:paraId="474D9A87" w14:textId="77777777" w:rsidR="00B652CB" w:rsidRDefault="00B652CB" w:rsidP="00B2477D">
      <w:pPr>
        <w:tabs>
          <w:tab w:val="left" w:pos="567"/>
        </w:tabs>
        <w:spacing w:after="0" w:line="240" w:lineRule="auto"/>
        <w:ind w:left="-284" w:right="425"/>
        <w:jc w:val="both"/>
        <w:rPr>
          <w:rFonts w:ascii="Arial" w:hAnsi="Arial"/>
          <w:bCs/>
          <w:sz w:val="14"/>
          <w:szCs w:val="14"/>
          <w:lang w:eastAsia="es-ES"/>
        </w:rPr>
      </w:pPr>
    </w:p>
    <w:p w14:paraId="072DF880" w14:textId="77777777" w:rsidR="00B652CB" w:rsidRDefault="00B652CB" w:rsidP="00496893">
      <w:pPr>
        <w:tabs>
          <w:tab w:val="left" w:pos="567"/>
        </w:tabs>
        <w:spacing w:after="0" w:line="240" w:lineRule="auto"/>
        <w:ind w:left="-284" w:right="425"/>
        <w:jc w:val="center"/>
        <w:rPr>
          <w:rFonts w:ascii="Arial" w:hAnsi="Arial"/>
          <w:bCs/>
          <w:sz w:val="14"/>
          <w:szCs w:val="14"/>
          <w:lang w:eastAsia="es-ES"/>
        </w:rPr>
      </w:pPr>
    </w:p>
    <w:p w14:paraId="09A2F69C" w14:textId="77777777" w:rsidR="00B652CB" w:rsidRDefault="00B652CB" w:rsidP="00B2477D">
      <w:pPr>
        <w:tabs>
          <w:tab w:val="left" w:pos="567"/>
        </w:tabs>
        <w:spacing w:after="0" w:line="240" w:lineRule="auto"/>
        <w:ind w:left="-284" w:right="425"/>
        <w:jc w:val="both"/>
        <w:rPr>
          <w:rFonts w:ascii="Arial" w:hAnsi="Arial"/>
          <w:bCs/>
          <w:sz w:val="14"/>
          <w:szCs w:val="14"/>
          <w:lang w:eastAsia="es-ES"/>
        </w:rPr>
      </w:pPr>
    </w:p>
    <w:p w14:paraId="4BDB6350" w14:textId="77777777" w:rsidR="00B652CB" w:rsidRDefault="00B652CB" w:rsidP="00B2477D">
      <w:pPr>
        <w:tabs>
          <w:tab w:val="left" w:pos="567"/>
        </w:tabs>
        <w:spacing w:after="0" w:line="240" w:lineRule="auto"/>
        <w:ind w:left="-284" w:right="425"/>
        <w:jc w:val="both"/>
        <w:rPr>
          <w:rFonts w:ascii="Arial" w:hAnsi="Arial"/>
          <w:bCs/>
          <w:sz w:val="14"/>
          <w:szCs w:val="14"/>
          <w:lang w:eastAsia="es-ES"/>
        </w:rPr>
      </w:pPr>
    </w:p>
    <w:p w14:paraId="3A7DC715" w14:textId="77777777" w:rsidR="00B652CB" w:rsidRDefault="00B652CB" w:rsidP="00B2477D">
      <w:pPr>
        <w:tabs>
          <w:tab w:val="left" w:pos="567"/>
        </w:tabs>
        <w:spacing w:after="0" w:line="240" w:lineRule="auto"/>
        <w:ind w:left="-284" w:right="425"/>
        <w:jc w:val="both"/>
        <w:rPr>
          <w:rFonts w:ascii="Arial" w:hAnsi="Arial"/>
          <w:bCs/>
          <w:sz w:val="14"/>
          <w:szCs w:val="14"/>
          <w:lang w:eastAsia="es-ES"/>
        </w:rPr>
      </w:pPr>
    </w:p>
    <w:p w14:paraId="6A46BF57" w14:textId="77777777" w:rsidR="002D6EA2" w:rsidRDefault="00154986" w:rsidP="00F2349C">
      <w:pPr>
        <w:spacing w:after="120" w:line="240" w:lineRule="auto"/>
        <w:ind w:left="-284" w:right="425"/>
        <w:jc w:val="both"/>
        <w:rPr>
          <w:rFonts w:ascii="Arial" w:hAnsi="Arial"/>
          <w:b/>
          <w:bCs/>
          <w:sz w:val="28"/>
          <w:szCs w:val="28"/>
          <w:lang w:eastAsia="es-ES"/>
        </w:rPr>
      </w:pPr>
      <w:r>
        <w:rPr>
          <w:rFonts w:ascii="Arial" w:hAnsi="Arial"/>
          <w:b/>
          <w:bCs/>
          <w:sz w:val="28"/>
          <w:szCs w:val="28"/>
          <w:lang w:eastAsia="es-ES"/>
        </w:rPr>
        <w:br w:type="page"/>
      </w:r>
    </w:p>
    <w:p w14:paraId="553ABF4A" w14:textId="77777777" w:rsidR="002D6EA2" w:rsidRDefault="002D6EA2" w:rsidP="00F2349C">
      <w:pPr>
        <w:spacing w:after="120" w:line="240" w:lineRule="auto"/>
        <w:ind w:left="-284" w:right="425"/>
        <w:jc w:val="both"/>
        <w:rPr>
          <w:rFonts w:ascii="Arial" w:hAnsi="Arial"/>
          <w:sz w:val="24"/>
          <w:szCs w:val="24"/>
          <w:lang w:eastAsia="es-ES"/>
        </w:rPr>
      </w:pPr>
    </w:p>
    <w:p w14:paraId="064B545D" w14:textId="09AAB9D8" w:rsidR="00F2349C" w:rsidRDefault="00F2349C" w:rsidP="008B52BD">
      <w:pPr>
        <w:spacing w:after="120" w:line="240" w:lineRule="auto"/>
        <w:ind w:left="-567" w:right="425"/>
        <w:jc w:val="both"/>
        <w:rPr>
          <w:rFonts w:ascii="Arial" w:hAnsi="Arial"/>
          <w:sz w:val="24"/>
          <w:szCs w:val="24"/>
          <w:lang w:eastAsia="es-ES"/>
        </w:rPr>
      </w:pPr>
      <w:r w:rsidRPr="00F2349C">
        <w:rPr>
          <w:rFonts w:ascii="Arial" w:hAnsi="Arial"/>
          <w:sz w:val="24"/>
          <w:szCs w:val="24"/>
          <w:lang w:eastAsia="es-ES"/>
        </w:rPr>
        <w:t xml:space="preserve">En el caso de las mujeres, </w:t>
      </w:r>
      <w:r w:rsidR="00252AAC">
        <w:rPr>
          <w:rFonts w:ascii="Arial" w:hAnsi="Arial"/>
          <w:sz w:val="24"/>
          <w:szCs w:val="24"/>
          <w:lang w:eastAsia="es-ES"/>
        </w:rPr>
        <w:t>tal y como ocurrió en 2021 con información definitiva,</w:t>
      </w:r>
      <w:r w:rsidR="00252AAC" w:rsidRPr="00F2349C">
        <w:rPr>
          <w:rFonts w:ascii="Arial" w:hAnsi="Arial"/>
          <w:sz w:val="24"/>
          <w:szCs w:val="24"/>
          <w:lang w:eastAsia="es-ES"/>
        </w:rPr>
        <w:t xml:space="preserve"> </w:t>
      </w:r>
      <w:r w:rsidRPr="00F2349C">
        <w:rPr>
          <w:rFonts w:ascii="Arial" w:hAnsi="Arial"/>
          <w:sz w:val="24"/>
          <w:szCs w:val="24"/>
          <w:lang w:eastAsia="es-ES"/>
        </w:rPr>
        <w:t xml:space="preserve">la </w:t>
      </w:r>
      <w:r w:rsidR="00E24D03">
        <w:rPr>
          <w:rFonts w:ascii="Arial" w:hAnsi="Arial"/>
          <w:sz w:val="24"/>
          <w:szCs w:val="24"/>
          <w:lang w:eastAsia="es-ES"/>
        </w:rPr>
        <w:t>tasa</w:t>
      </w:r>
      <w:r w:rsidRPr="00F2349C">
        <w:rPr>
          <w:rFonts w:ascii="Arial" w:hAnsi="Arial"/>
          <w:sz w:val="24"/>
          <w:szCs w:val="24"/>
          <w:lang w:eastAsia="es-ES"/>
        </w:rPr>
        <w:t xml:space="preserve"> </w:t>
      </w:r>
      <w:r w:rsidR="00252AAC" w:rsidRPr="00F2349C">
        <w:rPr>
          <w:rFonts w:ascii="Arial" w:hAnsi="Arial"/>
          <w:sz w:val="24"/>
          <w:szCs w:val="24"/>
          <w:lang w:eastAsia="es-ES"/>
        </w:rPr>
        <w:t xml:space="preserve">se mantuvo en tres homicidios por cada 100 </w:t>
      </w:r>
      <w:r w:rsidR="00252AAC">
        <w:rPr>
          <w:rFonts w:ascii="Arial" w:hAnsi="Arial"/>
          <w:sz w:val="24"/>
          <w:szCs w:val="24"/>
          <w:lang w:eastAsia="es-ES"/>
        </w:rPr>
        <w:t>mil</w:t>
      </w:r>
      <w:r w:rsidR="00252AAC" w:rsidRPr="00F2349C">
        <w:rPr>
          <w:rFonts w:ascii="Arial" w:hAnsi="Arial"/>
          <w:sz w:val="24"/>
          <w:szCs w:val="24"/>
          <w:lang w:eastAsia="es-ES"/>
        </w:rPr>
        <w:t xml:space="preserve"> </w:t>
      </w:r>
      <w:r w:rsidR="00B615DC">
        <w:rPr>
          <w:rFonts w:ascii="Arial" w:hAnsi="Arial"/>
          <w:sz w:val="24"/>
          <w:szCs w:val="24"/>
          <w:lang w:eastAsia="es-ES"/>
        </w:rPr>
        <w:t>en el primer semestre de</w:t>
      </w:r>
      <w:r w:rsidR="00B615DC" w:rsidRPr="00F2349C">
        <w:rPr>
          <w:rFonts w:ascii="Arial" w:hAnsi="Arial"/>
          <w:sz w:val="24"/>
          <w:szCs w:val="24"/>
          <w:lang w:eastAsia="es-ES"/>
        </w:rPr>
        <w:t xml:space="preserve"> </w:t>
      </w:r>
      <w:r w:rsidRPr="00F2349C">
        <w:rPr>
          <w:rFonts w:ascii="Arial" w:hAnsi="Arial"/>
          <w:sz w:val="24"/>
          <w:szCs w:val="24"/>
          <w:lang w:eastAsia="es-ES"/>
        </w:rPr>
        <w:t>202</w:t>
      </w:r>
      <w:r w:rsidR="00C203DA">
        <w:rPr>
          <w:rFonts w:ascii="Arial" w:hAnsi="Arial"/>
          <w:sz w:val="24"/>
          <w:szCs w:val="24"/>
          <w:lang w:eastAsia="es-ES"/>
        </w:rPr>
        <w:t>2</w:t>
      </w:r>
      <w:r w:rsidR="00252AAC">
        <w:rPr>
          <w:rFonts w:ascii="Arial" w:hAnsi="Arial"/>
          <w:sz w:val="24"/>
          <w:szCs w:val="24"/>
          <w:lang w:eastAsia="es-ES"/>
        </w:rPr>
        <w:t>.</w:t>
      </w:r>
    </w:p>
    <w:p w14:paraId="12F01E33" w14:textId="77777777" w:rsidR="00F2349C" w:rsidRPr="00F2349C" w:rsidRDefault="00F2349C" w:rsidP="00F2349C">
      <w:pPr>
        <w:spacing w:after="120" w:line="240" w:lineRule="auto"/>
        <w:ind w:left="-284" w:right="425"/>
        <w:jc w:val="both"/>
        <w:rPr>
          <w:rFonts w:ascii="Arial" w:hAnsi="Arial"/>
          <w:sz w:val="24"/>
          <w:szCs w:val="24"/>
          <w:lang w:eastAsia="es-ES"/>
        </w:rPr>
      </w:pPr>
    </w:p>
    <w:p w14:paraId="20C336AA" w14:textId="77777777" w:rsidR="00EC1AE2" w:rsidRDefault="00534CDE" w:rsidP="00330734">
      <w:pPr>
        <w:spacing w:after="120" w:line="240" w:lineRule="auto"/>
        <w:ind w:left="-284" w:right="425"/>
        <w:jc w:val="center"/>
        <w:rPr>
          <w:rFonts w:ascii="Arial" w:hAnsi="Arial"/>
          <w:b/>
          <w:bCs/>
          <w:sz w:val="28"/>
          <w:szCs w:val="28"/>
          <w:lang w:eastAsia="es-ES"/>
        </w:rPr>
      </w:pPr>
      <w:r w:rsidRPr="00C4321E">
        <w:rPr>
          <w:rFonts w:ascii="Arial" w:hAnsi="Arial" w:cs="Arial"/>
          <w:sz w:val="20"/>
          <w:szCs w:val="20"/>
          <w:lang w:eastAsia="es-ES"/>
        </w:rPr>
        <w:t xml:space="preserve">Gráfica </w:t>
      </w:r>
      <w:r>
        <w:rPr>
          <w:rFonts w:ascii="Arial" w:hAnsi="Arial" w:cs="Arial"/>
          <w:sz w:val="20"/>
          <w:szCs w:val="20"/>
          <w:lang w:eastAsia="es-ES"/>
        </w:rPr>
        <w:t>4</w:t>
      </w:r>
    </w:p>
    <w:p w14:paraId="7C14CAB5" w14:textId="77777777" w:rsidR="00330734" w:rsidRPr="00534CDE" w:rsidRDefault="00330734" w:rsidP="0079436F">
      <w:pPr>
        <w:spacing w:after="0" w:line="240" w:lineRule="auto"/>
        <w:ind w:left="-284" w:right="425"/>
        <w:jc w:val="center"/>
        <w:rPr>
          <w:rFonts w:ascii="Arial" w:hAnsi="Arial"/>
          <w:bCs/>
          <w:smallCaps/>
          <w:lang w:eastAsia="es-ES"/>
        </w:rPr>
      </w:pPr>
      <w:r w:rsidRPr="00534CDE">
        <w:rPr>
          <w:rFonts w:ascii="Arial" w:hAnsi="Arial"/>
          <w:b/>
          <w:bCs/>
          <w:smallCaps/>
          <w:lang w:eastAsia="es-ES"/>
        </w:rPr>
        <w:t>Tasa de homicidios por cada 100</w:t>
      </w:r>
      <w:r w:rsidR="00170D43">
        <w:rPr>
          <w:rFonts w:ascii="Arial" w:hAnsi="Arial"/>
          <w:b/>
          <w:bCs/>
          <w:smallCaps/>
          <w:lang w:eastAsia="es-ES"/>
        </w:rPr>
        <w:t xml:space="preserve"> mil</w:t>
      </w:r>
      <w:r w:rsidRPr="00534CDE">
        <w:rPr>
          <w:rFonts w:ascii="Arial" w:hAnsi="Arial"/>
          <w:b/>
          <w:bCs/>
          <w:smallCaps/>
          <w:lang w:eastAsia="es-ES"/>
        </w:rPr>
        <w:t xml:space="preserve"> habitantes a nivel nacional</w:t>
      </w:r>
      <w:r w:rsidRPr="00534CDE">
        <w:rPr>
          <w:rFonts w:ascii="Arial" w:hAnsi="Arial"/>
          <w:bCs/>
          <w:smallCaps/>
          <w:lang w:eastAsia="es-ES"/>
        </w:rPr>
        <w:t xml:space="preserve"> </w:t>
      </w:r>
    </w:p>
    <w:p w14:paraId="44B16F60" w14:textId="77777777" w:rsidR="00F71E0F" w:rsidRPr="00534CDE" w:rsidRDefault="00F71E0F" w:rsidP="00F71E0F">
      <w:pPr>
        <w:spacing w:after="0" w:line="240" w:lineRule="auto"/>
        <w:ind w:left="-284" w:right="425"/>
        <w:jc w:val="center"/>
        <w:rPr>
          <w:rFonts w:ascii="Arial" w:hAnsi="Arial"/>
          <w:b/>
          <w:bCs/>
          <w:smallCaps/>
          <w:lang w:eastAsia="es-ES"/>
        </w:rPr>
      </w:pPr>
      <w:r w:rsidRPr="00534CDE">
        <w:rPr>
          <w:rFonts w:ascii="Arial" w:hAnsi="Arial"/>
          <w:b/>
          <w:bCs/>
          <w:smallCaps/>
          <w:lang w:eastAsia="es-ES"/>
        </w:rPr>
        <w:t>Enero a junio de los años señalados</w:t>
      </w:r>
    </w:p>
    <w:p w14:paraId="660A85D2" w14:textId="77777777" w:rsidR="00496893" w:rsidRPr="007974B5" w:rsidRDefault="00F71E0F" w:rsidP="00496893">
      <w:pPr>
        <w:spacing w:after="120" w:line="240" w:lineRule="auto"/>
        <w:ind w:left="-284" w:right="425"/>
        <w:jc w:val="center"/>
        <w:rPr>
          <w:rFonts w:ascii="Arial" w:hAnsi="Arial"/>
          <w:smallCaps/>
          <w:sz w:val="18"/>
          <w:szCs w:val="18"/>
          <w:lang w:eastAsia="es-ES"/>
        </w:rPr>
      </w:pPr>
      <w:r w:rsidRPr="007974B5">
        <w:rPr>
          <w:rFonts w:ascii="Arial" w:hAnsi="Arial"/>
          <w:smallCaps/>
          <w:sz w:val="18"/>
          <w:szCs w:val="18"/>
          <w:lang w:eastAsia="es-ES"/>
        </w:rPr>
        <w:t>(</w:t>
      </w:r>
      <w:r w:rsidR="00496893" w:rsidRPr="007974B5">
        <w:rPr>
          <w:rFonts w:ascii="Arial" w:hAnsi="Arial"/>
          <w:smallCaps/>
          <w:sz w:val="18"/>
          <w:szCs w:val="18"/>
          <w:lang w:eastAsia="es-ES"/>
        </w:rPr>
        <w:t>Mujeres</w:t>
      </w:r>
      <w:r w:rsidRPr="007974B5">
        <w:rPr>
          <w:rFonts w:ascii="Arial" w:hAnsi="Arial"/>
          <w:smallCaps/>
          <w:sz w:val="18"/>
          <w:szCs w:val="18"/>
          <w:lang w:eastAsia="es-ES"/>
        </w:rPr>
        <w:t>)</w:t>
      </w:r>
    </w:p>
    <w:p w14:paraId="3CBCC239" w14:textId="6AFB0296" w:rsidR="00B652CB" w:rsidRPr="00F71E0F" w:rsidRDefault="00113249" w:rsidP="00F71E0F">
      <w:pPr>
        <w:spacing w:after="120" w:line="240" w:lineRule="auto"/>
        <w:ind w:left="-284" w:right="425"/>
        <w:jc w:val="center"/>
        <w:rPr>
          <w:rFonts w:ascii="Arial" w:hAnsi="Arial"/>
          <w:b/>
          <w:bCs/>
          <w:sz w:val="28"/>
          <w:szCs w:val="28"/>
          <w:lang w:eastAsia="es-ES"/>
        </w:rPr>
      </w:pPr>
      <w:r w:rsidRPr="00964793">
        <w:rPr>
          <w:noProof/>
        </w:rPr>
        <w:drawing>
          <wp:inline distT="0" distB="0" distL="0" distR="0" wp14:anchorId="0FF2DC91" wp14:editId="7072462C">
            <wp:extent cx="5853430" cy="3075305"/>
            <wp:effectExtent l="0" t="0" r="0" b="0"/>
            <wp:docPr id="10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073E4FE" w14:textId="2CA35B36" w:rsidR="00534CDE" w:rsidRPr="008B52BD" w:rsidRDefault="00534CDE" w:rsidP="008B52BD">
      <w:pPr>
        <w:tabs>
          <w:tab w:val="left" w:pos="8789"/>
          <w:tab w:val="left" w:pos="9214"/>
        </w:tabs>
        <w:spacing w:after="0" w:line="240" w:lineRule="auto"/>
        <w:ind w:left="567" w:right="709" w:hanging="567"/>
        <w:jc w:val="both"/>
        <w:rPr>
          <w:rFonts w:ascii="Arial" w:eastAsia="Calibri" w:hAnsi="Arial" w:cs="Arial"/>
          <w:sz w:val="16"/>
          <w:szCs w:val="16"/>
        </w:rPr>
      </w:pPr>
      <w:r w:rsidRPr="008B52BD">
        <w:rPr>
          <w:rFonts w:ascii="Arial" w:hAnsi="Arial" w:cs="Arial"/>
          <w:color w:val="000000"/>
          <w:sz w:val="16"/>
          <w:szCs w:val="16"/>
        </w:rPr>
        <w:t>Nota:</w:t>
      </w:r>
      <w:r w:rsidRPr="008B52BD">
        <w:rPr>
          <w:rFonts w:ascii="Arial" w:hAnsi="Arial" w:cs="Arial"/>
          <w:color w:val="000000"/>
          <w:sz w:val="16"/>
          <w:szCs w:val="16"/>
        </w:rPr>
        <w:tab/>
      </w:r>
      <w:r w:rsidRPr="008B52BD">
        <w:rPr>
          <w:rFonts w:ascii="Arial" w:eastAsia="Calibri" w:hAnsi="Arial" w:cs="Arial"/>
          <w:sz w:val="16"/>
          <w:szCs w:val="16"/>
        </w:rPr>
        <w:t>El denominador para el cálculo de la tasa para el periodo 1990-2019 corresponde a las proyecciones de población 2016-2050 de</w:t>
      </w:r>
      <w:r w:rsidR="00252AAC">
        <w:rPr>
          <w:rFonts w:ascii="Arial" w:eastAsia="Calibri" w:hAnsi="Arial" w:cs="Arial"/>
          <w:sz w:val="16"/>
          <w:szCs w:val="16"/>
        </w:rPr>
        <w:t>l</w:t>
      </w:r>
      <w:r w:rsidRPr="008B52BD">
        <w:rPr>
          <w:rFonts w:ascii="Arial" w:eastAsia="Calibri" w:hAnsi="Arial" w:cs="Arial"/>
          <w:sz w:val="16"/>
          <w:szCs w:val="16"/>
        </w:rPr>
        <w:t xml:space="preserve"> CONAPO y a la Conciliación Demográfica de México, 1950-2015. El denominador de los años 2020-2022 corresponde a la estimación de población que elabora el INEGI con base en el Marco de Muestreo de </w:t>
      </w:r>
      <w:r w:rsidR="00F2349C" w:rsidRPr="008B52BD">
        <w:rPr>
          <w:rFonts w:ascii="Arial" w:eastAsia="Calibri" w:hAnsi="Arial" w:cs="Arial"/>
          <w:sz w:val="16"/>
          <w:szCs w:val="16"/>
        </w:rPr>
        <w:t>Viviendas con referencia al 31 de marzo</w:t>
      </w:r>
      <w:r w:rsidRPr="008B52BD">
        <w:rPr>
          <w:rFonts w:ascii="Arial" w:eastAsia="Calibri" w:hAnsi="Arial" w:cs="Arial"/>
          <w:sz w:val="16"/>
          <w:szCs w:val="16"/>
        </w:rPr>
        <w:t>.</w:t>
      </w:r>
    </w:p>
    <w:p w14:paraId="6924A768" w14:textId="57C6E2A3" w:rsidR="00534CDE" w:rsidRPr="008B52BD" w:rsidRDefault="00534CDE" w:rsidP="008B52BD">
      <w:pPr>
        <w:tabs>
          <w:tab w:val="left" w:pos="8789"/>
          <w:tab w:val="left" w:pos="9214"/>
        </w:tabs>
        <w:spacing w:after="0" w:line="240" w:lineRule="auto"/>
        <w:ind w:left="567" w:right="709" w:hanging="567"/>
        <w:jc w:val="both"/>
        <w:rPr>
          <w:rFonts w:ascii="Arial" w:hAnsi="Arial" w:cs="Arial"/>
          <w:bCs/>
          <w:sz w:val="16"/>
          <w:szCs w:val="16"/>
        </w:rPr>
      </w:pPr>
      <w:r w:rsidRPr="008B52BD">
        <w:rPr>
          <w:rFonts w:ascii="Arial" w:hAnsi="Arial" w:cs="Arial"/>
          <w:bCs/>
          <w:sz w:val="16"/>
          <w:szCs w:val="16"/>
          <w:vertAlign w:val="superscript"/>
        </w:rPr>
        <w:t>p</w:t>
      </w:r>
      <w:r w:rsidR="00EE6F34">
        <w:rPr>
          <w:rFonts w:ascii="Arial" w:hAnsi="Arial" w:cs="Arial"/>
          <w:bCs/>
          <w:sz w:val="16"/>
          <w:szCs w:val="16"/>
          <w:vertAlign w:val="superscript"/>
        </w:rPr>
        <w:t>/</w:t>
      </w:r>
      <w:r w:rsidRPr="008B52BD">
        <w:rPr>
          <w:rFonts w:ascii="Arial" w:hAnsi="Arial" w:cs="Arial"/>
          <w:bCs/>
          <w:sz w:val="16"/>
          <w:szCs w:val="16"/>
        </w:rPr>
        <w:tab/>
        <w:t>Cifras preliminares (enero a junio 2022) con corte al 16 de enero de 2023, debido a que aún no concluyen los procesos de generación de la estadística de defunciones registradas.</w:t>
      </w:r>
    </w:p>
    <w:p w14:paraId="6754E5C5" w14:textId="11EEE76F" w:rsidR="00B652CB" w:rsidRDefault="00534CDE" w:rsidP="008B52BD">
      <w:pPr>
        <w:tabs>
          <w:tab w:val="left" w:pos="567"/>
          <w:tab w:val="left" w:pos="9214"/>
        </w:tabs>
        <w:spacing w:after="0" w:line="240" w:lineRule="auto"/>
        <w:ind w:left="567" w:right="709" w:hanging="567"/>
        <w:jc w:val="both"/>
        <w:rPr>
          <w:rFonts w:ascii="Arial" w:hAnsi="Arial"/>
          <w:bCs/>
          <w:sz w:val="14"/>
          <w:szCs w:val="14"/>
          <w:lang w:eastAsia="es-ES"/>
        </w:rPr>
      </w:pPr>
      <w:r w:rsidRPr="008B52BD">
        <w:rPr>
          <w:rFonts w:ascii="Arial" w:hAnsi="Arial" w:cs="Arial"/>
          <w:color w:val="000000"/>
          <w:sz w:val="16"/>
          <w:szCs w:val="16"/>
        </w:rPr>
        <w:t>Fuente:</w:t>
      </w:r>
      <w:r w:rsidRPr="008B52BD">
        <w:rPr>
          <w:rFonts w:ascii="Arial" w:hAnsi="Arial" w:cs="Arial"/>
          <w:color w:val="000000"/>
          <w:sz w:val="16"/>
          <w:szCs w:val="16"/>
        </w:rPr>
        <w:tab/>
        <w:t>INEGI. Estadísticas Vitales. Estadísticas de Defunciones Registradas</w:t>
      </w:r>
    </w:p>
    <w:p w14:paraId="3EFFACBB" w14:textId="77777777" w:rsidR="00B652CB" w:rsidRDefault="00B652CB" w:rsidP="00B2477D">
      <w:pPr>
        <w:tabs>
          <w:tab w:val="left" w:pos="567"/>
        </w:tabs>
        <w:spacing w:after="0" w:line="240" w:lineRule="auto"/>
        <w:ind w:left="-284" w:right="425"/>
        <w:jc w:val="both"/>
        <w:rPr>
          <w:rFonts w:ascii="Arial" w:hAnsi="Arial"/>
          <w:bCs/>
          <w:sz w:val="14"/>
          <w:szCs w:val="14"/>
          <w:lang w:eastAsia="es-ES"/>
        </w:rPr>
      </w:pPr>
    </w:p>
    <w:p w14:paraId="71924691" w14:textId="77777777" w:rsidR="00B652CB" w:rsidRDefault="00B652CB" w:rsidP="00B2477D">
      <w:pPr>
        <w:tabs>
          <w:tab w:val="left" w:pos="567"/>
        </w:tabs>
        <w:spacing w:after="0" w:line="240" w:lineRule="auto"/>
        <w:ind w:left="-284" w:right="425"/>
        <w:jc w:val="both"/>
        <w:rPr>
          <w:rFonts w:ascii="Arial" w:hAnsi="Arial"/>
          <w:bCs/>
          <w:sz w:val="14"/>
          <w:szCs w:val="14"/>
          <w:lang w:eastAsia="es-ES"/>
        </w:rPr>
      </w:pPr>
    </w:p>
    <w:p w14:paraId="13AA1134" w14:textId="77777777" w:rsidR="00B652CB" w:rsidRDefault="00B652CB" w:rsidP="00B2477D">
      <w:pPr>
        <w:tabs>
          <w:tab w:val="left" w:pos="567"/>
        </w:tabs>
        <w:spacing w:after="0" w:line="240" w:lineRule="auto"/>
        <w:ind w:left="-284" w:right="425"/>
        <w:jc w:val="both"/>
        <w:rPr>
          <w:rFonts w:ascii="Arial" w:hAnsi="Arial"/>
          <w:bCs/>
          <w:sz w:val="14"/>
          <w:szCs w:val="14"/>
          <w:lang w:eastAsia="es-ES"/>
        </w:rPr>
      </w:pPr>
    </w:p>
    <w:p w14:paraId="7E62BA59" w14:textId="77777777" w:rsidR="00B652CB" w:rsidRDefault="00B652CB" w:rsidP="00B652CB">
      <w:pPr>
        <w:tabs>
          <w:tab w:val="left" w:pos="567"/>
        </w:tabs>
        <w:spacing w:after="0" w:line="240" w:lineRule="auto"/>
        <w:jc w:val="both"/>
        <w:rPr>
          <w:rFonts w:ascii="Arial" w:hAnsi="Arial"/>
          <w:bCs/>
          <w:sz w:val="14"/>
          <w:szCs w:val="14"/>
          <w:lang w:eastAsia="es-ES"/>
        </w:rPr>
      </w:pPr>
    </w:p>
    <w:p w14:paraId="2C93ECF5" w14:textId="77777777" w:rsidR="004B5311" w:rsidRDefault="004B5311" w:rsidP="004B5311">
      <w:pPr>
        <w:spacing w:after="0" w:line="240" w:lineRule="auto"/>
        <w:ind w:right="425"/>
        <w:rPr>
          <w:rFonts w:ascii="Arial" w:hAnsi="Arial"/>
          <w:bCs/>
          <w:sz w:val="14"/>
          <w:szCs w:val="14"/>
          <w:lang w:eastAsia="es-ES"/>
        </w:rPr>
      </w:pPr>
    </w:p>
    <w:p w14:paraId="0C0D27D0" w14:textId="77777777" w:rsidR="002D6EA2" w:rsidRDefault="00154986" w:rsidP="00154986">
      <w:pPr>
        <w:spacing w:after="120" w:line="240" w:lineRule="auto"/>
        <w:ind w:left="-284" w:right="425"/>
        <w:jc w:val="center"/>
        <w:rPr>
          <w:rFonts w:ascii="Arial" w:hAnsi="Arial" w:cs="Arial"/>
          <w:bCs/>
          <w:sz w:val="28"/>
          <w:szCs w:val="20"/>
        </w:rPr>
      </w:pPr>
      <w:r>
        <w:rPr>
          <w:rFonts w:ascii="Arial" w:hAnsi="Arial" w:cs="Arial"/>
          <w:bCs/>
          <w:sz w:val="28"/>
          <w:szCs w:val="20"/>
        </w:rPr>
        <w:br w:type="page"/>
      </w:r>
    </w:p>
    <w:p w14:paraId="42313390" w14:textId="77777777" w:rsidR="002D6EA2" w:rsidRDefault="002D6EA2" w:rsidP="00154986">
      <w:pPr>
        <w:spacing w:after="120" w:line="240" w:lineRule="auto"/>
        <w:ind w:left="-284" w:right="425"/>
        <w:jc w:val="center"/>
        <w:rPr>
          <w:rFonts w:ascii="Arial" w:hAnsi="Arial" w:cs="Arial"/>
          <w:sz w:val="20"/>
          <w:szCs w:val="20"/>
          <w:lang w:eastAsia="es-ES"/>
        </w:rPr>
      </w:pPr>
    </w:p>
    <w:p w14:paraId="41F639F6" w14:textId="6FBD09E3" w:rsidR="00154986" w:rsidRDefault="00534CDE" w:rsidP="00154986">
      <w:pPr>
        <w:spacing w:after="120" w:line="240" w:lineRule="auto"/>
        <w:ind w:left="-284" w:right="425"/>
        <w:jc w:val="center"/>
        <w:rPr>
          <w:rFonts w:ascii="Arial" w:hAnsi="Arial"/>
          <w:b/>
          <w:bCs/>
          <w:sz w:val="28"/>
          <w:szCs w:val="28"/>
          <w:lang w:eastAsia="es-ES"/>
        </w:rPr>
      </w:pPr>
      <w:r w:rsidRPr="00C4321E">
        <w:rPr>
          <w:rFonts w:ascii="Arial" w:hAnsi="Arial" w:cs="Arial"/>
          <w:sz w:val="20"/>
          <w:szCs w:val="20"/>
          <w:lang w:eastAsia="es-ES"/>
        </w:rPr>
        <w:t xml:space="preserve">Gráfica </w:t>
      </w:r>
      <w:r>
        <w:rPr>
          <w:rFonts w:ascii="Arial" w:hAnsi="Arial" w:cs="Arial"/>
          <w:sz w:val="20"/>
          <w:szCs w:val="20"/>
          <w:lang w:eastAsia="es-ES"/>
        </w:rPr>
        <w:t>5</w:t>
      </w:r>
    </w:p>
    <w:p w14:paraId="1E1A6CBC" w14:textId="77777777" w:rsidR="00154986" w:rsidRPr="00534CDE" w:rsidRDefault="00154986" w:rsidP="0079436F">
      <w:pPr>
        <w:spacing w:after="0" w:line="240" w:lineRule="auto"/>
        <w:ind w:left="-284" w:right="425"/>
        <w:jc w:val="center"/>
        <w:rPr>
          <w:rFonts w:ascii="Arial" w:hAnsi="Arial"/>
          <w:bCs/>
          <w:smallCaps/>
          <w:lang w:eastAsia="es-ES"/>
        </w:rPr>
      </w:pPr>
      <w:r w:rsidRPr="00534CDE">
        <w:rPr>
          <w:rFonts w:ascii="Arial" w:hAnsi="Arial"/>
          <w:b/>
          <w:bCs/>
          <w:smallCaps/>
          <w:lang w:eastAsia="es-ES"/>
        </w:rPr>
        <w:t>Tasa de homicidios por cada 100</w:t>
      </w:r>
      <w:r w:rsidR="00170D43">
        <w:rPr>
          <w:rFonts w:ascii="Arial" w:hAnsi="Arial"/>
          <w:b/>
          <w:bCs/>
          <w:smallCaps/>
          <w:lang w:eastAsia="es-ES"/>
        </w:rPr>
        <w:t xml:space="preserve"> mil</w:t>
      </w:r>
      <w:r w:rsidRPr="00534CDE">
        <w:rPr>
          <w:rFonts w:ascii="Arial" w:hAnsi="Arial"/>
          <w:b/>
          <w:bCs/>
          <w:smallCaps/>
          <w:lang w:eastAsia="es-ES"/>
        </w:rPr>
        <w:t xml:space="preserve"> habitantes a nivel nacional</w:t>
      </w:r>
      <w:r w:rsidRPr="00534CDE">
        <w:rPr>
          <w:rFonts w:ascii="Arial" w:hAnsi="Arial"/>
          <w:bCs/>
          <w:smallCaps/>
          <w:lang w:eastAsia="es-ES"/>
        </w:rPr>
        <w:t xml:space="preserve"> </w:t>
      </w:r>
    </w:p>
    <w:p w14:paraId="76CA1E04" w14:textId="77777777" w:rsidR="00154986" w:rsidRPr="00534CDE" w:rsidRDefault="00154986" w:rsidP="00154986">
      <w:pPr>
        <w:spacing w:after="0" w:line="240" w:lineRule="auto"/>
        <w:ind w:left="-284" w:right="425"/>
        <w:jc w:val="center"/>
        <w:rPr>
          <w:rFonts w:ascii="Arial" w:hAnsi="Arial"/>
          <w:b/>
          <w:bCs/>
          <w:smallCaps/>
          <w:lang w:eastAsia="es-ES"/>
        </w:rPr>
      </w:pPr>
      <w:r w:rsidRPr="00534CDE">
        <w:rPr>
          <w:rFonts w:ascii="Arial" w:hAnsi="Arial"/>
          <w:b/>
          <w:bCs/>
          <w:smallCaps/>
          <w:lang w:eastAsia="es-ES"/>
        </w:rPr>
        <w:t>Enero a junio de los años señalados</w:t>
      </w:r>
    </w:p>
    <w:p w14:paraId="42EE88B9" w14:textId="77777777" w:rsidR="00154986" w:rsidRPr="007974B5" w:rsidRDefault="00154986" w:rsidP="00154986">
      <w:pPr>
        <w:spacing w:after="120" w:line="240" w:lineRule="auto"/>
        <w:ind w:left="-284" w:right="425"/>
        <w:jc w:val="center"/>
        <w:rPr>
          <w:rFonts w:ascii="Arial" w:hAnsi="Arial"/>
          <w:smallCaps/>
          <w:sz w:val="18"/>
          <w:szCs w:val="18"/>
          <w:lang w:eastAsia="es-ES"/>
        </w:rPr>
      </w:pPr>
      <w:r w:rsidRPr="007974B5">
        <w:rPr>
          <w:rFonts w:ascii="Arial" w:hAnsi="Arial"/>
          <w:smallCaps/>
          <w:sz w:val="18"/>
          <w:szCs w:val="18"/>
          <w:lang w:eastAsia="es-ES"/>
        </w:rPr>
        <w:t>(Mujeres y hombres)</w:t>
      </w:r>
    </w:p>
    <w:p w14:paraId="53FFF20E" w14:textId="693C5842" w:rsidR="001A65DB" w:rsidRPr="00CC4596" w:rsidRDefault="00113249" w:rsidP="00154986">
      <w:pPr>
        <w:spacing w:after="0" w:line="240" w:lineRule="auto"/>
        <w:ind w:left="-284" w:right="-142"/>
        <w:rPr>
          <w:rFonts w:ascii="Arial" w:hAnsi="Arial" w:cs="Arial"/>
          <w:bCs/>
          <w:sz w:val="28"/>
          <w:szCs w:val="20"/>
        </w:rPr>
      </w:pPr>
      <w:r w:rsidRPr="00964793">
        <w:rPr>
          <w:noProof/>
        </w:rPr>
        <w:drawing>
          <wp:inline distT="0" distB="0" distL="0" distR="0" wp14:anchorId="73046264" wp14:editId="28DAB41C">
            <wp:extent cx="5848350" cy="3182620"/>
            <wp:effectExtent l="0" t="0" r="0" b="0"/>
            <wp:docPr id="1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CF5DC8E" w14:textId="15314560" w:rsidR="00534CDE" w:rsidRPr="008B52BD" w:rsidRDefault="00534CDE" w:rsidP="008B52BD">
      <w:pPr>
        <w:tabs>
          <w:tab w:val="left" w:pos="8789"/>
        </w:tabs>
        <w:spacing w:after="0" w:line="240" w:lineRule="auto"/>
        <w:ind w:left="567" w:right="850" w:hanging="851"/>
        <w:jc w:val="both"/>
        <w:rPr>
          <w:rFonts w:ascii="Arial" w:eastAsia="Calibri" w:hAnsi="Arial" w:cs="Arial"/>
          <w:sz w:val="16"/>
          <w:szCs w:val="16"/>
        </w:rPr>
      </w:pPr>
      <w:r w:rsidRPr="008B52BD">
        <w:rPr>
          <w:rFonts w:ascii="Arial" w:hAnsi="Arial" w:cs="Arial"/>
          <w:color w:val="000000"/>
          <w:sz w:val="16"/>
          <w:szCs w:val="16"/>
        </w:rPr>
        <w:t>Nota:</w:t>
      </w:r>
      <w:r w:rsidRPr="008B52BD">
        <w:rPr>
          <w:rFonts w:ascii="Arial" w:hAnsi="Arial" w:cs="Arial"/>
          <w:color w:val="000000"/>
          <w:sz w:val="16"/>
          <w:szCs w:val="16"/>
        </w:rPr>
        <w:tab/>
      </w:r>
      <w:r w:rsidRPr="008B52BD">
        <w:rPr>
          <w:rFonts w:ascii="Arial" w:eastAsia="Calibri" w:hAnsi="Arial" w:cs="Arial"/>
          <w:sz w:val="16"/>
          <w:szCs w:val="16"/>
        </w:rPr>
        <w:t>El denominador para el cálculo de la tasa para el periodo 1990-2019 corresponde a las proyecciones de población 2016-2050 de</w:t>
      </w:r>
      <w:r w:rsidR="00675FB9">
        <w:rPr>
          <w:rFonts w:ascii="Arial" w:eastAsia="Calibri" w:hAnsi="Arial" w:cs="Arial"/>
          <w:sz w:val="16"/>
          <w:szCs w:val="16"/>
        </w:rPr>
        <w:t>l</w:t>
      </w:r>
      <w:r w:rsidRPr="008B52BD">
        <w:rPr>
          <w:rFonts w:ascii="Arial" w:eastAsia="Calibri" w:hAnsi="Arial" w:cs="Arial"/>
          <w:sz w:val="16"/>
          <w:szCs w:val="16"/>
        </w:rPr>
        <w:t xml:space="preserve"> CONAPO y a la Conciliación Demográfica de México, 1950-2015. El denominador de los años 2020-2022 corresponde a la estimación de población que elabora el INEGI con base en el Marco de Muestreo de </w:t>
      </w:r>
      <w:r w:rsidR="00F2349C" w:rsidRPr="008B52BD">
        <w:rPr>
          <w:rFonts w:ascii="Arial" w:eastAsia="Calibri" w:hAnsi="Arial" w:cs="Arial"/>
          <w:sz w:val="16"/>
          <w:szCs w:val="16"/>
        </w:rPr>
        <w:t>Viviendas con referencia al 31 de marzo</w:t>
      </w:r>
      <w:r w:rsidRPr="008B52BD">
        <w:rPr>
          <w:rFonts w:ascii="Arial" w:eastAsia="Calibri" w:hAnsi="Arial" w:cs="Arial"/>
          <w:sz w:val="16"/>
          <w:szCs w:val="16"/>
        </w:rPr>
        <w:t>.</w:t>
      </w:r>
    </w:p>
    <w:p w14:paraId="1F1AE26B" w14:textId="03F17C68" w:rsidR="00534CDE" w:rsidRPr="008B52BD" w:rsidRDefault="00534CDE" w:rsidP="008B52BD">
      <w:pPr>
        <w:tabs>
          <w:tab w:val="left" w:pos="8789"/>
        </w:tabs>
        <w:spacing w:after="0" w:line="240" w:lineRule="auto"/>
        <w:ind w:left="567" w:right="850" w:hanging="851"/>
        <w:jc w:val="both"/>
        <w:rPr>
          <w:rFonts w:ascii="Arial" w:hAnsi="Arial" w:cs="Arial"/>
          <w:bCs/>
          <w:sz w:val="16"/>
          <w:szCs w:val="16"/>
        </w:rPr>
      </w:pPr>
      <w:r w:rsidRPr="008B52BD">
        <w:rPr>
          <w:rFonts w:ascii="Arial" w:hAnsi="Arial" w:cs="Arial"/>
          <w:bCs/>
          <w:sz w:val="16"/>
          <w:szCs w:val="16"/>
          <w:vertAlign w:val="superscript"/>
        </w:rPr>
        <w:t>p</w:t>
      </w:r>
      <w:r w:rsidR="00EE6F34">
        <w:rPr>
          <w:rFonts w:ascii="Arial" w:hAnsi="Arial" w:cs="Arial"/>
          <w:bCs/>
          <w:sz w:val="16"/>
          <w:szCs w:val="16"/>
          <w:vertAlign w:val="superscript"/>
        </w:rPr>
        <w:t>/</w:t>
      </w:r>
      <w:r w:rsidRPr="008B52BD">
        <w:rPr>
          <w:rFonts w:ascii="Arial" w:hAnsi="Arial" w:cs="Arial"/>
          <w:bCs/>
          <w:sz w:val="16"/>
          <w:szCs w:val="16"/>
        </w:rPr>
        <w:tab/>
        <w:t>Cifras preliminares (enero a junio 2022) con corte al 16 de enero de 2023, debido a que aún no concluyen los procesos de generación de la estadística de defunciones registradas.</w:t>
      </w:r>
    </w:p>
    <w:p w14:paraId="656CEA80" w14:textId="5C34433A" w:rsidR="00534CDE" w:rsidRPr="008B52BD" w:rsidRDefault="00534CDE" w:rsidP="00534CDE">
      <w:pPr>
        <w:tabs>
          <w:tab w:val="left" w:pos="567"/>
        </w:tabs>
        <w:spacing w:after="0" w:line="240" w:lineRule="auto"/>
        <w:ind w:left="-284" w:right="425"/>
        <w:jc w:val="both"/>
        <w:rPr>
          <w:rFonts w:ascii="Arial" w:hAnsi="Arial" w:cs="Arial"/>
          <w:color w:val="000000"/>
          <w:sz w:val="16"/>
          <w:szCs w:val="16"/>
        </w:rPr>
      </w:pPr>
      <w:r w:rsidRPr="008B52BD">
        <w:rPr>
          <w:rFonts w:ascii="Arial" w:hAnsi="Arial" w:cs="Arial"/>
          <w:color w:val="000000"/>
          <w:sz w:val="16"/>
          <w:szCs w:val="16"/>
        </w:rPr>
        <w:t>Fuente:</w:t>
      </w:r>
      <w:r w:rsidRPr="008B52BD">
        <w:rPr>
          <w:rFonts w:ascii="Arial" w:hAnsi="Arial" w:cs="Arial"/>
          <w:color w:val="000000"/>
          <w:sz w:val="16"/>
          <w:szCs w:val="16"/>
        </w:rPr>
        <w:tab/>
        <w:t>INEGI. Estadísticas Vitales. Estadísticas de Defunciones Registradas</w:t>
      </w:r>
    </w:p>
    <w:p w14:paraId="1E6D2338" w14:textId="77777777" w:rsidR="00154986" w:rsidRPr="00154986" w:rsidRDefault="00154986" w:rsidP="00B903D5">
      <w:pPr>
        <w:tabs>
          <w:tab w:val="left" w:pos="567"/>
        </w:tabs>
        <w:spacing w:after="0" w:line="240" w:lineRule="auto"/>
        <w:ind w:left="-284" w:right="283"/>
        <w:rPr>
          <w:rFonts w:ascii="Arial" w:hAnsi="Arial"/>
          <w:bCs/>
          <w:sz w:val="14"/>
          <w:szCs w:val="14"/>
          <w:lang w:eastAsia="es-ES"/>
        </w:rPr>
      </w:pPr>
    </w:p>
    <w:p w14:paraId="5BECD257" w14:textId="77777777" w:rsidR="00154986" w:rsidRPr="00154986" w:rsidRDefault="00154986" w:rsidP="00B903D5">
      <w:pPr>
        <w:tabs>
          <w:tab w:val="left" w:pos="567"/>
        </w:tabs>
        <w:spacing w:after="0" w:line="240" w:lineRule="auto"/>
        <w:ind w:left="-284" w:right="283"/>
        <w:rPr>
          <w:rFonts w:ascii="Arial" w:hAnsi="Arial"/>
          <w:bCs/>
          <w:sz w:val="14"/>
          <w:szCs w:val="14"/>
          <w:lang w:eastAsia="es-ES"/>
        </w:rPr>
      </w:pPr>
    </w:p>
    <w:p w14:paraId="274E39E2" w14:textId="77777777" w:rsidR="00EC1AE2" w:rsidRDefault="00377B9D" w:rsidP="00B903D5">
      <w:pPr>
        <w:tabs>
          <w:tab w:val="left" w:pos="567"/>
        </w:tabs>
        <w:spacing w:after="0" w:line="240" w:lineRule="auto"/>
        <w:ind w:left="-284" w:right="283"/>
        <w:rPr>
          <w:rFonts w:ascii="Arial" w:hAnsi="Arial"/>
          <w:bCs/>
          <w:color w:val="FF0000"/>
          <w:sz w:val="14"/>
          <w:szCs w:val="14"/>
          <w:lang w:eastAsia="es-ES"/>
        </w:rPr>
      </w:pPr>
      <w:r w:rsidRPr="009426A3">
        <w:rPr>
          <w:rFonts w:ascii="Arial" w:hAnsi="Arial"/>
          <w:bCs/>
          <w:color w:val="FF0000"/>
          <w:sz w:val="14"/>
          <w:szCs w:val="14"/>
          <w:lang w:eastAsia="es-ES"/>
        </w:rPr>
        <w:br w:type="page"/>
      </w:r>
    </w:p>
    <w:p w14:paraId="6C5B9D63" w14:textId="77777777" w:rsidR="002D6EA2" w:rsidRDefault="002D6EA2" w:rsidP="00534CDE">
      <w:pPr>
        <w:tabs>
          <w:tab w:val="left" w:pos="567"/>
        </w:tabs>
        <w:spacing w:after="0" w:line="240" w:lineRule="auto"/>
        <w:ind w:right="283"/>
        <w:jc w:val="center"/>
        <w:rPr>
          <w:rFonts w:ascii="Arial" w:hAnsi="Arial" w:cs="Arial"/>
          <w:sz w:val="20"/>
          <w:szCs w:val="20"/>
        </w:rPr>
      </w:pPr>
    </w:p>
    <w:p w14:paraId="7F0F6A9D" w14:textId="7493FCF1" w:rsidR="00534CDE" w:rsidRPr="00534CDE" w:rsidRDefault="00534CDE" w:rsidP="00534CDE">
      <w:pPr>
        <w:tabs>
          <w:tab w:val="left" w:pos="567"/>
        </w:tabs>
        <w:spacing w:after="0" w:line="240" w:lineRule="auto"/>
        <w:ind w:right="283"/>
        <w:jc w:val="center"/>
        <w:rPr>
          <w:rFonts w:ascii="Arial" w:hAnsi="Arial" w:cs="Arial"/>
          <w:sz w:val="20"/>
          <w:szCs w:val="20"/>
        </w:rPr>
      </w:pPr>
      <w:r w:rsidRPr="00534CDE">
        <w:rPr>
          <w:rFonts w:ascii="Arial" w:hAnsi="Arial" w:cs="Arial"/>
          <w:sz w:val="20"/>
          <w:szCs w:val="20"/>
        </w:rPr>
        <w:t>Tabla 1</w:t>
      </w:r>
    </w:p>
    <w:p w14:paraId="0D7A0F3C" w14:textId="77777777" w:rsidR="0027628F" w:rsidRPr="00534CDE" w:rsidRDefault="00B903D5" w:rsidP="00534CDE">
      <w:pPr>
        <w:tabs>
          <w:tab w:val="left" w:pos="567"/>
        </w:tabs>
        <w:spacing w:after="0" w:line="240" w:lineRule="auto"/>
        <w:ind w:right="283"/>
        <w:jc w:val="center"/>
        <w:rPr>
          <w:rFonts w:ascii="Arial Negrita" w:hAnsi="Arial Negrita" w:cs="Arial"/>
          <w:b/>
          <w:bCs/>
          <w:smallCaps/>
        </w:rPr>
      </w:pPr>
      <w:r w:rsidRPr="00534CDE">
        <w:rPr>
          <w:rFonts w:ascii="Arial Negrita" w:hAnsi="Arial Negrita" w:cs="Arial"/>
          <w:b/>
          <w:bCs/>
          <w:smallCaps/>
        </w:rPr>
        <w:t>Ho</w:t>
      </w:r>
      <w:r w:rsidR="0027628F" w:rsidRPr="00534CDE">
        <w:rPr>
          <w:rFonts w:ascii="Arial Negrita" w:hAnsi="Arial Negrita" w:cs="Arial"/>
          <w:b/>
          <w:bCs/>
          <w:smallCaps/>
        </w:rPr>
        <w:t>micidios según año de registro</w:t>
      </w:r>
      <w:r w:rsidR="004423D0" w:rsidRPr="00534CDE">
        <w:rPr>
          <w:rFonts w:ascii="Arial Negrita" w:hAnsi="Arial Negrita" w:cs="Arial"/>
          <w:b/>
          <w:bCs/>
          <w:smallCaps/>
        </w:rPr>
        <w:t xml:space="preserve"> y sexo</w:t>
      </w:r>
    </w:p>
    <w:p w14:paraId="1EA73090" w14:textId="167056F1" w:rsidR="0027628F" w:rsidRDefault="00675FB9" w:rsidP="00534CDE">
      <w:pPr>
        <w:pStyle w:val="p0"/>
        <w:spacing w:before="0" w:line="276" w:lineRule="auto"/>
        <w:ind w:right="567"/>
        <w:jc w:val="center"/>
        <w:rPr>
          <w:rFonts w:ascii="Arial Negrita" w:hAnsi="Arial Negrita" w:cs="Arial"/>
          <w:b/>
          <w:bCs/>
          <w:smallCaps/>
          <w:color w:val="auto"/>
          <w:sz w:val="22"/>
          <w:szCs w:val="22"/>
          <w:vertAlign w:val="superscript"/>
        </w:rPr>
      </w:pPr>
      <w:r>
        <w:rPr>
          <w:rFonts w:ascii="Arial Negrita" w:hAnsi="Arial Negrita" w:cs="Arial"/>
          <w:b/>
          <w:bCs/>
          <w:smallCaps/>
          <w:color w:val="auto"/>
          <w:sz w:val="22"/>
          <w:szCs w:val="22"/>
        </w:rPr>
        <w:t xml:space="preserve">      </w:t>
      </w:r>
      <w:r w:rsidR="00E15D36" w:rsidRPr="00534CDE">
        <w:rPr>
          <w:rFonts w:ascii="Arial Negrita" w:hAnsi="Arial Negrita" w:cs="Arial"/>
          <w:b/>
          <w:bCs/>
          <w:smallCaps/>
          <w:color w:val="auto"/>
          <w:sz w:val="22"/>
          <w:szCs w:val="22"/>
        </w:rPr>
        <w:t>Enero a junio</w:t>
      </w:r>
      <w:r w:rsidR="002D6EA2">
        <w:rPr>
          <w:rFonts w:ascii="Arial Negrita" w:hAnsi="Arial Negrita" w:cs="Arial"/>
          <w:b/>
          <w:bCs/>
          <w:smallCaps/>
          <w:color w:val="auto"/>
          <w:sz w:val="22"/>
          <w:szCs w:val="22"/>
          <w:vertAlign w:val="superscript"/>
        </w:rPr>
        <w:t xml:space="preserve"> </w:t>
      </w:r>
      <w:r w:rsidR="002D6EA2">
        <w:rPr>
          <w:rFonts w:ascii="Arial Negrita" w:hAnsi="Arial Negrita" w:cs="Arial"/>
          <w:b/>
          <w:bCs/>
          <w:smallCaps/>
          <w:color w:val="auto"/>
          <w:sz w:val="22"/>
          <w:szCs w:val="22"/>
        </w:rPr>
        <w:t>de los años señalados</w:t>
      </w:r>
    </w:p>
    <w:tbl>
      <w:tblPr>
        <w:tblW w:w="819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1442"/>
        <w:gridCol w:w="1442"/>
        <w:gridCol w:w="1105"/>
        <w:gridCol w:w="1995"/>
      </w:tblGrid>
      <w:tr w:rsidR="00597DEB" w:rsidRPr="00597DEB" w14:paraId="60E28889" w14:textId="77777777" w:rsidTr="00597DEB">
        <w:trPr>
          <w:trHeight w:val="490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noWrap/>
            <w:vAlign w:val="center"/>
            <w:hideMark/>
          </w:tcPr>
          <w:p w14:paraId="602D8BE7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97DE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Año de registro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noWrap/>
            <w:vAlign w:val="center"/>
            <w:hideMark/>
          </w:tcPr>
          <w:p w14:paraId="4E5D0238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97DE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noWrap/>
            <w:vAlign w:val="center"/>
            <w:hideMark/>
          </w:tcPr>
          <w:p w14:paraId="612B0E5C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97DE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Hombre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noWrap/>
            <w:vAlign w:val="center"/>
            <w:hideMark/>
          </w:tcPr>
          <w:p w14:paraId="4BD2CE77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97DE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Mujer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noWrap/>
            <w:vAlign w:val="center"/>
            <w:hideMark/>
          </w:tcPr>
          <w:p w14:paraId="71478C69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597DEB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No especificado</w:t>
            </w:r>
          </w:p>
        </w:tc>
      </w:tr>
      <w:tr w:rsidR="00597DEB" w:rsidRPr="00597DEB" w14:paraId="647778D3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6D9CDB4A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598D3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7 187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A2B4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6 460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2BB3D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704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09EC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23</w:t>
            </w:r>
          </w:p>
        </w:tc>
      </w:tr>
      <w:tr w:rsidR="00597DEB" w:rsidRPr="00597DEB" w14:paraId="63071AE0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56632B8A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34C2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7 575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D856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6 814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1743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738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2BC5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23</w:t>
            </w:r>
          </w:p>
        </w:tc>
      </w:tr>
      <w:tr w:rsidR="00597DEB" w:rsidRPr="00597DEB" w14:paraId="0D71DE01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229EFC63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22DA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8 222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EA93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7 420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DA06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787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0319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15</w:t>
            </w:r>
          </w:p>
        </w:tc>
      </w:tr>
      <w:tr w:rsidR="00597DEB" w:rsidRPr="00597DEB" w14:paraId="101F1B1A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645E9305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0BAC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8 183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8BB1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7 365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E6B5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809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8CB0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9</w:t>
            </w:r>
          </w:p>
        </w:tc>
      </w:tr>
      <w:tr w:rsidR="00597DEB" w:rsidRPr="00597DEB" w14:paraId="07B223A6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145F5BC9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EF5C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7 988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5EE3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7 243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E25C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740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D099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</w:tr>
      <w:tr w:rsidR="00597DEB" w:rsidRPr="00597DEB" w14:paraId="155EA711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580E5545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1A39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7 725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D49A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6 954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CDE6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764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9BA3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</w:tr>
      <w:tr w:rsidR="00597DEB" w:rsidRPr="00597DEB" w14:paraId="4AEDDC91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6B3BEB66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990B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7 459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637E6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6 722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6AF8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731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5B99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6</w:t>
            </w:r>
          </w:p>
        </w:tc>
      </w:tr>
      <w:tr w:rsidR="00597DEB" w:rsidRPr="00597DEB" w14:paraId="1E092555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2233744E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8EB5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6 765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7C55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6 058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CD21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699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3564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8</w:t>
            </w:r>
          </w:p>
        </w:tc>
      </w:tr>
      <w:tr w:rsidR="00597DEB" w:rsidRPr="00597DEB" w14:paraId="293218A4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5FE9E5D9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A9F9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6 867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7DC4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6 068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868B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797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6121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2</w:t>
            </w:r>
          </w:p>
        </w:tc>
      </w:tr>
      <w:tr w:rsidR="00597DEB" w:rsidRPr="00597DEB" w14:paraId="205E07CA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01E8038E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0600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6 179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F650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5 506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0A0B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666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1D90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</w:tr>
      <w:tr w:rsidR="00597DEB" w:rsidRPr="00597DEB" w14:paraId="65117D57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525D8821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3938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5 456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1460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4 784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8A75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665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6D58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</w:tr>
      <w:tr w:rsidR="00597DEB" w:rsidRPr="00597DEB" w14:paraId="76BA1783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6B027189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7A12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5 143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F48F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4 487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DAA1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645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33AC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11</w:t>
            </w:r>
          </w:p>
        </w:tc>
      </w:tr>
      <w:tr w:rsidR="00597DEB" w:rsidRPr="00597DEB" w14:paraId="2A99C622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5C24E81C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6D31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5 119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9D4F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4 477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B57E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636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7BCA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6</w:t>
            </w:r>
          </w:p>
        </w:tc>
      </w:tr>
      <w:tr w:rsidR="00597DEB" w:rsidRPr="00597DEB" w14:paraId="6F426B21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6852C058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E070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5 045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F4D1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4 362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BE62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670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81E1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13</w:t>
            </w:r>
          </w:p>
        </w:tc>
      </w:tr>
      <w:tr w:rsidR="00597DEB" w:rsidRPr="00597DEB" w14:paraId="48518D98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6214BB62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9C1B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4 698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9B29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4 077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6E8C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617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FE53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4</w:t>
            </w:r>
          </w:p>
        </w:tc>
      </w:tr>
      <w:tr w:rsidR="00597DEB" w:rsidRPr="00597DEB" w14:paraId="46B92D33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7BB1D915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E4CD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4 962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7526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4 308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0333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646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B7E8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8</w:t>
            </w:r>
          </w:p>
        </w:tc>
      </w:tr>
      <w:tr w:rsidR="00597DEB" w:rsidRPr="00597DEB" w14:paraId="5B8A1893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4907E959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E3C8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5 169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5170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4 517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1119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648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DD01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4</w:t>
            </w:r>
          </w:p>
        </w:tc>
      </w:tr>
      <w:tr w:rsidR="00597DEB" w:rsidRPr="00597DEB" w14:paraId="68374A14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5BDD957E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F7A9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4 428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F606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3 917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FFAC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507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4BDE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4</w:t>
            </w:r>
          </w:p>
        </w:tc>
      </w:tr>
      <w:tr w:rsidR="00597DEB" w:rsidRPr="00597DEB" w14:paraId="7D235185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2C21D794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1B57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5 978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9287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5 328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082D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647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9CF6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3</w:t>
            </w:r>
          </w:p>
        </w:tc>
      </w:tr>
      <w:tr w:rsidR="00597DEB" w:rsidRPr="00597DEB" w14:paraId="018C52B6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4EFB5872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F471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8 821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6387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7 917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E8AA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882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AB8E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22</w:t>
            </w:r>
          </w:p>
        </w:tc>
      </w:tr>
      <w:tr w:rsidR="00597DEB" w:rsidRPr="00597DEB" w14:paraId="6A7A9801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7F4DC7B6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88C7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12 086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22D1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10 979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94AE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1 084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8825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23</w:t>
            </w:r>
          </w:p>
        </w:tc>
      </w:tr>
      <w:tr w:rsidR="00597DEB" w:rsidRPr="00597DEB" w14:paraId="0EFA86DE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7C2650C7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CA24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13 788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BDFD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12 339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76DE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1 285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E1F7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164</w:t>
            </w:r>
          </w:p>
        </w:tc>
      </w:tr>
      <w:tr w:rsidR="00597DEB" w:rsidRPr="00597DEB" w14:paraId="61B1C1C5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3C14A6B9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EA42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13 181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EB20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11 694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FBEC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1 355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69A6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132</w:t>
            </w:r>
          </w:p>
        </w:tc>
      </w:tr>
      <w:tr w:rsidR="00597DEB" w:rsidRPr="00597DEB" w14:paraId="313EF684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7B6392CE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ECC9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11 774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FAFEA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10 356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7621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1 361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ACD4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57</w:t>
            </w:r>
          </w:p>
        </w:tc>
      </w:tr>
      <w:tr w:rsidR="00597DEB" w:rsidRPr="00597DEB" w14:paraId="788BF6C2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5783F3F4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B4D9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10 054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E789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8 829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5299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1 171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C3FF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54</w:t>
            </w:r>
          </w:p>
        </w:tc>
      </w:tr>
      <w:tr w:rsidR="00597DEB" w:rsidRPr="00597DEB" w14:paraId="7B81FCF1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2C866AB0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9F4E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9 941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441D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8 771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B8AB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1 122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5170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48</w:t>
            </w:r>
          </w:p>
        </w:tc>
      </w:tr>
      <w:tr w:rsidR="00597DEB" w:rsidRPr="00597DEB" w14:paraId="5E6EC4DC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44D19FCA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D423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10 963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0EB1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9 619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7D30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1 312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4897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32</w:t>
            </w:r>
          </w:p>
        </w:tc>
      </w:tr>
      <w:tr w:rsidR="00597DEB" w:rsidRPr="00597DEB" w14:paraId="1AEE7EDC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5A831D70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32A4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15 042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BF6D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13 368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B08E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1 618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305F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56</w:t>
            </w:r>
          </w:p>
        </w:tc>
      </w:tr>
      <w:tr w:rsidR="00597DEB" w:rsidRPr="00597DEB" w14:paraId="0AEE3798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4A85894D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1E78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17 772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D714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15 871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1346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1 817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4BAE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84</w:t>
            </w:r>
          </w:p>
        </w:tc>
      </w:tr>
      <w:tr w:rsidR="00597DEB" w:rsidRPr="00597DEB" w14:paraId="0D68CD82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6FD76C7A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6F3E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17 776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7F29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15 898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EF02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1 834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F286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44</w:t>
            </w:r>
          </w:p>
        </w:tc>
      </w:tr>
      <w:tr w:rsidR="00597DEB" w:rsidRPr="00597DEB" w14:paraId="772AE687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08A0AB01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F060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18 057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5064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15 982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EB0A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1 929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A8E4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146</w:t>
            </w:r>
          </w:p>
        </w:tc>
      </w:tr>
      <w:tr w:rsidR="00597DEB" w:rsidRPr="00597DEB" w14:paraId="7087FDD8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43DAAF9F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33DD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17 462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7B9B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15 273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A65F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1 951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8C23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238</w:t>
            </w:r>
          </w:p>
        </w:tc>
      </w:tr>
      <w:tr w:rsidR="00597DEB" w:rsidRPr="00597DEB" w14:paraId="00E20C02" w14:textId="77777777" w:rsidTr="00597DEB">
        <w:trPr>
          <w:trHeight w:val="302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2C222D39" w14:textId="77777777" w:rsidR="00597DEB" w:rsidRPr="00597DEB" w:rsidRDefault="00597DEB" w:rsidP="00597D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  <w:r w:rsidRPr="00597DEB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B0F6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15 561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8B43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13 495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3E29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>1 875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AD45" w14:textId="77777777" w:rsidR="00597DEB" w:rsidRPr="00597DEB" w:rsidRDefault="00597DEB" w:rsidP="00597D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DEB">
              <w:rPr>
                <w:rFonts w:ascii="Arial" w:hAnsi="Arial" w:cs="Arial"/>
                <w:color w:val="000000"/>
                <w:sz w:val="16"/>
                <w:szCs w:val="16"/>
              </w:rPr>
              <w:t xml:space="preserve"> 191</w:t>
            </w:r>
          </w:p>
        </w:tc>
      </w:tr>
    </w:tbl>
    <w:p w14:paraId="7AF35754" w14:textId="52939F56" w:rsidR="004423D0" w:rsidRPr="008B52BD" w:rsidRDefault="004423D0" w:rsidP="008B52BD">
      <w:pPr>
        <w:spacing w:after="0" w:line="240" w:lineRule="auto"/>
        <w:ind w:left="709" w:right="1276" w:hanging="567"/>
        <w:jc w:val="both"/>
        <w:rPr>
          <w:rFonts w:ascii="Arial" w:hAnsi="Arial" w:cs="Arial"/>
          <w:sz w:val="16"/>
          <w:szCs w:val="16"/>
        </w:rPr>
      </w:pPr>
      <w:r w:rsidRPr="008B52BD">
        <w:rPr>
          <w:rFonts w:ascii="Arial" w:hAnsi="Arial" w:cs="Arial"/>
          <w:color w:val="000000"/>
          <w:sz w:val="16"/>
          <w:szCs w:val="16"/>
        </w:rPr>
        <w:t>Nota:</w:t>
      </w:r>
      <w:r w:rsidRPr="008B52BD">
        <w:rPr>
          <w:rFonts w:ascii="Arial" w:hAnsi="Arial" w:cs="Arial"/>
          <w:color w:val="000000"/>
          <w:sz w:val="16"/>
          <w:szCs w:val="16"/>
        </w:rPr>
        <w:tab/>
        <w:t xml:space="preserve">Comprende el total de registros con códigos de causa </w:t>
      </w:r>
      <w:r w:rsidRPr="008B52BD">
        <w:rPr>
          <w:rFonts w:ascii="Arial" w:hAnsi="Arial" w:cs="Arial"/>
          <w:sz w:val="16"/>
          <w:szCs w:val="16"/>
        </w:rPr>
        <w:t>básica para homicidios (X85-Y09) según la Clasificación Estadística Internacional de Enfermedades y Problemas Relacionados con la Salud, Décima Revisión</w:t>
      </w:r>
      <w:r w:rsidR="00675FB9">
        <w:rPr>
          <w:rFonts w:ascii="Arial" w:hAnsi="Arial" w:cs="Arial"/>
          <w:sz w:val="16"/>
          <w:szCs w:val="16"/>
        </w:rPr>
        <w:t xml:space="preserve">         </w:t>
      </w:r>
      <w:r w:rsidRPr="008B52BD">
        <w:rPr>
          <w:rFonts w:ascii="Arial" w:hAnsi="Arial" w:cs="Arial"/>
          <w:sz w:val="16"/>
          <w:szCs w:val="16"/>
        </w:rPr>
        <w:t xml:space="preserve"> (CIE-10)</w:t>
      </w:r>
      <w:r w:rsidR="002D6EA2" w:rsidRPr="008B52BD">
        <w:rPr>
          <w:rFonts w:ascii="Arial" w:hAnsi="Arial" w:cs="Arial"/>
          <w:sz w:val="16"/>
          <w:szCs w:val="16"/>
        </w:rPr>
        <w:t>.</w:t>
      </w:r>
    </w:p>
    <w:p w14:paraId="646A30F8" w14:textId="623E588D" w:rsidR="004423D0" w:rsidRPr="008B52BD" w:rsidRDefault="004423D0" w:rsidP="008B52BD">
      <w:pPr>
        <w:tabs>
          <w:tab w:val="left" w:pos="567"/>
        </w:tabs>
        <w:spacing w:after="0" w:line="240" w:lineRule="auto"/>
        <w:ind w:left="709" w:right="1276" w:hanging="567"/>
        <w:jc w:val="both"/>
        <w:rPr>
          <w:rFonts w:ascii="Arial" w:hAnsi="Arial" w:cs="Arial"/>
          <w:color w:val="000000"/>
          <w:sz w:val="16"/>
          <w:szCs w:val="16"/>
        </w:rPr>
      </w:pPr>
      <w:r w:rsidRPr="008B52BD">
        <w:rPr>
          <w:rFonts w:ascii="Arial" w:hAnsi="Arial" w:cs="Arial"/>
          <w:color w:val="000000"/>
          <w:sz w:val="16"/>
          <w:szCs w:val="16"/>
          <w:vertAlign w:val="superscript"/>
        </w:rPr>
        <w:t>p</w:t>
      </w:r>
      <w:r w:rsidR="00EE6F34">
        <w:rPr>
          <w:rFonts w:ascii="Arial" w:hAnsi="Arial" w:cs="Arial"/>
          <w:color w:val="000000"/>
          <w:sz w:val="16"/>
          <w:szCs w:val="16"/>
          <w:vertAlign w:val="superscript"/>
        </w:rPr>
        <w:t>/</w:t>
      </w:r>
      <w:r w:rsidRPr="008B52BD">
        <w:rPr>
          <w:rFonts w:ascii="Arial" w:hAnsi="Arial" w:cs="Arial"/>
          <w:color w:val="000000"/>
          <w:sz w:val="16"/>
          <w:szCs w:val="16"/>
          <w:vertAlign w:val="superscript"/>
        </w:rPr>
        <w:tab/>
      </w:r>
      <w:r w:rsidR="002D6EA2" w:rsidRPr="008B52BD">
        <w:rPr>
          <w:rFonts w:ascii="Arial" w:hAnsi="Arial" w:cs="Arial"/>
          <w:color w:val="000000"/>
          <w:sz w:val="16"/>
          <w:szCs w:val="16"/>
          <w:vertAlign w:val="superscript"/>
        </w:rPr>
        <w:t xml:space="preserve">      </w:t>
      </w:r>
      <w:r w:rsidR="007B27C2" w:rsidRPr="008B52BD">
        <w:rPr>
          <w:rFonts w:ascii="Arial" w:hAnsi="Arial" w:cs="Arial"/>
          <w:bCs/>
          <w:sz w:val="16"/>
          <w:szCs w:val="16"/>
        </w:rPr>
        <w:t>Cifras preliminares (enero a junio 2022) con corte al 16 de enero de 2023,</w:t>
      </w:r>
      <w:r w:rsidRPr="008B52BD">
        <w:rPr>
          <w:rFonts w:ascii="Arial" w:hAnsi="Arial" w:cs="Arial"/>
          <w:color w:val="000000"/>
          <w:sz w:val="16"/>
          <w:szCs w:val="16"/>
        </w:rPr>
        <w:t xml:space="preserve"> debido a que aún no concluyen los procesos de generación de la estadística de defunciones registradas.</w:t>
      </w:r>
    </w:p>
    <w:p w14:paraId="58E57E6C" w14:textId="0550B3C8" w:rsidR="00CF26D3" w:rsidRPr="00910506" w:rsidRDefault="00CF26D3" w:rsidP="008B52BD">
      <w:pPr>
        <w:tabs>
          <w:tab w:val="left" w:pos="567"/>
        </w:tabs>
        <w:spacing w:after="0" w:line="240" w:lineRule="auto"/>
        <w:ind w:left="709" w:right="1276" w:hanging="567"/>
        <w:jc w:val="both"/>
        <w:rPr>
          <w:rFonts w:ascii="Arial" w:hAnsi="Arial" w:cs="Arial"/>
          <w:color w:val="000000"/>
          <w:sz w:val="14"/>
          <w:szCs w:val="14"/>
        </w:rPr>
      </w:pPr>
      <w:r w:rsidRPr="008B52BD">
        <w:rPr>
          <w:rFonts w:ascii="Arial" w:hAnsi="Arial" w:cs="Arial"/>
          <w:color w:val="000000"/>
          <w:sz w:val="16"/>
          <w:szCs w:val="16"/>
        </w:rPr>
        <w:t>Fuente:</w:t>
      </w:r>
      <w:r w:rsidRPr="008B52BD">
        <w:rPr>
          <w:rFonts w:ascii="Arial" w:hAnsi="Arial" w:cs="Arial"/>
          <w:color w:val="000000"/>
          <w:sz w:val="16"/>
          <w:szCs w:val="16"/>
        </w:rPr>
        <w:tab/>
        <w:t>INEGI. Estadísticas Vitales. Estadísticas de Defunciones Registradas</w:t>
      </w:r>
    </w:p>
    <w:p w14:paraId="5D461BF5" w14:textId="77777777" w:rsidR="002D6EA2" w:rsidRDefault="00C334C6" w:rsidP="008D469F">
      <w:pPr>
        <w:spacing w:after="0"/>
        <w:ind w:right="-142"/>
        <w:jc w:val="center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br w:type="page"/>
      </w:r>
    </w:p>
    <w:p w14:paraId="7D5D128C" w14:textId="63749F4E" w:rsidR="002D6EA2" w:rsidRDefault="002D6EA2" w:rsidP="008D469F">
      <w:pPr>
        <w:spacing w:after="0"/>
        <w:ind w:right="-142"/>
        <w:jc w:val="center"/>
        <w:rPr>
          <w:rFonts w:ascii="Arial" w:hAnsi="Arial" w:cs="Arial"/>
          <w:sz w:val="20"/>
          <w:szCs w:val="20"/>
        </w:rPr>
      </w:pPr>
    </w:p>
    <w:p w14:paraId="0C106B00" w14:textId="565A0531" w:rsidR="006B0436" w:rsidRDefault="00B10804" w:rsidP="008B52BD">
      <w:pPr>
        <w:spacing w:after="0" w:line="240" w:lineRule="auto"/>
        <w:ind w:left="-567" w:righ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continuación, </w:t>
      </w:r>
      <w:r w:rsidR="006B0436" w:rsidRPr="00B903D5">
        <w:rPr>
          <w:rFonts w:ascii="Arial" w:hAnsi="Arial" w:cs="Arial"/>
          <w:sz w:val="24"/>
          <w:szCs w:val="24"/>
        </w:rPr>
        <w:t>para el año de referencia,</w:t>
      </w:r>
      <w:r w:rsidR="006B0436">
        <w:rPr>
          <w:rFonts w:ascii="Arial" w:hAnsi="Arial" w:cs="Arial"/>
          <w:sz w:val="24"/>
          <w:szCs w:val="24"/>
        </w:rPr>
        <w:t xml:space="preserve"> se presenta el desglose </w:t>
      </w:r>
      <w:r>
        <w:rPr>
          <w:rFonts w:ascii="Arial" w:hAnsi="Arial" w:cs="Arial"/>
          <w:sz w:val="24"/>
          <w:szCs w:val="24"/>
        </w:rPr>
        <w:t xml:space="preserve">de homicidios </w:t>
      </w:r>
      <w:r w:rsidR="006B0436">
        <w:rPr>
          <w:rFonts w:ascii="Arial" w:hAnsi="Arial" w:cs="Arial"/>
          <w:sz w:val="24"/>
          <w:szCs w:val="24"/>
        </w:rPr>
        <w:t>por causa</w:t>
      </w:r>
      <w:r w:rsidR="00473FE8">
        <w:rPr>
          <w:rFonts w:ascii="Arial" w:hAnsi="Arial" w:cs="Arial"/>
          <w:sz w:val="24"/>
          <w:szCs w:val="24"/>
        </w:rPr>
        <w:t>, la cual</w:t>
      </w:r>
      <w:r>
        <w:rPr>
          <w:rFonts w:ascii="Arial" w:hAnsi="Arial" w:cs="Arial"/>
          <w:sz w:val="24"/>
          <w:szCs w:val="24"/>
        </w:rPr>
        <w:t xml:space="preserve"> se relaciona </w:t>
      </w:r>
      <w:r w:rsidR="006B0436" w:rsidRPr="00B903D5">
        <w:rPr>
          <w:rFonts w:ascii="Arial" w:hAnsi="Arial" w:cs="Arial"/>
          <w:sz w:val="24"/>
          <w:szCs w:val="24"/>
        </w:rPr>
        <w:t xml:space="preserve">con el medio o mecanismo </w:t>
      </w:r>
      <w:r>
        <w:rPr>
          <w:rFonts w:ascii="Arial" w:hAnsi="Arial" w:cs="Arial"/>
          <w:sz w:val="24"/>
          <w:szCs w:val="24"/>
        </w:rPr>
        <w:t xml:space="preserve">que se usó y que provocó la muerte de la persona. </w:t>
      </w:r>
    </w:p>
    <w:p w14:paraId="59F759EF" w14:textId="77777777" w:rsidR="006B0436" w:rsidRDefault="006B0436" w:rsidP="008B52BD">
      <w:pPr>
        <w:spacing w:after="0" w:line="240" w:lineRule="auto"/>
        <w:ind w:left="-567" w:right="425"/>
        <w:jc w:val="both"/>
        <w:rPr>
          <w:rFonts w:ascii="Arial" w:hAnsi="Arial" w:cs="Arial"/>
          <w:sz w:val="20"/>
          <w:szCs w:val="20"/>
        </w:rPr>
      </w:pPr>
    </w:p>
    <w:p w14:paraId="772FD763" w14:textId="65AB72B9" w:rsidR="008D469F" w:rsidRPr="008D469F" w:rsidRDefault="008D469F" w:rsidP="008B52BD">
      <w:pPr>
        <w:spacing w:after="0" w:line="240" w:lineRule="auto"/>
        <w:ind w:right="-142"/>
        <w:jc w:val="center"/>
        <w:rPr>
          <w:rFonts w:ascii="Arial" w:hAnsi="Arial" w:cs="Arial"/>
          <w:sz w:val="20"/>
          <w:szCs w:val="20"/>
        </w:rPr>
      </w:pPr>
      <w:r w:rsidRPr="008D469F">
        <w:rPr>
          <w:rFonts w:ascii="Arial" w:hAnsi="Arial" w:cs="Arial"/>
          <w:sz w:val="20"/>
          <w:szCs w:val="20"/>
        </w:rPr>
        <w:t>Tabla 2</w:t>
      </w:r>
    </w:p>
    <w:p w14:paraId="138DCDFE" w14:textId="3312DAD5" w:rsidR="002D6EA2" w:rsidRDefault="00B903D5" w:rsidP="008B52BD">
      <w:pPr>
        <w:spacing w:after="0" w:line="240" w:lineRule="auto"/>
        <w:ind w:right="-142"/>
        <w:jc w:val="center"/>
        <w:rPr>
          <w:rFonts w:ascii="Arial Negrita" w:hAnsi="Arial Negrita" w:cs="Arial"/>
          <w:b/>
          <w:bCs/>
          <w:smallCaps/>
        </w:rPr>
      </w:pPr>
      <w:r w:rsidRPr="008D469F">
        <w:rPr>
          <w:rFonts w:ascii="Arial Negrita" w:hAnsi="Arial Negrita" w:cs="Arial"/>
          <w:b/>
          <w:bCs/>
          <w:smallCaps/>
        </w:rPr>
        <w:t>H</w:t>
      </w:r>
      <w:r w:rsidR="00607432" w:rsidRPr="008D469F">
        <w:rPr>
          <w:rFonts w:ascii="Arial Negrita" w:hAnsi="Arial Negrita" w:cs="Arial"/>
          <w:b/>
          <w:bCs/>
          <w:smallCaps/>
        </w:rPr>
        <w:t xml:space="preserve">omicidios </w:t>
      </w:r>
      <w:r w:rsidR="00B832CB" w:rsidRPr="008D469F">
        <w:rPr>
          <w:rFonts w:ascii="Arial Negrita" w:hAnsi="Arial Negrita" w:cs="Arial"/>
          <w:b/>
          <w:bCs/>
          <w:smallCaps/>
        </w:rPr>
        <w:t xml:space="preserve">registrados </w:t>
      </w:r>
      <w:r w:rsidR="00367D94" w:rsidRPr="008D469F">
        <w:rPr>
          <w:rFonts w:ascii="Arial Negrita" w:hAnsi="Arial Negrita" w:cs="Arial"/>
          <w:b/>
          <w:bCs/>
          <w:smallCaps/>
        </w:rPr>
        <w:t>d</w:t>
      </w:r>
      <w:r w:rsidR="009E0885">
        <w:rPr>
          <w:rFonts w:ascii="Arial Negrita" w:hAnsi="Arial Negrita" w:cs="Arial"/>
          <w:b/>
          <w:bCs/>
          <w:smallCaps/>
        </w:rPr>
        <w:t>e</w:t>
      </w:r>
      <w:r w:rsidR="00367D94" w:rsidRPr="008D469F">
        <w:rPr>
          <w:rFonts w:ascii="Arial Negrita" w:hAnsi="Arial Negrita" w:cs="Arial"/>
          <w:b/>
          <w:bCs/>
          <w:smallCaps/>
        </w:rPr>
        <w:t xml:space="preserve"> </w:t>
      </w:r>
      <w:r w:rsidR="00E15D36" w:rsidRPr="008D469F">
        <w:rPr>
          <w:rFonts w:ascii="Arial Negrita" w:hAnsi="Arial Negrita" w:cs="Arial"/>
          <w:b/>
          <w:bCs/>
          <w:smallCaps/>
        </w:rPr>
        <w:t>enero a junio</w:t>
      </w:r>
      <w:r w:rsidR="00367D94" w:rsidRPr="008D469F">
        <w:rPr>
          <w:rFonts w:ascii="Arial Negrita" w:hAnsi="Arial Negrita" w:cs="Arial"/>
          <w:b/>
          <w:bCs/>
          <w:smallCaps/>
        </w:rPr>
        <w:t xml:space="preserve"> </w:t>
      </w:r>
      <w:r w:rsidR="00B832CB" w:rsidRPr="008D469F">
        <w:rPr>
          <w:rFonts w:ascii="Arial Negrita" w:hAnsi="Arial Negrita" w:cs="Arial"/>
          <w:b/>
          <w:bCs/>
          <w:smallCaps/>
        </w:rPr>
        <w:t xml:space="preserve">por causa </w:t>
      </w:r>
      <w:r w:rsidR="00607432" w:rsidRPr="008D469F">
        <w:rPr>
          <w:rFonts w:ascii="Arial Negrita" w:hAnsi="Arial Negrita" w:cs="Arial"/>
          <w:b/>
          <w:bCs/>
          <w:smallCaps/>
        </w:rPr>
        <w:t xml:space="preserve">desglosada </w:t>
      </w:r>
      <w:r w:rsidR="00B832CB" w:rsidRPr="008D469F">
        <w:rPr>
          <w:rFonts w:ascii="Arial Negrita" w:hAnsi="Arial Negrita" w:cs="Arial"/>
          <w:b/>
          <w:bCs/>
          <w:smallCaps/>
        </w:rPr>
        <w:t xml:space="preserve">de defunción </w:t>
      </w:r>
    </w:p>
    <w:p w14:paraId="0166EF39" w14:textId="0CD810F6" w:rsidR="00B832CB" w:rsidRDefault="00B832CB" w:rsidP="008D469F">
      <w:pPr>
        <w:spacing w:after="0"/>
        <w:ind w:right="-142"/>
        <w:jc w:val="center"/>
        <w:rPr>
          <w:rFonts w:ascii="Arial Negrita" w:hAnsi="Arial Negrita" w:cs="Arial"/>
          <w:b/>
          <w:bCs/>
          <w:smallCaps/>
          <w:color w:val="000000"/>
          <w:vertAlign w:val="superscript"/>
        </w:rPr>
      </w:pPr>
      <w:r w:rsidRPr="008D469F">
        <w:rPr>
          <w:rFonts w:ascii="Arial Negrita" w:hAnsi="Arial Negrita" w:cs="Arial"/>
          <w:b/>
          <w:bCs/>
          <w:smallCaps/>
        </w:rPr>
        <w:t>según sexo</w:t>
      </w:r>
      <w:r w:rsidRPr="008D469F">
        <w:rPr>
          <w:rFonts w:ascii="Arial Negrita" w:hAnsi="Arial Negrita" w:cs="Arial"/>
          <w:b/>
          <w:bCs/>
          <w:smallCaps/>
          <w:lang w:eastAsia="es-ES"/>
        </w:rPr>
        <w:t xml:space="preserve">, </w:t>
      </w:r>
      <w:r w:rsidRPr="008D469F">
        <w:rPr>
          <w:rFonts w:ascii="Arial Negrita" w:hAnsi="Arial Negrita" w:cs="Arial"/>
          <w:b/>
          <w:bCs/>
          <w:smallCaps/>
          <w:color w:val="000000"/>
        </w:rPr>
        <w:t>20</w:t>
      </w:r>
      <w:r w:rsidR="0009342E" w:rsidRPr="008D469F">
        <w:rPr>
          <w:rFonts w:ascii="Arial Negrita" w:hAnsi="Arial Negrita" w:cs="Arial"/>
          <w:b/>
          <w:bCs/>
          <w:smallCaps/>
          <w:color w:val="000000"/>
        </w:rPr>
        <w:t>2</w:t>
      </w:r>
      <w:r w:rsidR="006A2E48" w:rsidRPr="008D469F">
        <w:rPr>
          <w:rFonts w:ascii="Arial Negrita" w:hAnsi="Arial Negrita" w:cs="Arial"/>
          <w:b/>
          <w:bCs/>
          <w:smallCaps/>
          <w:color w:val="000000"/>
        </w:rPr>
        <w:t>2</w:t>
      </w:r>
      <w:r w:rsidRPr="008D469F">
        <w:rPr>
          <w:rFonts w:ascii="Arial Negrita" w:hAnsi="Arial Negrita" w:cs="Arial"/>
          <w:b/>
          <w:bCs/>
          <w:smallCaps/>
          <w:color w:val="000000"/>
          <w:vertAlign w:val="superscript"/>
        </w:rPr>
        <w:t>p</w:t>
      </w:r>
      <w:r w:rsidR="00EE6F34">
        <w:rPr>
          <w:rFonts w:ascii="Arial Negrita" w:hAnsi="Arial Negrita" w:cs="Arial"/>
          <w:b/>
          <w:bCs/>
          <w:smallCaps/>
          <w:color w:val="000000"/>
          <w:vertAlign w:val="superscript"/>
        </w:rPr>
        <w:t>/</w:t>
      </w:r>
    </w:p>
    <w:tbl>
      <w:tblPr>
        <w:tblW w:w="928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4033"/>
        <w:gridCol w:w="1158"/>
        <w:gridCol w:w="1134"/>
        <w:gridCol w:w="851"/>
        <w:gridCol w:w="1629"/>
      </w:tblGrid>
      <w:tr w:rsidR="00C22992" w:rsidRPr="00C22992" w14:paraId="445D1EFA" w14:textId="77777777" w:rsidTr="00C22992">
        <w:trPr>
          <w:trHeight w:val="499"/>
        </w:trPr>
        <w:tc>
          <w:tcPr>
            <w:tcW w:w="4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noWrap/>
            <w:vAlign w:val="center"/>
            <w:hideMark/>
          </w:tcPr>
          <w:p w14:paraId="02A5C55B" w14:textId="77777777" w:rsidR="00C22992" w:rsidRPr="00C22992" w:rsidRDefault="00C22992" w:rsidP="00C22992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2299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Causa de la defunción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noWrap/>
            <w:vAlign w:val="center"/>
            <w:hideMark/>
          </w:tcPr>
          <w:p w14:paraId="2C90D986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2299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noWrap/>
            <w:vAlign w:val="center"/>
            <w:hideMark/>
          </w:tcPr>
          <w:p w14:paraId="4BF5BCA1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2299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Hombres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noWrap/>
            <w:vAlign w:val="center"/>
            <w:hideMark/>
          </w:tcPr>
          <w:p w14:paraId="2D5239E4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2299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Mujeres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noWrap/>
            <w:vAlign w:val="center"/>
            <w:hideMark/>
          </w:tcPr>
          <w:p w14:paraId="4683ABA8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2299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No especificado</w:t>
            </w:r>
          </w:p>
        </w:tc>
      </w:tr>
      <w:tr w:rsidR="00C22992" w:rsidRPr="00C22992" w14:paraId="4F685EAA" w14:textId="77777777" w:rsidTr="00C22992">
        <w:trPr>
          <w:trHeight w:val="45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hideMark/>
          </w:tcPr>
          <w:p w14:paraId="437A3995" w14:textId="77777777" w:rsidR="00C22992" w:rsidRPr="00C22992" w:rsidRDefault="00C22992" w:rsidP="00C229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X85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hideMark/>
          </w:tcPr>
          <w:p w14:paraId="42FFDE06" w14:textId="77777777" w:rsidR="00C22992" w:rsidRPr="00C22992" w:rsidRDefault="00C22992" w:rsidP="00C2299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Agresión con drogas, medicamentos y sustancias biológicas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55E4C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F8CD0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9BD22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9BCAF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2992" w:rsidRPr="00C22992" w14:paraId="59F5CD3D" w14:textId="77777777" w:rsidTr="00C22992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hideMark/>
          </w:tcPr>
          <w:p w14:paraId="72047878" w14:textId="77777777" w:rsidR="00C22992" w:rsidRPr="00C22992" w:rsidRDefault="00C22992" w:rsidP="00C229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X87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hideMark/>
          </w:tcPr>
          <w:p w14:paraId="308E9632" w14:textId="77777777" w:rsidR="00C22992" w:rsidRPr="00C22992" w:rsidRDefault="00C22992" w:rsidP="00C2299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Agresión con plaguicidas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4C6B7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8506B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1EEF6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94841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2992" w:rsidRPr="00C22992" w14:paraId="4D86B7ED" w14:textId="77777777" w:rsidTr="00C22992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hideMark/>
          </w:tcPr>
          <w:p w14:paraId="45CF7F17" w14:textId="77777777" w:rsidR="00C22992" w:rsidRPr="00C22992" w:rsidRDefault="00C22992" w:rsidP="00C229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X88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hideMark/>
          </w:tcPr>
          <w:p w14:paraId="444B7EB4" w14:textId="77777777" w:rsidR="00C22992" w:rsidRPr="00C22992" w:rsidRDefault="00C22992" w:rsidP="00C2299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Agresión con gases y vapores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8A811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46480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0518D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559E6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2992" w:rsidRPr="00C22992" w14:paraId="2D6F7897" w14:textId="77777777" w:rsidTr="00C22992">
        <w:trPr>
          <w:trHeight w:val="45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hideMark/>
          </w:tcPr>
          <w:p w14:paraId="444AE41A" w14:textId="77777777" w:rsidR="00C22992" w:rsidRPr="00C22992" w:rsidRDefault="00C22992" w:rsidP="00C229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X89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hideMark/>
          </w:tcPr>
          <w:p w14:paraId="081D8D98" w14:textId="77777777" w:rsidR="00C22992" w:rsidRPr="00C22992" w:rsidRDefault="00C22992" w:rsidP="00C2299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Agresión con otros productos químicos y</w:t>
            </w: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br/>
              <w:t>sustancias nocivas especificadas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DB304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9A681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554B0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EDC20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2992" w:rsidRPr="00C22992" w14:paraId="742692B2" w14:textId="77777777" w:rsidTr="00C22992">
        <w:trPr>
          <w:trHeight w:val="45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hideMark/>
          </w:tcPr>
          <w:p w14:paraId="2871FED7" w14:textId="77777777" w:rsidR="00C22992" w:rsidRPr="00C22992" w:rsidRDefault="00C22992" w:rsidP="00C229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X90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hideMark/>
          </w:tcPr>
          <w:p w14:paraId="384A4A9C" w14:textId="77777777" w:rsidR="00C22992" w:rsidRPr="00C22992" w:rsidRDefault="00C22992" w:rsidP="00C2299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Agresión con productos químicos y sustancias nocivas no especificadas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D079C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9A359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C3F3D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2B997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2992" w:rsidRPr="00C22992" w14:paraId="70EA48E9" w14:textId="77777777" w:rsidTr="00C22992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hideMark/>
          </w:tcPr>
          <w:p w14:paraId="06D6A364" w14:textId="77777777" w:rsidR="00C22992" w:rsidRPr="00C22992" w:rsidRDefault="00C22992" w:rsidP="00C229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X91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hideMark/>
          </w:tcPr>
          <w:p w14:paraId="7346D604" w14:textId="77777777" w:rsidR="00C22992" w:rsidRPr="00C22992" w:rsidRDefault="00C22992" w:rsidP="00C2299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Agresión por ahorcamiento, estrangulamiento y sofocación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D5B79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465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B3341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845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A4004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6DFF3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C22992" w:rsidRPr="00C22992" w14:paraId="66F7A13D" w14:textId="77777777" w:rsidTr="00C22992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hideMark/>
          </w:tcPr>
          <w:p w14:paraId="66FC1877" w14:textId="77777777" w:rsidR="00C22992" w:rsidRPr="00C22992" w:rsidRDefault="00C22992" w:rsidP="00C229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X92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hideMark/>
          </w:tcPr>
          <w:p w14:paraId="704376F4" w14:textId="77777777" w:rsidR="00C22992" w:rsidRPr="00C22992" w:rsidRDefault="00C22992" w:rsidP="00C2299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Agresión por ahogamiento y sumersión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753CB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674FA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279AE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2E066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2992" w:rsidRPr="00C22992" w14:paraId="2C27A544" w14:textId="77777777" w:rsidTr="00C22992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hideMark/>
          </w:tcPr>
          <w:p w14:paraId="44F1887C" w14:textId="77777777" w:rsidR="00C22992" w:rsidRPr="00C22992" w:rsidRDefault="00C22992" w:rsidP="00C229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X93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hideMark/>
          </w:tcPr>
          <w:p w14:paraId="010DE966" w14:textId="77777777" w:rsidR="00C22992" w:rsidRPr="00C22992" w:rsidRDefault="00C22992" w:rsidP="00C2299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Agresión con disparo de arma corta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F9432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5071A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E339F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F1B51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2992" w:rsidRPr="00C22992" w14:paraId="2837AC69" w14:textId="77777777" w:rsidTr="00C22992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hideMark/>
          </w:tcPr>
          <w:p w14:paraId="07FBF1B1" w14:textId="77777777" w:rsidR="00C22992" w:rsidRPr="00C22992" w:rsidRDefault="00C22992" w:rsidP="00C229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X94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hideMark/>
          </w:tcPr>
          <w:p w14:paraId="6773D62C" w14:textId="77777777" w:rsidR="00C22992" w:rsidRPr="00C22992" w:rsidRDefault="00C22992" w:rsidP="00C2299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Agresión con disparo de rifle, escopeta y arma larga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C4763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B8A9D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18738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D558C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C22992" w:rsidRPr="00C22992" w14:paraId="071D7E00" w14:textId="77777777" w:rsidTr="00C22992">
        <w:trPr>
          <w:trHeight w:val="45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hideMark/>
          </w:tcPr>
          <w:p w14:paraId="7ADDF5BB" w14:textId="77777777" w:rsidR="00C22992" w:rsidRPr="00C22992" w:rsidRDefault="00C22992" w:rsidP="00C229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X95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hideMark/>
          </w:tcPr>
          <w:p w14:paraId="302912FA" w14:textId="77777777" w:rsidR="00C22992" w:rsidRPr="00C22992" w:rsidRDefault="00C22992" w:rsidP="00C2299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Agresión con disparo de otras armas de fuego, y las no especificadas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9C707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A465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538F4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A465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6A136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465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075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373C7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</w:tr>
      <w:tr w:rsidR="00C22992" w:rsidRPr="00C22992" w14:paraId="0CC30F33" w14:textId="77777777" w:rsidTr="00C22992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hideMark/>
          </w:tcPr>
          <w:p w14:paraId="11777E46" w14:textId="77777777" w:rsidR="00C22992" w:rsidRPr="00C22992" w:rsidRDefault="00C22992" w:rsidP="00C229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X96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hideMark/>
          </w:tcPr>
          <w:p w14:paraId="303406B7" w14:textId="77777777" w:rsidR="00C22992" w:rsidRPr="00C22992" w:rsidRDefault="00C22992" w:rsidP="00C2299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Agresión con material explosivo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278AA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BF7F6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468E9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9BCF6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2992" w:rsidRPr="00C22992" w14:paraId="1538DF74" w14:textId="77777777" w:rsidTr="00C22992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hideMark/>
          </w:tcPr>
          <w:p w14:paraId="322AC53C" w14:textId="77777777" w:rsidR="00C22992" w:rsidRPr="00C22992" w:rsidRDefault="00C22992" w:rsidP="00C229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X97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hideMark/>
          </w:tcPr>
          <w:p w14:paraId="2DDD60FF" w14:textId="77777777" w:rsidR="00C22992" w:rsidRPr="00C22992" w:rsidRDefault="00C22992" w:rsidP="00C2299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Agresión con humo, fuego y llamas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ED415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ADB02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0AA1A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A8123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C22992" w:rsidRPr="00C22992" w14:paraId="22E599D6" w14:textId="77777777" w:rsidTr="00C22992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hideMark/>
          </w:tcPr>
          <w:p w14:paraId="41E12069" w14:textId="77777777" w:rsidR="00C22992" w:rsidRPr="00C22992" w:rsidRDefault="00C22992" w:rsidP="00C229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X99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hideMark/>
          </w:tcPr>
          <w:p w14:paraId="74A5299E" w14:textId="77777777" w:rsidR="00C22992" w:rsidRPr="00C22992" w:rsidRDefault="00C22992" w:rsidP="00C2299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Agresión con objeto cortante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A8B8E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465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8BBDA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465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B5802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C3F4F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C22992" w:rsidRPr="00C22992" w14:paraId="0F719B45" w14:textId="77777777" w:rsidTr="00C22992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hideMark/>
          </w:tcPr>
          <w:p w14:paraId="5D4B5BF1" w14:textId="77777777" w:rsidR="00C22992" w:rsidRPr="00C22992" w:rsidRDefault="00C22992" w:rsidP="00C229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Y00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hideMark/>
          </w:tcPr>
          <w:p w14:paraId="2F13050B" w14:textId="77777777" w:rsidR="00C22992" w:rsidRPr="00C22992" w:rsidRDefault="00C22992" w:rsidP="00C2299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Agresión con objeto romo o sin filo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53E55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4F35B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8D7E7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F9DB3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22992" w:rsidRPr="00C22992" w14:paraId="1BA6CEEB" w14:textId="77777777" w:rsidTr="00C22992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hideMark/>
          </w:tcPr>
          <w:p w14:paraId="145E653C" w14:textId="77777777" w:rsidR="00C22992" w:rsidRPr="00C22992" w:rsidRDefault="00C22992" w:rsidP="00C229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Y01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hideMark/>
          </w:tcPr>
          <w:p w14:paraId="045E66FF" w14:textId="77777777" w:rsidR="00C22992" w:rsidRPr="00C22992" w:rsidRDefault="00C22992" w:rsidP="00C2299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Agresión por empujón desde un lugar elevado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200F4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B72F2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593BE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1B418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2992" w:rsidRPr="00C22992" w14:paraId="4F5D6BDF" w14:textId="77777777" w:rsidTr="00C22992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hideMark/>
          </w:tcPr>
          <w:p w14:paraId="695CCACF" w14:textId="77777777" w:rsidR="00C22992" w:rsidRPr="00C22992" w:rsidRDefault="00C22992" w:rsidP="00C229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Y04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hideMark/>
          </w:tcPr>
          <w:p w14:paraId="27DD654E" w14:textId="77777777" w:rsidR="00C22992" w:rsidRPr="00C22992" w:rsidRDefault="00C22992" w:rsidP="00C2299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Agresión con fuerza corporal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42FB5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732CF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4F302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B7C53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2992" w:rsidRPr="00C22992" w14:paraId="7502DAC9" w14:textId="77777777" w:rsidTr="00C22992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hideMark/>
          </w:tcPr>
          <w:p w14:paraId="4E001D2E" w14:textId="77777777" w:rsidR="00C22992" w:rsidRPr="00C22992" w:rsidRDefault="00C22992" w:rsidP="00C229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Y05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hideMark/>
          </w:tcPr>
          <w:p w14:paraId="756C5F60" w14:textId="77777777" w:rsidR="00C22992" w:rsidRPr="00C22992" w:rsidRDefault="00C22992" w:rsidP="00C2299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Agresión sexual con fuerza corporal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3D4C5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65CD1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369D5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FFB27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2992" w:rsidRPr="00C22992" w14:paraId="22861344" w14:textId="77777777" w:rsidTr="00C22992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hideMark/>
          </w:tcPr>
          <w:p w14:paraId="09904623" w14:textId="77777777" w:rsidR="00C22992" w:rsidRPr="00C22992" w:rsidRDefault="00C22992" w:rsidP="00C229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Y06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hideMark/>
          </w:tcPr>
          <w:p w14:paraId="7EDF5C97" w14:textId="77777777" w:rsidR="00C22992" w:rsidRPr="00C22992" w:rsidRDefault="00C22992" w:rsidP="00C2299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Negligencia y abandono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00FAE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665BE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A1A91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9FFC5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2992" w:rsidRPr="00C22992" w14:paraId="5E7373A2" w14:textId="77777777" w:rsidTr="00C22992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hideMark/>
          </w:tcPr>
          <w:p w14:paraId="0C9DE45C" w14:textId="77777777" w:rsidR="00C22992" w:rsidRPr="00C22992" w:rsidRDefault="00C22992" w:rsidP="00C229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Y07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hideMark/>
          </w:tcPr>
          <w:p w14:paraId="204E49EE" w14:textId="77777777" w:rsidR="00C22992" w:rsidRPr="00C22992" w:rsidRDefault="00C22992" w:rsidP="00C2299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Otros maltrato</w:t>
            </w:r>
            <w:r w:rsidR="005049C3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70540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167A1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15D3C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2A728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2992" w:rsidRPr="00C22992" w14:paraId="00DED53E" w14:textId="77777777" w:rsidTr="00C22992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hideMark/>
          </w:tcPr>
          <w:p w14:paraId="0E280058" w14:textId="77777777" w:rsidR="00C22992" w:rsidRPr="00C22992" w:rsidRDefault="00C22992" w:rsidP="00C229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Y08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hideMark/>
          </w:tcPr>
          <w:p w14:paraId="2FA1F86D" w14:textId="77777777" w:rsidR="00C22992" w:rsidRPr="00C22992" w:rsidRDefault="00C22992" w:rsidP="00C2299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Agresión por otros medios especificados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439DF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D1CC4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575AE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04BF5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2992" w:rsidRPr="00C22992" w14:paraId="522601C6" w14:textId="77777777" w:rsidTr="00C22992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hideMark/>
          </w:tcPr>
          <w:p w14:paraId="7FA759D3" w14:textId="77777777" w:rsidR="00C22992" w:rsidRPr="00C22992" w:rsidRDefault="00C22992" w:rsidP="00C229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Y09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hideMark/>
          </w:tcPr>
          <w:p w14:paraId="522DFD99" w14:textId="77777777" w:rsidR="00C22992" w:rsidRPr="00C22992" w:rsidRDefault="00C22992" w:rsidP="00C2299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Agresión por medios no especificados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6A508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2,008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60491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465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9EE4B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76EE5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992"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</w:tr>
      <w:tr w:rsidR="00C22992" w:rsidRPr="00C22992" w14:paraId="3D118ACD" w14:textId="77777777" w:rsidTr="00C22992">
        <w:trPr>
          <w:trHeight w:val="499"/>
        </w:trPr>
        <w:tc>
          <w:tcPr>
            <w:tcW w:w="4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noWrap/>
            <w:vAlign w:val="center"/>
            <w:hideMark/>
          </w:tcPr>
          <w:p w14:paraId="171EFB87" w14:textId="77777777" w:rsidR="00C22992" w:rsidRPr="00C22992" w:rsidRDefault="00C22992" w:rsidP="00C22992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2299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Estados Unidos Mexicanos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noWrap/>
            <w:vAlign w:val="center"/>
            <w:hideMark/>
          </w:tcPr>
          <w:p w14:paraId="1AA43187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2299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15</w:t>
            </w:r>
            <w:r w:rsidR="00A465F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</w:t>
            </w:r>
            <w:r w:rsidRPr="00C2299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noWrap/>
            <w:vAlign w:val="center"/>
            <w:hideMark/>
          </w:tcPr>
          <w:p w14:paraId="280CC676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2299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13</w:t>
            </w:r>
            <w:r w:rsidR="00A465F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</w:t>
            </w:r>
            <w:r w:rsidRPr="00C2299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noWrap/>
            <w:vAlign w:val="center"/>
            <w:hideMark/>
          </w:tcPr>
          <w:p w14:paraId="0D265C1C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2299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</w:t>
            </w:r>
            <w:r w:rsidR="00A465F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</w:t>
            </w:r>
            <w:r w:rsidRPr="00C2299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875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noWrap/>
            <w:vAlign w:val="center"/>
            <w:hideMark/>
          </w:tcPr>
          <w:p w14:paraId="13A85D57" w14:textId="77777777" w:rsidR="00C22992" w:rsidRPr="00C22992" w:rsidRDefault="00C22992" w:rsidP="00C2299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2299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191</w:t>
            </w:r>
          </w:p>
        </w:tc>
      </w:tr>
    </w:tbl>
    <w:p w14:paraId="6506BD27" w14:textId="42D900AD" w:rsidR="006F4B1E" w:rsidRPr="008B52BD" w:rsidRDefault="006F4B1E" w:rsidP="008B52BD">
      <w:pPr>
        <w:spacing w:after="0" w:line="240" w:lineRule="auto"/>
        <w:ind w:left="567" w:right="425" w:hanging="567"/>
        <w:jc w:val="both"/>
        <w:rPr>
          <w:rFonts w:ascii="Arial" w:hAnsi="Arial" w:cs="Arial"/>
          <w:sz w:val="16"/>
          <w:szCs w:val="16"/>
        </w:rPr>
      </w:pPr>
      <w:r w:rsidRPr="008B52BD">
        <w:rPr>
          <w:rFonts w:ascii="Arial" w:hAnsi="Arial" w:cs="Arial"/>
          <w:color w:val="000000"/>
          <w:sz w:val="16"/>
          <w:szCs w:val="16"/>
        </w:rPr>
        <w:t>Nota:</w:t>
      </w:r>
      <w:r w:rsidRPr="008B52BD">
        <w:rPr>
          <w:rFonts w:ascii="Arial" w:hAnsi="Arial" w:cs="Arial"/>
          <w:color w:val="000000"/>
          <w:sz w:val="16"/>
          <w:szCs w:val="16"/>
        </w:rPr>
        <w:tab/>
        <w:t xml:space="preserve">Comprende el total de registros con códigos de causa </w:t>
      </w:r>
      <w:r w:rsidRPr="008B52BD">
        <w:rPr>
          <w:rFonts w:ascii="Arial" w:hAnsi="Arial" w:cs="Arial"/>
          <w:sz w:val="16"/>
          <w:szCs w:val="16"/>
        </w:rPr>
        <w:t>básica para homicidios (X85-Y09)</w:t>
      </w:r>
      <w:r w:rsidR="00A2220C">
        <w:rPr>
          <w:rFonts w:ascii="Arial" w:hAnsi="Arial" w:cs="Arial"/>
          <w:sz w:val="16"/>
          <w:szCs w:val="16"/>
        </w:rPr>
        <w:t>,</w:t>
      </w:r>
      <w:r w:rsidRPr="008B52BD">
        <w:rPr>
          <w:rFonts w:ascii="Arial" w:hAnsi="Arial" w:cs="Arial"/>
          <w:sz w:val="16"/>
          <w:szCs w:val="16"/>
        </w:rPr>
        <w:t xml:space="preserve"> según la Clasificación Estadística Internacional de Enfermedades y Problemas Relacionados con la Salud, Décima Revisión</w:t>
      </w:r>
      <w:r w:rsidR="002D6EA2" w:rsidRPr="008B52BD">
        <w:rPr>
          <w:rFonts w:ascii="Arial" w:hAnsi="Arial" w:cs="Arial"/>
          <w:sz w:val="16"/>
          <w:szCs w:val="16"/>
        </w:rPr>
        <w:t xml:space="preserve"> </w:t>
      </w:r>
      <w:r w:rsidRPr="008B52BD">
        <w:rPr>
          <w:rFonts w:ascii="Arial" w:hAnsi="Arial" w:cs="Arial"/>
          <w:sz w:val="16"/>
          <w:szCs w:val="16"/>
        </w:rPr>
        <w:t>(CIE-10)</w:t>
      </w:r>
      <w:r w:rsidR="002D6EA2" w:rsidRPr="008B52BD">
        <w:rPr>
          <w:rFonts w:ascii="Arial" w:hAnsi="Arial" w:cs="Arial"/>
          <w:sz w:val="16"/>
          <w:szCs w:val="16"/>
        </w:rPr>
        <w:t>.</w:t>
      </w:r>
    </w:p>
    <w:p w14:paraId="4E936379" w14:textId="7561EE39" w:rsidR="00154986" w:rsidRPr="008B52BD" w:rsidRDefault="00266F5E" w:rsidP="008B52BD">
      <w:pPr>
        <w:tabs>
          <w:tab w:val="left" w:pos="567"/>
        </w:tabs>
        <w:spacing w:after="0" w:line="240" w:lineRule="auto"/>
        <w:ind w:left="567" w:right="425" w:hanging="567"/>
        <w:jc w:val="both"/>
        <w:rPr>
          <w:rFonts w:ascii="Arial" w:hAnsi="Arial" w:cs="Arial"/>
          <w:color w:val="000000"/>
          <w:sz w:val="16"/>
          <w:szCs w:val="16"/>
        </w:rPr>
      </w:pPr>
      <w:r w:rsidRPr="008B52BD">
        <w:rPr>
          <w:rFonts w:ascii="Arial" w:hAnsi="Arial" w:cs="Arial"/>
          <w:bCs/>
          <w:sz w:val="16"/>
          <w:szCs w:val="16"/>
          <w:vertAlign w:val="superscript"/>
        </w:rPr>
        <w:t>p</w:t>
      </w:r>
      <w:r w:rsidRPr="008B52BD">
        <w:rPr>
          <w:rFonts w:ascii="Arial" w:hAnsi="Arial" w:cs="Arial"/>
          <w:bCs/>
          <w:sz w:val="16"/>
          <w:szCs w:val="16"/>
        </w:rPr>
        <w:tab/>
      </w:r>
      <w:r w:rsidR="00154986" w:rsidRPr="008B52BD">
        <w:rPr>
          <w:rFonts w:ascii="Arial" w:hAnsi="Arial" w:cs="Arial"/>
          <w:bCs/>
          <w:sz w:val="16"/>
          <w:szCs w:val="16"/>
        </w:rPr>
        <w:t>Cifras preliminares (enero a junio 2022) con corte al 16 de enero de 2023,</w:t>
      </w:r>
      <w:r w:rsidR="00154986" w:rsidRPr="008B52BD">
        <w:rPr>
          <w:rFonts w:ascii="Arial" w:hAnsi="Arial" w:cs="Arial"/>
          <w:color w:val="000000"/>
          <w:sz w:val="16"/>
          <w:szCs w:val="16"/>
        </w:rPr>
        <w:t xml:space="preserve"> debido a que aún no concluyen los procesos de generación de la estadística de defunciones registradas</w:t>
      </w:r>
      <w:r w:rsidR="009E0885">
        <w:rPr>
          <w:rFonts w:ascii="Arial" w:hAnsi="Arial" w:cs="Arial"/>
          <w:color w:val="000000"/>
          <w:sz w:val="16"/>
          <w:szCs w:val="16"/>
        </w:rPr>
        <w:t>.</w:t>
      </w:r>
      <w:r w:rsidR="00154986" w:rsidRPr="008B52BD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075BFECA" w14:textId="48FD0089" w:rsidR="008D469F" w:rsidRPr="008B52BD" w:rsidRDefault="008D469F">
      <w:pPr>
        <w:tabs>
          <w:tab w:val="left" w:pos="567"/>
        </w:tabs>
        <w:spacing w:after="0" w:line="240" w:lineRule="auto"/>
        <w:ind w:right="425"/>
        <w:jc w:val="both"/>
        <w:rPr>
          <w:rFonts w:ascii="Arial" w:hAnsi="Arial" w:cs="Arial"/>
          <w:color w:val="000000"/>
          <w:sz w:val="16"/>
          <w:szCs w:val="16"/>
        </w:rPr>
      </w:pPr>
      <w:r w:rsidRPr="008B52BD">
        <w:rPr>
          <w:rFonts w:ascii="Arial" w:hAnsi="Arial" w:cs="Arial"/>
          <w:color w:val="000000"/>
          <w:sz w:val="16"/>
          <w:szCs w:val="16"/>
        </w:rPr>
        <w:t>Fuente:</w:t>
      </w:r>
      <w:r w:rsidRPr="008B52BD">
        <w:rPr>
          <w:rFonts w:ascii="Arial" w:hAnsi="Arial" w:cs="Arial"/>
          <w:color w:val="000000"/>
          <w:sz w:val="16"/>
          <w:szCs w:val="16"/>
        </w:rPr>
        <w:tab/>
        <w:t>INEGI. Estadísticas Vitales. Estadísticas de Defunciones Registradas</w:t>
      </w:r>
    </w:p>
    <w:p w14:paraId="2734311D" w14:textId="77777777" w:rsidR="006B0436" w:rsidRDefault="006B0436" w:rsidP="006B0436">
      <w:pPr>
        <w:spacing w:after="0" w:line="240" w:lineRule="auto"/>
        <w:ind w:left="-567" w:right="425"/>
        <w:jc w:val="both"/>
        <w:rPr>
          <w:rFonts w:ascii="Arial" w:hAnsi="Arial" w:cs="Arial"/>
          <w:sz w:val="24"/>
          <w:szCs w:val="24"/>
        </w:rPr>
      </w:pPr>
    </w:p>
    <w:p w14:paraId="24503F01" w14:textId="56861F43" w:rsidR="006B0436" w:rsidRDefault="006A2E48" w:rsidP="008B52BD">
      <w:pPr>
        <w:spacing w:after="0" w:line="0" w:lineRule="atLeast"/>
        <w:ind w:left="-567" w:right="425"/>
        <w:contextualSpacing/>
        <w:jc w:val="both"/>
        <w:rPr>
          <w:rFonts w:ascii="Arial" w:hAnsi="Arial" w:cs="Arial"/>
          <w:sz w:val="24"/>
          <w:szCs w:val="24"/>
        </w:rPr>
      </w:pPr>
      <w:r w:rsidRPr="006A2E48">
        <w:rPr>
          <w:rFonts w:ascii="Arial" w:hAnsi="Arial" w:cs="Arial"/>
          <w:sz w:val="24"/>
          <w:szCs w:val="24"/>
        </w:rPr>
        <w:t xml:space="preserve">Las agresiones por medios no especificados </w:t>
      </w:r>
      <w:r w:rsidR="009718D2">
        <w:rPr>
          <w:rFonts w:ascii="Arial" w:hAnsi="Arial" w:cs="Arial"/>
          <w:sz w:val="24"/>
          <w:szCs w:val="24"/>
        </w:rPr>
        <w:t xml:space="preserve">conforme a lo </w:t>
      </w:r>
      <w:r w:rsidRPr="006A2E48">
        <w:rPr>
          <w:rFonts w:ascii="Arial" w:hAnsi="Arial" w:cs="Arial"/>
          <w:sz w:val="24"/>
          <w:szCs w:val="24"/>
        </w:rPr>
        <w:t xml:space="preserve">consignado en el certificado de defunción resultan de la carencia de elementos </w:t>
      </w:r>
      <w:r w:rsidR="009E0885">
        <w:rPr>
          <w:rFonts w:ascii="Arial" w:hAnsi="Arial" w:cs="Arial"/>
          <w:sz w:val="24"/>
          <w:szCs w:val="24"/>
        </w:rPr>
        <w:t xml:space="preserve">para </w:t>
      </w:r>
      <w:r w:rsidRPr="006A2E48">
        <w:rPr>
          <w:rFonts w:ascii="Arial" w:hAnsi="Arial" w:cs="Arial"/>
          <w:sz w:val="24"/>
          <w:szCs w:val="24"/>
        </w:rPr>
        <w:t xml:space="preserve">identificar el medio </w:t>
      </w:r>
      <w:r w:rsidR="009E0885">
        <w:rPr>
          <w:rFonts w:ascii="Arial" w:hAnsi="Arial" w:cs="Arial"/>
          <w:sz w:val="24"/>
          <w:szCs w:val="24"/>
        </w:rPr>
        <w:t xml:space="preserve">que utilizó la </w:t>
      </w:r>
      <w:r w:rsidR="009718D2">
        <w:rPr>
          <w:rFonts w:ascii="Arial" w:hAnsi="Arial" w:cs="Arial"/>
          <w:sz w:val="24"/>
          <w:szCs w:val="24"/>
        </w:rPr>
        <w:t xml:space="preserve">agresora </w:t>
      </w:r>
      <w:r w:rsidR="009E0885">
        <w:rPr>
          <w:rFonts w:ascii="Arial" w:hAnsi="Arial" w:cs="Arial"/>
          <w:sz w:val="24"/>
          <w:szCs w:val="24"/>
        </w:rPr>
        <w:t xml:space="preserve">o el agresor </w:t>
      </w:r>
      <w:r w:rsidRPr="006A2E48">
        <w:rPr>
          <w:rFonts w:ascii="Arial" w:hAnsi="Arial" w:cs="Arial"/>
          <w:sz w:val="24"/>
          <w:szCs w:val="24"/>
        </w:rPr>
        <w:t>para generar la lesión que condujo a la muerte de la persona</w:t>
      </w:r>
      <w:r w:rsidR="006B0436">
        <w:rPr>
          <w:rFonts w:ascii="Arial" w:hAnsi="Arial" w:cs="Arial"/>
          <w:sz w:val="24"/>
          <w:szCs w:val="24"/>
        </w:rPr>
        <w:t>.</w:t>
      </w:r>
    </w:p>
    <w:p w14:paraId="08362F42" w14:textId="77777777" w:rsidR="006B0436" w:rsidRPr="006A2E48" w:rsidRDefault="006B0436" w:rsidP="008B52BD">
      <w:pPr>
        <w:spacing w:after="0" w:line="0" w:lineRule="atLeast"/>
        <w:ind w:left="-567" w:right="425"/>
        <w:jc w:val="both"/>
        <w:rPr>
          <w:rFonts w:ascii="Arial" w:hAnsi="Arial" w:cs="Arial"/>
          <w:sz w:val="24"/>
          <w:szCs w:val="24"/>
        </w:rPr>
      </w:pPr>
    </w:p>
    <w:p w14:paraId="63501FBA" w14:textId="77777777" w:rsidR="00C147E6" w:rsidRDefault="00C147E6" w:rsidP="00C147E6">
      <w:pPr>
        <w:ind w:left="-425" w:right="-516"/>
        <w:contextualSpacing/>
        <w:rPr>
          <w:rFonts w:ascii="Arial" w:hAnsi="Arial" w:cs="Arial"/>
          <w:b/>
          <w:sz w:val="24"/>
          <w:szCs w:val="26"/>
        </w:rPr>
      </w:pPr>
      <w:r>
        <w:t xml:space="preserve">                                             </w:t>
      </w:r>
      <w:r w:rsidRPr="007D7DBD">
        <w:rPr>
          <w:noProof/>
        </w:rPr>
        <w:drawing>
          <wp:inline distT="0" distB="0" distL="0" distR="0" wp14:anchorId="79E2CE2C" wp14:editId="0D0C6739">
            <wp:extent cx="257810" cy="273050"/>
            <wp:effectExtent l="0" t="0" r="0" b="0"/>
            <wp:docPr id="15" name="Imagen 5" descr="C:\Users\saladeprensa\Desktop\NVOS LOGOS\F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7D7DBD">
        <w:rPr>
          <w:noProof/>
        </w:rPr>
        <w:drawing>
          <wp:inline distT="0" distB="0" distL="0" distR="0" wp14:anchorId="2FE0A54A" wp14:editId="5831C878">
            <wp:extent cx="273050" cy="273050"/>
            <wp:effectExtent l="0" t="0" r="0" b="0"/>
            <wp:docPr id="16" name="Imagen 7" descr="C:\Users\saladeprensa\Desktop\NVOS LOGOS\I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7D7DBD">
        <w:rPr>
          <w:noProof/>
        </w:rPr>
        <w:drawing>
          <wp:inline distT="0" distB="0" distL="0" distR="0" wp14:anchorId="08E49377" wp14:editId="43F9F6F9">
            <wp:extent cx="265430" cy="265430"/>
            <wp:effectExtent l="0" t="0" r="0" b="0"/>
            <wp:docPr id="17" name="Imagen 28" descr="C:\Users\saladeprensa\Desktop\NVOS LOGOS\T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7D7DBD">
        <w:rPr>
          <w:noProof/>
        </w:rPr>
        <w:drawing>
          <wp:inline distT="0" distB="0" distL="0" distR="0" wp14:anchorId="678497E1" wp14:editId="64C38261">
            <wp:extent cx="265430" cy="265430"/>
            <wp:effectExtent l="0" t="0" r="0" b="0"/>
            <wp:docPr id="18" name="Imagen 30" descr="C:\Users\saladeprensa\Desktop\NVOS LOGOS\Y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0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C94368">
        <w:rPr>
          <w:noProof/>
          <w:sz w:val="14"/>
          <w:szCs w:val="18"/>
        </w:rPr>
        <w:drawing>
          <wp:inline distT="0" distB="0" distL="0" distR="0" wp14:anchorId="3B6DB5CE" wp14:editId="7AE46F42">
            <wp:extent cx="1953895" cy="273050"/>
            <wp:effectExtent l="0" t="0" r="0" b="0"/>
            <wp:docPr id="19" name="Imagen 38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E1C08" w14:textId="77777777" w:rsidR="00C147E6" w:rsidRDefault="00C147E6" w:rsidP="00C147E6">
      <w:pPr>
        <w:rPr>
          <w:rFonts w:ascii="Arial" w:hAnsi="Arial" w:cs="Arial"/>
          <w:b/>
          <w:sz w:val="24"/>
          <w:szCs w:val="26"/>
        </w:rPr>
        <w:sectPr w:rsidR="00C147E6" w:rsidSect="000D54AF">
          <w:headerReference w:type="default" r:id="rId26"/>
          <w:footerReference w:type="default" r:id="rId27"/>
          <w:type w:val="continuous"/>
          <w:pgSz w:w="12240" w:h="15840" w:code="1"/>
          <w:pgMar w:top="1418" w:right="758" w:bottom="1134" w:left="1701" w:header="568" w:footer="540" w:gutter="0"/>
          <w:cols w:space="708"/>
          <w:docGrid w:linePitch="360"/>
        </w:sectPr>
      </w:pPr>
    </w:p>
    <w:p w14:paraId="7891898D" w14:textId="0256D07A" w:rsidR="002D6EA2" w:rsidRPr="008B52BD" w:rsidRDefault="00C147E6" w:rsidP="008B52BD">
      <w:pPr>
        <w:spacing w:after="0"/>
        <w:ind w:left="-567" w:right="-142"/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 Negrita" w:hAnsi="Arial Negrita" w:cs="Arial"/>
          <w:b/>
          <w:smallCaps/>
          <w:sz w:val="24"/>
          <w:szCs w:val="24"/>
        </w:rPr>
        <w:br w:type="page"/>
      </w:r>
      <w:r w:rsidR="002D6EA2" w:rsidRPr="008B52BD">
        <w:rPr>
          <w:rFonts w:ascii="Arial" w:hAnsi="Arial" w:cs="Arial"/>
          <w:b/>
          <w:smallCaps/>
          <w:sz w:val="24"/>
          <w:szCs w:val="24"/>
        </w:rPr>
        <w:lastRenderedPageBreak/>
        <w:t>ANEXO</w:t>
      </w:r>
    </w:p>
    <w:p w14:paraId="57887B50" w14:textId="77777777" w:rsidR="002D6EA2" w:rsidRPr="008B52BD" w:rsidRDefault="002D6EA2" w:rsidP="008B52BD">
      <w:pPr>
        <w:spacing w:after="0"/>
        <w:ind w:left="-567" w:right="-142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63F1031A" w14:textId="31DB5377" w:rsidR="002D6EA2" w:rsidRPr="008B52BD" w:rsidRDefault="002D6EA2" w:rsidP="008B52BD">
      <w:pPr>
        <w:spacing w:after="0"/>
        <w:ind w:left="-567" w:right="-142"/>
        <w:jc w:val="center"/>
        <w:rPr>
          <w:rFonts w:ascii="Arial" w:hAnsi="Arial" w:cs="Arial"/>
          <w:bCs/>
          <w:sz w:val="24"/>
          <w:szCs w:val="24"/>
        </w:rPr>
      </w:pPr>
      <w:r w:rsidRPr="008B52BD">
        <w:rPr>
          <w:rFonts w:ascii="Arial" w:hAnsi="Arial" w:cs="Arial"/>
          <w:b/>
          <w:smallCaps/>
          <w:sz w:val="24"/>
          <w:szCs w:val="24"/>
        </w:rPr>
        <w:t>NOTA T</w:t>
      </w:r>
      <w:r w:rsidRPr="008B52BD">
        <w:rPr>
          <w:rFonts w:ascii="Arial" w:hAnsi="Arial" w:cs="Arial" w:hint="eastAsia"/>
          <w:b/>
          <w:smallCaps/>
          <w:sz w:val="24"/>
          <w:szCs w:val="24"/>
        </w:rPr>
        <w:t>É</w:t>
      </w:r>
      <w:r w:rsidRPr="008B52BD">
        <w:rPr>
          <w:rFonts w:ascii="Arial" w:hAnsi="Arial" w:cs="Arial"/>
          <w:b/>
          <w:smallCaps/>
          <w:sz w:val="24"/>
          <w:szCs w:val="24"/>
        </w:rPr>
        <w:t>CNICA</w:t>
      </w:r>
    </w:p>
    <w:p w14:paraId="41C6FC2A" w14:textId="77777777" w:rsidR="002D6EA2" w:rsidRPr="008B52BD" w:rsidRDefault="002D6EA2" w:rsidP="008B52BD">
      <w:pPr>
        <w:spacing w:after="0"/>
        <w:ind w:left="-567" w:right="-142"/>
        <w:jc w:val="center"/>
        <w:rPr>
          <w:rFonts w:ascii="Arial" w:hAnsi="Arial" w:cs="Arial"/>
          <w:color w:val="000000"/>
          <w:sz w:val="24"/>
          <w:szCs w:val="24"/>
          <w:vertAlign w:val="superscript"/>
        </w:rPr>
      </w:pPr>
    </w:p>
    <w:p w14:paraId="1FDC33F8" w14:textId="6B8245BC" w:rsidR="00C147E6" w:rsidRPr="008B52BD" w:rsidRDefault="00C147E6" w:rsidP="008B52BD">
      <w:pPr>
        <w:spacing w:after="0" w:line="240" w:lineRule="auto"/>
        <w:ind w:left="-567" w:right="-142"/>
        <w:jc w:val="both"/>
        <w:rPr>
          <w:rFonts w:cs="Arial"/>
          <w:bCs/>
          <w:szCs w:val="24"/>
        </w:rPr>
      </w:pPr>
      <w:r w:rsidRPr="008B52BD">
        <w:rPr>
          <w:rFonts w:ascii="Arial" w:hAnsi="Arial" w:cs="Arial"/>
          <w:bCs/>
          <w:sz w:val="24"/>
          <w:szCs w:val="24"/>
        </w:rPr>
        <w:t>Las cifras preliminares de los homicidios registrados en el primer semestre de 2022 se derivan de las Estadísticas de Defunciones Registradas (EDR)</w:t>
      </w:r>
      <w:r w:rsidR="00A2220C">
        <w:rPr>
          <w:rFonts w:ascii="Arial" w:hAnsi="Arial" w:cs="Arial"/>
          <w:bCs/>
          <w:sz w:val="24"/>
          <w:szCs w:val="24"/>
        </w:rPr>
        <w:t>.</w:t>
      </w:r>
      <w:r w:rsidRPr="008B52BD">
        <w:rPr>
          <w:rStyle w:val="Refdenotaalpie"/>
          <w:rFonts w:ascii="Arial" w:hAnsi="Arial" w:cs="Arial"/>
          <w:bCs/>
          <w:sz w:val="24"/>
          <w:szCs w:val="24"/>
        </w:rPr>
        <w:footnoteReference w:id="2"/>
      </w:r>
      <w:r w:rsidRPr="008B52BD">
        <w:rPr>
          <w:rFonts w:ascii="Arial" w:hAnsi="Arial" w:cs="Arial"/>
          <w:bCs/>
          <w:sz w:val="24"/>
          <w:szCs w:val="24"/>
        </w:rPr>
        <w:t xml:space="preserve"> </w:t>
      </w:r>
      <w:r w:rsidR="00A2220C">
        <w:rPr>
          <w:rFonts w:ascii="Arial" w:hAnsi="Arial" w:cs="Arial"/>
          <w:bCs/>
          <w:sz w:val="24"/>
          <w:szCs w:val="24"/>
        </w:rPr>
        <w:t>P</w:t>
      </w:r>
      <w:r w:rsidRPr="008B52BD">
        <w:rPr>
          <w:rFonts w:ascii="Arial" w:hAnsi="Arial" w:cs="Arial"/>
          <w:bCs/>
          <w:sz w:val="24"/>
          <w:szCs w:val="24"/>
        </w:rPr>
        <w:t xml:space="preserve">rovienen de los registros administrativos de defunciones accidentales y violentas que generan las entidades federativas y </w:t>
      </w:r>
      <w:r w:rsidR="009E0885">
        <w:rPr>
          <w:rFonts w:ascii="Arial" w:hAnsi="Arial" w:cs="Arial"/>
          <w:bCs/>
          <w:sz w:val="24"/>
          <w:szCs w:val="24"/>
        </w:rPr>
        <w:t xml:space="preserve">que </w:t>
      </w:r>
      <w:r w:rsidR="00A2220C">
        <w:rPr>
          <w:rFonts w:ascii="Arial" w:hAnsi="Arial" w:cs="Arial"/>
          <w:bCs/>
          <w:sz w:val="24"/>
          <w:szCs w:val="24"/>
        </w:rPr>
        <w:t xml:space="preserve">el INEGI </w:t>
      </w:r>
      <w:r w:rsidRPr="008B52BD">
        <w:rPr>
          <w:rFonts w:ascii="Arial" w:hAnsi="Arial" w:cs="Arial"/>
          <w:bCs/>
          <w:sz w:val="24"/>
          <w:szCs w:val="24"/>
        </w:rPr>
        <w:t xml:space="preserve">recopila </w:t>
      </w:r>
      <w:r w:rsidR="00A2220C">
        <w:rPr>
          <w:rFonts w:ascii="Arial" w:hAnsi="Arial" w:cs="Arial"/>
          <w:bCs/>
          <w:sz w:val="24"/>
          <w:szCs w:val="24"/>
        </w:rPr>
        <w:t xml:space="preserve">cada mes. </w:t>
      </w:r>
      <w:r w:rsidRPr="008B52BD">
        <w:rPr>
          <w:rFonts w:ascii="Arial" w:hAnsi="Arial" w:cs="Arial"/>
          <w:bCs/>
          <w:sz w:val="24"/>
          <w:szCs w:val="24"/>
        </w:rPr>
        <w:t>Como fuentes</w:t>
      </w:r>
      <w:r w:rsidR="00D34457">
        <w:rPr>
          <w:rFonts w:ascii="Arial" w:hAnsi="Arial" w:cs="Arial"/>
          <w:bCs/>
          <w:sz w:val="24"/>
          <w:szCs w:val="24"/>
        </w:rPr>
        <w:t>,</w:t>
      </w:r>
      <w:r w:rsidRPr="008B52BD">
        <w:rPr>
          <w:rFonts w:ascii="Arial" w:hAnsi="Arial" w:cs="Arial"/>
          <w:bCs/>
          <w:sz w:val="24"/>
          <w:szCs w:val="24"/>
        </w:rPr>
        <w:t xml:space="preserve"> se consideran 239 Oficialías del Registro Civil, 101 Servicios Médicos Forenses y 163 Agencias del Ministerio Público que tuvieron</w:t>
      </w:r>
      <w:r w:rsidR="00D34457">
        <w:rPr>
          <w:rFonts w:ascii="Arial" w:hAnsi="Arial" w:cs="Arial"/>
          <w:bCs/>
          <w:sz w:val="24"/>
          <w:szCs w:val="24"/>
        </w:rPr>
        <w:t>,</w:t>
      </w:r>
      <w:r w:rsidRPr="008B52BD">
        <w:rPr>
          <w:rFonts w:ascii="Arial" w:hAnsi="Arial" w:cs="Arial"/>
          <w:bCs/>
          <w:sz w:val="24"/>
          <w:szCs w:val="24"/>
        </w:rPr>
        <w:t xml:space="preserve"> al menos</w:t>
      </w:r>
      <w:r w:rsidR="00D34457">
        <w:rPr>
          <w:rFonts w:ascii="Arial" w:hAnsi="Arial" w:cs="Arial"/>
          <w:bCs/>
          <w:sz w:val="24"/>
          <w:szCs w:val="24"/>
        </w:rPr>
        <w:t>,</w:t>
      </w:r>
      <w:r w:rsidRPr="008B52BD">
        <w:rPr>
          <w:rFonts w:ascii="Arial" w:hAnsi="Arial" w:cs="Arial"/>
          <w:bCs/>
          <w:sz w:val="24"/>
          <w:szCs w:val="24"/>
        </w:rPr>
        <w:t xml:space="preserve"> un registro de homicidio.</w:t>
      </w:r>
    </w:p>
    <w:p w14:paraId="5DC27008" w14:textId="77777777" w:rsidR="00C147E6" w:rsidRPr="002D6EA2" w:rsidRDefault="00C147E6" w:rsidP="008B52BD">
      <w:pPr>
        <w:pStyle w:val="p0"/>
        <w:spacing w:before="0"/>
        <w:ind w:left="-567" w:right="-142"/>
        <w:rPr>
          <w:rFonts w:cs="Arial"/>
          <w:bCs/>
          <w:color w:val="000000"/>
          <w:szCs w:val="24"/>
          <w:lang w:val="es-MX"/>
        </w:rPr>
      </w:pPr>
    </w:p>
    <w:p w14:paraId="0750D2EE" w14:textId="4F1C3CC3" w:rsidR="00C147E6" w:rsidRPr="002D6EA2" w:rsidRDefault="00C147E6" w:rsidP="008B52BD">
      <w:pPr>
        <w:pStyle w:val="p0"/>
        <w:spacing w:before="0"/>
        <w:ind w:left="-567" w:right="-142"/>
        <w:rPr>
          <w:rFonts w:cs="Arial"/>
          <w:bCs/>
          <w:color w:val="auto"/>
          <w:szCs w:val="24"/>
          <w:lang w:val="es-MX"/>
        </w:rPr>
      </w:pPr>
      <w:r w:rsidRPr="002D6EA2">
        <w:rPr>
          <w:rFonts w:cs="Arial"/>
          <w:bCs/>
          <w:color w:val="auto"/>
          <w:szCs w:val="24"/>
          <w:lang w:val="es-MX"/>
        </w:rPr>
        <w:t xml:space="preserve">A partir de 2015, el INEGI capta información de presuntos homicidios directamente de los </w:t>
      </w:r>
      <w:r w:rsidRPr="002D6EA2">
        <w:rPr>
          <w:rFonts w:cs="Arial"/>
          <w:bCs/>
          <w:color w:val="000000"/>
          <w:szCs w:val="24"/>
          <w:lang w:val="es-MX"/>
        </w:rPr>
        <w:t>S</w:t>
      </w:r>
      <w:r w:rsidRPr="002D6EA2">
        <w:rPr>
          <w:rFonts w:cs="Arial"/>
          <w:bCs/>
          <w:color w:val="auto"/>
          <w:szCs w:val="24"/>
          <w:lang w:val="es-MX"/>
        </w:rPr>
        <w:t xml:space="preserve">ervicios </w:t>
      </w:r>
      <w:r w:rsidRPr="002D6EA2">
        <w:rPr>
          <w:rFonts w:cs="Arial"/>
          <w:bCs/>
          <w:color w:val="000000"/>
          <w:szCs w:val="24"/>
          <w:lang w:val="es-MX"/>
        </w:rPr>
        <w:t>M</w:t>
      </w:r>
      <w:r w:rsidRPr="002D6EA2">
        <w:rPr>
          <w:rFonts w:cs="Arial"/>
          <w:bCs/>
          <w:color w:val="auto"/>
          <w:szCs w:val="24"/>
          <w:lang w:val="es-MX"/>
        </w:rPr>
        <w:t xml:space="preserve">édicos </w:t>
      </w:r>
      <w:r w:rsidRPr="002D6EA2">
        <w:rPr>
          <w:rFonts w:cs="Arial"/>
          <w:bCs/>
          <w:color w:val="000000"/>
          <w:szCs w:val="24"/>
          <w:lang w:val="es-MX"/>
        </w:rPr>
        <w:t>Forenses</w:t>
      </w:r>
      <w:r w:rsidR="00A2220C">
        <w:rPr>
          <w:rFonts w:cs="Arial"/>
          <w:bCs/>
          <w:color w:val="000000"/>
          <w:szCs w:val="24"/>
          <w:lang w:val="es-MX"/>
        </w:rPr>
        <w:t xml:space="preserve"> mediante</w:t>
      </w:r>
      <w:r w:rsidRPr="002D6EA2">
        <w:rPr>
          <w:rFonts w:cs="Arial"/>
          <w:bCs/>
          <w:color w:val="auto"/>
          <w:szCs w:val="24"/>
          <w:lang w:val="es-MX"/>
        </w:rPr>
        <w:t xml:space="preserve"> los certificados de defunción para las muertes accidentales y violentas. Además, </w:t>
      </w:r>
      <w:r w:rsidRPr="002D6EA2">
        <w:rPr>
          <w:rFonts w:cs="Arial"/>
          <w:bCs/>
          <w:color w:val="000000"/>
          <w:szCs w:val="24"/>
          <w:lang w:val="es-MX"/>
        </w:rPr>
        <w:t xml:space="preserve">obtiene </w:t>
      </w:r>
      <w:r w:rsidRPr="002D6EA2">
        <w:rPr>
          <w:rFonts w:cs="Arial"/>
          <w:bCs/>
          <w:color w:val="auto"/>
          <w:szCs w:val="24"/>
          <w:lang w:val="es-MX"/>
        </w:rPr>
        <w:t xml:space="preserve">datos en las </w:t>
      </w:r>
      <w:r w:rsidRPr="002D6EA2">
        <w:rPr>
          <w:rFonts w:cs="Arial"/>
          <w:bCs/>
          <w:color w:val="000000"/>
          <w:szCs w:val="24"/>
          <w:lang w:val="es-MX"/>
        </w:rPr>
        <w:t>O</w:t>
      </w:r>
      <w:r w:rsidRPr="002D6EA2">
        <w:rPr>
          <w:rFonts w:cs="Arial"/>
          <w:bCs/>
          <w:color w:val="auto"/>
          <w:szCs w:val="24"/>
          <w:lang w:val="es-MX"/>
        </w:rPr>
        <w:t xml:space="preserve">ficialías del Registro Civil a través de actas y certificados de defunción. Esta información se complementa con la </w:t>
      </w:r>
      <w:r w:rsidR="00A2220C">
        <w:rPr>
          <w:rFonts w:cs="Arial"/>
          <w:bCs/>
          <w:color w:val="auto"/>
          <w:szCs w:val="24"/>
          <w:lang w:val="es-MX"/>
        </w:rPr>
        <w:t xml:space="preserve">que proporcionan </w:t>
      </w:r>
      <w:r w:rsidRPr="002D6EA2">
        <w:rPr>
          <w:rFonts w:cs="Arial"/>
          <w:bCs/>
          <w:color w:val="auto"/>
          <w:szCs w:val="24"/>
          <w:lang w:val="es-MX"/>
        </w:rPr>
        <w:t xml:space="preserve">las </w:t>
      </w:r>
      <w:r w:rsidRPr="002D6EA2">
        <w:rPr>
          <w:rFonts w:cs="Arial"/>
          <w:bCs/>
          <w:color w:val="000000"/>
          <w:szCs w:val="24"/>
          <w:lang w:val="es-MX"/>
        </w:rPr>
        <w:t>Agencias</w:t>
      </w:r>
      <w:r w:rsidRPr="002D6EA2">
        <w:rPr>
          <w:rFonts w:cs="Arial"/>
          <w:bCs/>
          <w:color w:val="auto"/>
          <w:szCs w:val="24"/>
          <w:lang w:val="es-MX"/>
        </w:rPr>
        <w:t xml:space="preserve"> del Ministerio Público </w:t>
      </w:r>
      <w:r w:rsidR="00A2220C">
        <w:rPr>
          <w:rFonts w:cs="Arial"/>
          <w:bCs/>
          <w:color w:val="auto"/>
          <w:szCs w:val="24"/>
          <w:lang w:val="es-MX"/>
        </w:rPr>
        <w:t xml:space="preserve">en </w:t>
      </w:r>
      <w:r w:rsidR="00A55C02">
        <w:rPr>
          <w:rFonts w:cs="Arial"/>
          <w:bCs/>
          <w:color w:val="auto"/>
          <w:szCs w:val="24"/>
          <w:lang w:val="es-MX"/>
        </w:rPr>
        <w:t xml:space="preserve">los </w:t>
      </w:r>
      <w:r w:rsidRPr="002D6EA2">
        <w:rPr>
          <w:rFonts w:cs="Arial"/>
          <w:bCs/>
          <w:color w:val="auto"/>
          <w:szCs w:val="24"/>
          <w:lang w:val="es-MX"/>
        </w:rPr>
        <w:t>cuadernos estadísticos de defunción.</w:t>
      </w:r>
    </w:p>
    <w:p w14:paraId="42B896C7" w14:textId="77777777" w:rsidR="00C147E6" w:rsidRPr="002D6EA2" w:rsidRDefault="00C147E6" w:rsidP="008B52BD">
      <w:pPr>
        <w:pStyle w:val="p0"/>
        <w:spacing w:before="0"/>
        <w:ind w:left="-567" w:right="-142"/>
        <w:rPr>
          <w:rFonts w:cs="Arial"/>
          <w:bCs/>
          <w:color w:val="auto"/>
          <w:szCs w:val="24"/>
          <w:lang w:val="es-MX"/>
        </w:rPr>
      </w:pPr>
    </w:p>
    <w:p w14:paraId="3E7D317A" w14:textId="0953E2E1" w:rsidR="00C147E6" w:rsidRPr="002D6EA2" w:rsidRDefault="00C147E6" w:rsidP="008B52BD">
      <w:pPr>
        <w:pStyle w:val="p0"/>
        <w:spacing w:before="0"/>
        <w:ind w:left="-567" w:right="-142"/>
        <w:rPr>
          <w:rFonts w:cs="Arial"/>
          <w:bCs/>
          <w:color w:val="auto"/>
          <w:szCs w:val="24"/>
          <w:lang w:val="es-MX"/>
        </w:rPr>
      </w:pPr>
      <w:r w:rsidRPr="002D6EA2">
        <w:rPr>
          <w:rFonts w:cs="Arial"/>
          <w:bCs/>
          <w:color w:val="auto"/>
          <w:szCs w:val="24"/>
          <w:lang w:val="es-MX"/>
        </w:rPr>
        <w:t>Los homicidios forman parte de las defunciones accidentales y violentas</w:t>
      </w:r>
      <w:r w:rsidR="003A51AF">
        <w:rPr>
          <w:rFonts w:cs="Arial"/>
          <w:bCs/>
          <w:color w:val="auto"/>
          <w:szCs w:val="24"/>
          <w:lang w:val="es-MX"/>
        </w:rPr>
        <w:t xml:space="preserve">. Su </w:t>
      </w:r>
      <w:r w:rsidRPr="002D6EA2">
        <w:rPr>
          <w:rFonts w:cs="Arial"/>
          <w:bCs/>
          <w:color w:val="auto"/>
          <w:szCs w:val="24"/>
          <w:lang w:val="es-MX"/>
        </w:rPr>
        <w:t xml:space="preserve">clasificación se determina con base en las causas (afecciones y lesiones), </w:t>
      </w:r>
      <w:r w:rsidR="00A55C02">
        <w:rPr>
          <w:rFonts w:cs="Arial"/>
          <w:bCs/>
          <w:color w:val="auto"/>
          <w:szCs w:val="24"/>
          <w:lang w:val="es-MX"/>
        </w:rPr>
        <w:t>e</w:t>
      </w:r>
      <w:r w:rsidRPr="002D6EA2">
        <w:rPr>
          <w:rFonts w:cs="Arial"/>
          <w:bCs/>
          <w:color w:val="auto"/>
          <w:szCs w:val="24"/>
          <w:lang w:val="es-MX"/>
        </w:rPr>
        <w:t>l tipo de defunción y el motivo de la lesión</w:t>
      </w:r>
      <w:r w:rsidR="003A51AF">
        <w:rPr>
          <w:rFonts w:cs="Arial"/>
          <w:bCs/>
          <w:color w:val="auto"/>
          <w:szCs w:val="24"/>
          <w:lang w:val="es-MX"/>
        </w:rPr>
        <w:t xml:space="preserve"> que registra </w:t>
      </w:r>
      <w:r w:rsidRPr="002D6EA2">
        <w:rPr>
          <w:rFonts w:cs="Arial"/>
          <w:bCs/>
          <w:color w:val="auto"/>
          <w:szCs w:val="24"/>
          <w:lang w:val="es-MX"/>
        </w:rPr>
        <w:t>el médico en el certificado de defunción. Las primeras dos son fundamentales para distinguir entre un presunto homicidio, un presunto accidente o un presunto suicidio</w:t>
      </w:r>
      <w:r w:rsidR="003A51AF">
        <w:rPr>
          <w:rFonts w:cs="Arial"/>
          <w:bCs/>
          <w:color w:val="auto"/>
          <w:szCs w:val="24"/>
          <w:lang w:val="es-MX"/>
        </w:rPr>
        <w:t xml:space="preserve">. Ahora bien, </w:t>
      </w:r>
      <w:r w:rsidRPr="002D6EA2">
        <w:rPr>
          <w:rFonts w:cs="Arial"/>
          <w:bCs/>
          <w:color w:val="auto"/>
          <w:szCs w:val="24"/>
          <w:lang w:val="es-MX"/>
        </w:rPr>
        <w:t xml:space="preserve">en algunos casos, el </w:t>
      </w:r>
      <w:r w:rsidR="003A51AF">
        <w:rPr>
          <w:rFonts w:cs="Arial"/>
          <w:bCs/>
          <w:color w:val="auto"/>
          <w:szCs w:val="24"/>
          <w:lang w:val="es-MX"/>
        </w:rPr>
        <w:t xml:space="preserve">médico </w:t>
      </w:r>
      <w:r w:rsidRPr="002D6EA2">
        <w:rPr>
          <w:rFonts w:cs="Arial"/>
          <w:bCs/>
          <w:color w:val="auto"/>
          <w:szCs w:val="24"/>
          <w:lang w:val="es-MX"/>
        </w:rPr>
        <w:t>certificante carece de elementos suficientes para identificar la intencionalidad de</w:t>
      </w:r>
      <w:r w:rsidR="003A51AF">
        <w:rPr>
          <w:rFonts w:cs="Arial"/>
          <w:bCs/>
          <w:color w:val="auto"/>
          <w:szCs w:val="24"/>
          <w:lang w:val="es-MX"/>
        </w:rPr>
        <w:t xml:space="preserve"> </w:t>
      </w:r>
      <w:r w:rsidRPr="002D6EA2">
        <w:rPr>
          <w:rFonts w:cs="Arial"/>
          <w:bCs/>
          <w:color w:val="auto"/>
          <w:szCs w:val="24"/>
          <w:lang w:val="es-MX"/>
        </w:rPr>
        <w:t>l</w:t>
      </w:r>
      <w:r w:rsidR="003A51AF">
        <w:rPr>
          <w:rFonts w:cs="Arial"/>
          <w:bCs/>
          <w:color w:val="auto"/>
          <w:szCs w:val="24"/>
          <w:lang w:val="es-MX"/>
        </w:rPr>
        <w:t>o</w:t>
      </w:r>
      <w:r w:rsidRPr="002D6EA2">
        <w:rPr>
          <w:rFonts w:cs="Arial"/>
          <w:bCs/>
          <w:color w:val="auto"/>
          <w:szCs w:val="24"/>
          <w:lang w:val="es-MX"/>
        </w:rPr>
        <w:t xml:space="preserve"> ocurrido.</w:t>
      </w:r>
    </w:p>
    <w:p w14:paraId="63DFDF59" w14:textId="77777777" w:rsidR="00C147E6" w:rsidRPr="002D6EA2" w:rsidRDefault="00C147E6" w:rsidP="008B52BD">
      <w:pPr>
        <w:pStyle w:val="p0"/>
        <w:spacing w:before="0"/>
        <w:ind w:left="-567" w:right="-142"/>
        <w:rPr>
          <w:rFonts w:cs="Arial"/>
          <w:bCs/>
          <w:color w:val="auto"/>
          <w:szCs w:val="24"/>
          <w:lang w:val="es-MX"/>
        </w:rPr>
      </w:pPr>
    </w:p>
    <w:p w14:paraId="1E8844DB" w14:textId="083B99F2" w:rsidR="00C147E6" w:rsidRPr="008B52BD" w:rsidRDefault="00C147E6" w:rsidP="008B52BD">
      <w:pPr>
        <w:pStyle w:val="p0"/>
        <w:spacing w:before="0"/>
        <w:ind w:left="-567" w:right="-142"/>
        <w:rPr>
          <w:rFonts w:cs="Arial"/>
          <w:bCs/>
          <w:color w:val="auto"/>
          <w:szCs w:val="24"/>
          <w:lang w:val="es-MX"/>
        </w:rPr>
      </w:pPr>
      <w:r w:rsidRPr="002D6EA2">
        <w:rPr>
          <w:rFonts w:cs="Arial"/>
          <w:bCs/>
          <w:color w:val="auto"/>
          <w:szCs w:val="24"/>
          <w:lang w:val="es-MX"/>
        </w:rPr>
        <w:t xml:space="preserve">Al publicar la información correspondiente a todo </w:t>
      </w:r>
      <w:r w:rsidRPr="00397BF7">
        <w:rPr>
          <w:rFonts w:cs="Arial"/>
          <w:bCs/>
          <w:color w:val="auto"/>
          <w:szCs w:val="24"/>
          <w:lang w:val="es-MX"/>
        </w:rPr>
        <w:t>el año 2022, las cifras preliminares, que se darán a conocer el 25 de julio de 2023, incluirán casos que corresponden al primer semestre de 2022, pero que</w:t>
      </w:r>
      <w:r w:rsidR="003A51AF" w:rsidRPr="00397BF7">
        <w:rPr>
          <w:rFonts w:cs="Arial"/>
          <w:bCs/>
          <w:color w:val="auto"/>
          <w:szCs w:val="24"/>
          <w:lang w:val="es-MX"/>
        </w:rPr>
        <w:t xml:space="preserve"> se captaron </w:t>
      </w:r>
      <w:r w:rsidRPr="00397BF7">
        <w:rPr>
          <w:rFonts w:cs="Arial"/>
          <w:bCs/>
          <w:color w:val="auto"/>
          <w:szCs w:val="24"/>
          <w:lang w:val="es-MX"/>
        </w:rPr>
        <w:t xml:space="preserve">durante el segundo semestre de ese mismo año. </w:t>
      </w:r>
      <w:r w:rsidR="003A51AF" w:rsidRPr="00397BF7">
        <w:rPr>
          <w:rFonts w:cs="Arial"/>
          <w:bCs/>
          <w:color w:val="auto"/>
          <w:szCs w:val="24"/>
          <w:lang w:val="es-MX"/>
        </w:rPr>
        <w:t xml:space="preserve">La </w:t>
      </w:r>
      <w:r w:rsidRPr="00397BF7">
        <w:rPr>
          <w:rFonts w:cs="Arial"/>
          <w:bCs/>
          <w:color w:val="auto"/>
          <w:szCs w:val="24"/>
          <w:lang w:val="es-MX"/>
        </w:rPr>
        <w:t>estadística preliminar semestral es un registro sujeto a modificaciones y puede presentar diferencias con respecto a la versión preliminar anual y a la versión definitiva anual</w:t>
      </w:r>
      <w:r w:rsidR="003A51AF" w:rsidRPr="00397BF7">
        <w:rPr>
          <w:rFonts w:cs="Arial"/>
          <w:bCs/>
          <w:color w:val="auto"/>
          <w:szCs w:val="24"/>
          <w:lang w:val="es-MX"/>
        </w:rPr>
        <w:t>. Considérese lo anterior para su uso.</w:t>
      </w:r>
    </w:p>
    <w:p w14:paraId="2BDA9032" w14:textId="77777777" w:rsidR="00C147E6" w:rsidRPr="008B52BD" w:rsidRDefault="00C147E6" w:rsidP="008B52BD">
      <w:pPr>
        <w:spacing w:after="0" w:line="240" w:lineRule="auto"/>
        <w:ind w:left="-567" w:right="-142"/>
        <w:jc w:val="center"/>
        <w:rPr>
          <w:rFonts w:ascii="Arial" w:hAnsi="Arial" w:cs="Arial"/>
          <w:b/>
          <w:sz w:val="24"/>
          <w:szCs w:val="24"/>
        </w:rPr>
      </w:pPr>
    </w:p>
    <w:p w14:paraId="251F1628" w14:textId="46DA156B" w:rsidR="00377B9D" w:rsidRDefault="00377B9D" w:rsidP="006B0436">
      <w:pPr>
        <w:spacing w:after="0" w:line="240" w:lineRule="auto"/>
        <w:ind w:left="-567" w:right="-142"/>
        <w:rPr>
          <w:rFonts w:ascii="Arial" w:hAnsi="Arial" w:cs="Arial"/>
          <w:b/>
          <w:sz w:val="24"/>
          <w:szCs w:val="24"/>
        </w:rPr>
      </w:pPr>
      <w:r w:rsidRPr="008B52BD">
        <w:rPr>
          <w:rFonts w:ascii="Arial" w:hAnsi="Arial" w:cs="Arial"/>
          <w:b/>
          <w:sz w:val="24"/>
          <w:szCs w:val="24"/>
        </w:rPr>
        <w:t>Metodología</w:t>
      </w:r>
    </w:p>
    <w:p w14:paraId="37747B65" w14:textId="77777777" w:rsidR="006B0436" w:rsidRPr="008B52BD" w:rsidRDefault="006B0436" w:rsidP="008B52BD">
      <w:pPr>
        <w:spacing w:after="0" w:line="240" w:lineRule="auto"/>
        <w:ind w:left="-567" w:right="-142"/>
        <w:rPr>
          <w:rFonts w:ascii="Arial" w:hAnsi="Arial" w:cs="Arial"/>
          <w:sz w:val="24"/>
          <w:szCs w:val="24"/>
        </w:rPr>
      </w:pPr>
    </w:p>
    <w:p w14:paraId="651F3918" w14:textId="1DB35918" w:rsidR="006B0436" w:rsidRDefault="00377B9D" w:rsidP="006B0436">
      <w:pPr>
        <w:spacing w:after="0" w:line="240" w:lineRule="auto"/>
        <w:ind w:left="-567" w:right="-142"/>
        <w:jc w:val="both"/>
        <w:rPr>
          <w:rFonts w:ascii="Arial" w:hAnsi="Arial" w:cs="Arial"/>
          <w:bCs/>
          <w:color w:val="000000"/>
          <w:sz w:val="24"/>
          <w:szCs w:val="24"/>
          <w:lang w:eastAsia="es-ES"/>
        </w:rPr>
      </w:pPr>
      <w:r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El INEGI recolecta </w:t>
      </w:r>
      <w:r w:rsidR="002B37FB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la información para generar la estadística de defunciones registradas </w:t>
      </w:r>
      <w:r w:rsidR="00110D70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de manera directa </w:t>
      </w:r>
      <w:r w:rsidR="00720954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>en las O</w:t>
      </w:r>
      <w:r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>ficialías del Registro Civil</w:t>
      </w:r>
      <w:r w:rsidR="002B37FB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 (certificados y actas de defunción)</w:t>
      </w:r>
      <w:r w:rsidR="00720954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>, en las Agencias del Ministerio Público</w:t>
      </w:r>
      <w:r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 </w:t>
      </w:r>
      <w:r w:rsidR="002B37FB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(cuadernos estadísticos de defunción) </w:t>
      </w:r>
      <w:r w:rsidR="00720954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>y en los Servicios Médicos F</w:t>
      </w:r>
      <w:r w:rsidR="00110D70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>orenses</w:t>
      </w:r>
      <w:r w:rsidR="00957908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 (certificado de defunción). </w:t>
      </w:r>
      <w:r w:rsidR="002B37FB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>E</w:t>
      </w:r>
      <w:r w:rsidR="003209EB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>l certificado de defunción</w:t>
      </w:r>
      <w:r w:rsidR="002B37FB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 es el </w:t>
      </w:r>
      <w:r w:rsidR="007E4F7E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>pri</w:t>
      </w:r>
      <w:r w:rsidR="002B37FB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>ncipal instrumento de captación</w:t>
      </w:r>
      <w:r w:rsidR="003A51AF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, pues </w:t>
      </w:r>
      <w:r w:rsidR="00871F9D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contiene </w:t>
      </w:r>
      <w:r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>las causas que provocaron la muerte de una persona</w:t>
      </w:r>
      <w:r w:rsidR="003A51AF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. La </w:t>
      </w:r>
      <w:r w:rsidR="007E4F7E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información del certificado </w:t>
      </w:r>
      <w:r w:rsidR="003A51AF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se complementa con </w:t>
      </w:r>
      <w:r w:rsidR="007E4F7E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las actas de defunción y </w:t>
      </w:r>
      <w:r w:rsidR="003A51AF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con </w:t>
      </w:r>
      <w:r w:rsidR="007E4F7E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los cuadernos </w:t>
      </w:r>
      <w:r w:rsidR="00871F9D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estadísticos </w:t>
      </w:r>
      <w:r w:rsidR="007E4F7E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>de defunción.</w:t>
      </w:r>
      <w:r w:rsidR="003A66CE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 </w:t>
      </w:r>
      <w:r w:rsidR="002D7298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>A partir de</w:t>
      </w:r>
      <w:r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 </w:t>
      </w:r>
      <w:r w:rsidR="007E4F7E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estos </w:t>
      </w:r>
      <w:r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>instrumento</w:t>
      </w:r>
      <w:r w:rsidR="007E4F7E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>s</w:t>
      </w:r>
      <w:r w:rsidR="007F0EF1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>,</w:t>
      </w:r>
      <w:r w:rsidR="003209EB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 </w:t>
      </w:r>
      <w:r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el INEGI utiliza la </w:t>
      </w:r>
      <w:r w:rsidR="003A51AF">
        <w:rPr>
          <w:rFonts w:ascii="Arial" w:hAnsi="Arial" w:cs="Arial"/>
          <w:bCs/>
          <w:color w:val="000000"/>
          <w:sz w:val="24"/>
          <w:szCs w:val="24"/>
          <w:lang w:eastAsia="es-ES"/>
        </w:rPr>
        <w:t>«</w:t>
      </w:r>
      <w:r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>Clasificación Estadística Internacional de Enfermedades y Problemas Relacionados con la Salud</w:t>
      </w:r>
      <w:r w:rsidR="003A51AF">
        <w:rPr>
          <w:rFonts w:ascii="Arial" w:hAnsi="Arial" w:cs="Arial"/>
          <w:bCs/>
          <w:color w:val="000000"/>
          <w:sz w:val="24"/>
          <w:szCs w:val="24"/>
          <w:lang w:eastAsia="es-ES"/>
        </w:rPr>
        <w:t>,</w:t>
      </w:r>
      <w:r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 </w:t>
      </w:r>
      <w:r w:rsidR="002B37FB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Décima Revisión </w:t>
      </w:r>
      <w:r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>(CIE-10)</w:t>
      </w:r>
      <w:r w:rsidR="003A51AF">
        <w:rPr>
          <w:rFonts w:ascii="Arial" w:hAnsi="Arial" w:cs="Arial"/>
          <w:bCs/>
          <w:color w:val="000000"/>
          <w:sz w:val="24"/>
          <w:szCs w:val="24"/>
          <w:lang w:eastAsia="es-ES"/>
        </w:rPr>
        <w:t>»</w:t>
      </w:r>
      <w:r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 establecida por la Organización Mundial de la Salud para la codificación estandarizada de la causa </w:t>
      </w:r>
      <w:r w:rsidR="00D3244C"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básica </w:t>
      </w:r>
      <w:r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t>de la muerte.</w:t>
      </w:r>
    </w:p>
    <w:p w14:paraId="34A1C6C9" w14:textId="3556FC71" w:rsidR="005A552E" w:rsidRPr="008B52BD" w:rsidRDefault="00377B9D" w:rsidP="008B52BD">
      <w:pPr>
        <w:spacing w:after="0" w:line="240" w:lineRule="auto"/>
        <w:ind w:left="-567" w:right="-142"/>
        <w:jc w:val="both"/>
        <w:rPr>
          <w:rFonts w:ascii="Arial" w:hAnsi="Arial" w:cs="Arial"/>
          <w:bCs/>
          <w:color w:val="000000"/>
          <w:sz w:val="24"/>
          <w:szCs w:val="24"/>
          <w:lang w:eastAsia="es-ES"/>
        </w:rPr>
      </w:pPr>
      <w:r w:rsidRPr="008B52BD">
        <w:rPr>
          <w:rFonts w:ascii="Arial" w:hAnsi="Arial" w:cs="Arial"/>
          <w:bCs/>
          <w:color w:val="000000"/>
          <w:sz w:val="24"/>
          <w:szCs w:val="24"/>
          <w:lang w:eastAsia="es-ES"/>
        </w:rPr>
        <w:lastRenderedPageBreak/>
        <w:t xml:space="preserve"> </w:t>
      </w:r>
    </w:p>
    <w:p w14:paraId="3D53E715" w14:textId="723383A3" w:rsidR="00B903D5" w:rsidRDefault="00B903D5" w:rsidP="006B0436">
      <w:pPr>
        <w:spacing w:after="0" w:line="240" w:lineRule="auto"/>
        <w:ind w:left="-567" w:right="-142"/>
        <w:jc w:val="both"/>
        <w:rPr>
          <w:rFonts w:ascii="Arial" w:hAnsi="Arial" w:cs="Arial"/>
          <w:bCs/>
          <w:sz w:val="24"/>
          <w:szCs w:val="24"/>
          <w:lang w:eastAsia="es-ES"/>
        </w:rPr>
      </w:pPr>
      <w:r w:rsidRPr="008B52BD">
        <w:rPr>
          <w:rFonts w:ascii="Arial" w:hAnsi="Arial" w:cs="Arial"/>
          <w:bCs/>
          <w:sz w:val="24"/>
          <w:szCs w:val="24"/>
          <w:lang w:eastAsia="es-ES"/>
        </w:rPr>
        <w:t xml:space="preserve">Cuando el certificante determina que el motivo de la lesión y la o las causas que provocaron la muerte de una persona no pueden </w:t>
      </w:r>
      <w:r w:rsidR="00D34457">
        <w:rPr>
          <w:rFonts w:ascii="Arial" w:hAnsi="Arial" w:cs="Arial"/>
          <w:bCs/>
          <w:sz w:val="24"/>
          <w:szCs w:val="24"/>
          <w:lang w:eastAsia="es-ES"/>
        </w:rPr>
        <w:t xml:space="preserve">atribuirse </w:t>
      </w:r>
      <w:r w:rsidRPr="008B52BD">
        <w:rPr>
          <w:rFonts w:ascii="Arial" w:hAnsi="Arial" w:cs="Arial"/>
          <w:bCs/>
          <w:sz w:val="24"/>
          <w:szCs w:val="24"/>
          <w:lang w:eastAsia="es-ES"/>
        </w:rPr>
        <w:t xml:space="preserve">a factores naturales, sino que corresponden a factores externos, determina </w:t>
      </w:r>
      <w:r w:rsidR="00D75464">
        <w:rPr>
          <w:rFonts w:ascii="Arial" w:hAnsi="Arial" w:cs="Arial"/>
          <w:bCs/>
          <w:sz w:val="24"/>
          <w:szCs w:val="24"/>
          <w:lang w:eastAsia="es-ES"/>
        </w:rPr>
        <w:t>el tipo de defunción</w:t>
      </w:r>
      <w:r w:rsidRPr="008B52BD">
        <w:rPr>
          <w:rFonts w:ascii="Arial" w:hAnsi="Arial" w:cs="Arial"/>
          <w:bCs/>
          <w:sz w:val="24"/>
          <w:szCs w:val="24"/>
          <w:lang w:eastAsia="es-ES"/>
        </w:rPr>
        <w:t xml:space="preserve"> y la registra en el apartado </w:t>
      </w:r>
      <w:r w:rsidRPr="00DF0289">
        <w:rPr>
          <w:rFonts w:ascii="Arial" w:hAnsi="Arial" w:cs="Arial"/>
          <w:bCs/>
          <w:sz w:val="24"/>
          <w:szCs w:val="24"/>
          <w:lang w:eastAsia="es-ES"/>
        </w:rPr>
        <w:t>correspondiente del certificado. Los hechos en cuestión pueden estar relacionados con agresiones directas</w:t>
      </w:r>
      <w:r w:rsidR="00D34457" w:rsidRPr="00DF0289">
        <w:rPr>
          <w:rFonts w:ascii="Arial" w:hAnsi="Arial" w:cs="Arial"/>
          <w:bCs/>
          <w:sz w:val="24"/>
          <w:szCs w:val="24"/>
          <w:lang w:eastAsia="es-ES"/>
        </w:rPr>
        <w:t xml:space="preserve"> para </w:t>
      </w:r>
      <w:r w:rsidRPr="00DF0289">
        <w:rPr>
          <w:rFonts w:ascii="Arial" w:hAnsi="Arial" w:cs="Arial"/>
          <w:bCs/>
          <w:sz w:val="24"/>
          <w:szCs w:val="24"/>
          <w:lang w:eastAsia="es-ES"/>
        </w:rPr>
        <w:t xml:space="preserve">provocar un daño </w:t>
      </w:r>
      <w:r w:rsidR="000A56B1" w:rsidRPr="00DF0289">
        <w:rPr>
          <w:rFonts w:ascii="Arial" w:hAnsi="Arial" w:cs="Arial"/>
          <w:bCs/>
          <w:sz w:val="24"/>
          <w:szCs w:val="24"/>
          <w:lang w:eastAsia="es-ES"/>
        </w:rPr>
        <w:t xml:space="preserve">a otra persona </w:t>
      </w:r>
      <w:r w:rsidRPr="00DF0289">
        <w:rPr>
          <w:rFonts w:ascii="Arial" w:hAnsi="Arial" w:cs="Arial"/>
          <w:bCs/>
          <w:sz w:val="24"/>
          <w:szCs w:val="24"/>
          <w:lang w:eastAsia="es-ES"/>
        </w:rPr>
        <w:t>que</w:t>
      </w:r>
      <w:r w:rsidR="00D34457" w:rsidRPr="00DF0289">
        <w:rPr>
          <w:rFonts w:ascii="Arial" w:hAnsi="Arial" w:cs="Arial"/>
          <w:bCs/>
          <w:sz w:val="24"/>
          <w:szCs w:val="24"/>
          <w:lang w:eastAsia="es-ES"/>
        </w:rPr>
        <w:t>,</w:t>
      </w:r>
      <w:r w:rsidRPr="00DF0289">
        <w:rPr>
          <w:rFonts w:ascii="Arial" w:hAnsi="Arial" w:cs="Arial"/>
          <w:bCs/>
          <w:sz w:val="24"/>
          <w:szCs w:val="24"/>
          <w:lang w:eastAsia="es-ES"/>
        </w:rPr>
        <w:t xml:space="preserve"> de manera determinante</w:t>
      </w:r>
      <w:r w:rsidR="00D34457" w:rsidRPr="00DF0289">
        <w:rPr>
          <w:rFonts w:ascii="Arial" w:hAnsi="Arial" w:cs="Arial"/>
          <w:bCs/>
          <w:sz w:val="24"/>
          <w:szCs w:val="24"/>
          <w:lang w:eastAsia="es-ES"/>
        </w:rPr>
        <w:t>,</w:t>
      </w:r>
      <w:r w:rsidRPr="00DF0289">
        <w:rPr>
          <w:rFonts w:ascii="Arial" w:hAnsi="Arial" w:cs="Arial"/>
          <w:bCs/>
          <w:sz w:val="24"/>
          <w:szCs w:val="24"/>
          <w:lang w:eastAsia="es-ES"/>
        </w:rPr>
        <w:t xml:space="preserve"> constituyen la causa de muerte</w:t>
      </w:r>
      <w:r w:rsidRPr="008B52BD">
        <w:rPr>
          <w:rFonts w:ascii="Arial" w:hAnsi="Arial" w:cs="Arial"/>
          <w:bCs/>
          <w:sz w:val="24"/>
          <w:szCs w:val="24"/>
          <w:lang w:eastAsia="es-ES"/>
        </w:rPr>
        <w:t>. Con est</w:t>
      </w:r>
      <w:r w:rsidR="00D34457">
        <w:rPr>
          <w:rFonts w:ascii="Arial" w:hAnsi="Arial" w:cs="Arial"/>
          <w:bCs/>
          <w:sz w:val="24"/>
          <w:szCs w:val="24"/>
          <w:lang w:eastAsia="es-ES"/>
        </w:rPr>
        <w:t xml:space="preserve">a </w:t>
      </w:r>
      <w:r w:rsidRPr="008B52BD">
        <w:rPr>
          <w:rFonts w:ascii="Arial" w:hAnsi="Arial" w:cs="Arial"/>
          <w:bCs/>
          <w:sz w:val="24"/>
          <w:szCs w:val="24"/>
          <w:lang w:eastAsia="es-ES"/>
        </w:rPr>
        <w:t xml:space="preserve">información es posible identificar los presuntos homicidios. El proceso de codificación de la causa de la defunción muestra que los principales medios o mecanismos </w:t>
      </w:r>
      <w:r w:rsidR="003A51AF">
        <w:rPr>
          <w:rFonts w:ascii="Arial" w:hAnsi="Arial" w:cs="Arial"/>
          <w:bCs/>
          <w:sz w:val="24"/>
          <w:szCs w:val="24"/>
          <w:lang w:eastAsia="es-ES"/>
        </w:rPr>
        <w:t>utilizados</w:t>
      </w:r>
      <w:r w:rsidRPr="008B52BD">
        <w:rPr>
          <w:rFonts w:ascii="Arial" w:hAnsi="Arial" w:cs="Arial"/>
          <w:bCs/>
          <w:sz w:val="24"/>
          <w:szCs w:val="24"/>
          <w:lang w:eastAsia="es-ES"/>
        </w:rPr>
        <w:t xml:space="preserve"> en los homicidios son las armas de fuego, seguidas de los objetos cortantes (armas blancas).</w:t>
      </w:r>
    </w:p>
    <w:p w14:paraId="5A9D8AC0" w14:textId="77777777" w:rsidR="006B0436" w:rsidRPr="008B52BD" w:rsidRDefault="006B0436" w:rsidP="008B52BD">
      <w:pPr>
        <w:spacing w:after="0" w:line="240" w:lineRule="auto"/>
        <w:ind w:left="-567" w:right="-142"/>
        <w:jc w:val="both"/>
        <w:rPr>
          <w:rFonts w:ascii="Arial" w:hAnsi="Arial" w:cs="Arial"/>
          <w:bCs/>
          <w:sz w:val="24"/>
          <w:szCs w:val="24"/>
          <w:lang w:eastAsia="es-ES"/>
        </w:rPr>
      </w:pPr>
    </w:p>
    <w:p w14:paraId="56D4F734" w14:textId="3D7F2DB8" w:rsidR="001E556D" w:rsidRDefault="00984132" w:rsidP="006B0436">
      <w:pPr>
        <w:spacing w:after="0" w:line="240" w:lineRule="auto"/>
        <w:ind w:left="-567" w:right="-142"/>
        <w:jc w:val="both"/>
        <w:rPr>
          <w:rFonts w:ascii="Arial" w:hAnsi="Arial" w:cs="Arial"/>
          <w:bCs/>
          <w:sz w:val="24"/>
          <w:szCs w:val="24"/>
          <w:lang w:eastAsia="es-ES"/>
        </w:rPr>
      </w:pPr>
      <w:r w:rsidRPr="008B52BD">
        <w:rPr>
          <w:rFonts w:ascii="Arial" w:hAnsi="Arial" w:cs="Arial"/>
          <w:bCs/>
          <w:sz w:val="24"/>
          <w:szCs w:val="24"/>
          <w:lang w:eastAsia="es-ES"/>
        </w:rPr>
        <w:t>La información consignada en el certificado de defunción corresponde</w:t>
      </w:r>
      <w:r w:rsidR="00D34457">
        <w:rPr>
          <w:rFonts w:ascii="Arial" w:hAnsi="Arial" w:cs="Arial"/>
          <w:bCs/>
          <w:sz w:val="24"/>
          <w:szCs w:val="24"/>
          <w:lang w:eastAsia="es-ES"/>
        </w:rPr>
        <w:t>,</w:t>
      </w:r>
      <w:r w:rsidRPr="008B52BD">
        <w:rPr>
          <w:rFonts w:ascii="Arial" w:hAnsi="Arial" w:cs="Arial"/>
          <w:bCs/>
          <w:sz w:val="24"/>
          <w:szCs w:val="24"/>
          <w:lang w:eastAsia="es-ES"/>
        </w:rPr>
        <w:t xml:space="preserve"> esencialmente</w:t>
      </w:r>
      <w:r w:rsidR="00D34457">
        <w:rPr>
          <w:rFonts w:ascii="Arial" w:hAnsi="Arial" w:cs="Arial"/>
          <w:bCs/>
          <w:sz w:val="24"/>
          <w:szCs w:val="24"/>
          <w:lang w:eastAsia="es-ES"/>
        </w:rPr>
        <w:t>,</w:t>
      </w:r>
      <w:r w:rsidRPr="008B52BD">
        <w:rPr>
          <w:rFonts w:ascii="Arial" w:hAnsi="Arial" w:cs="Arial"/>
          <w:bCs/>
          <w:sz w:val="24"/>
          <w:szCs w:val="24"/>
          <w:lang w:eastAsia="es-ES"/>
        </w:rPr>
        <w:t xml:space="preserve"> a un tema de salud, </w:t>
      </w:r>
      <w:r w:rsidR="00D34457">
        <w:rPr>
          <w:rFonts w:ascii="Arial" w:hAnsi="Arial" w:cs="Arial"/>
          <w:bCs/>
          <w:sz w:val="24"/>
          <w:szCs w:val="24"/>
          <w:lang w:eastAsia="es-ES"/>
        </w:rPr>
        <w:t xml:space="preserve">lo que no </w:t>
      </w:r>
      <w:r w:rsidRPr="008B52BD">
        <w:rPr>
          <w:rFonts w:ascii="Arial" w:hAnsi="Arial" w:cs="Arial"/>
          <w:bCs/>
          <w:sz w:val="24"/>
          <w:szCs w:val="24"/>
          <w:lang w:eastAsia="es-ES"/>
        </w:rPr>
        <w:t>brinda elementos para clasificar las defunciones en el marco de la legislación penal. Por esta razón</w:t>
      </w:r>
      <w:r w:rsidR="00D34457">
        <w:rPr>
          <w:rFonts w:ascii="Arial" w:hAnsi="Arial" w:cs="Arial"/>
          <w:bCs/>
          <w:sz w:val="24"/>
          <w:szCs w:val="24"/>
          <w:lang w:eastAsia="es-ES"/>
        </w:rPr>
        <w:t>,</w:t>
      </w:r>
      <w:r w:rsidRPr="008B52BD">
        <w:rPr>
          <w:rFonts w:ascii="Arial" w:hAnsi="Arial" w:cs="Arial"/>
          <w:bCs/>
          <w:sz w:val="24"/>
          <w:szCs w:val="24"/>
          <w:lang w:eastAsia="es-ES"/>
        </w:rPr>
        <w:t xml:space="preserve"> </w:t>
      </w:r>
      <w:r w:rsidR="00D34457">
        <w:rPr>
          <w:rFonts w:ascii="Arial" w:hAnsi="Arial" w:cs="Arial"/>
          <w:bCs/>
          <w:sz w:val="24"/>
          <w:szCs w:val="24"/>
          <w:lang w:eastAsia="es-ES"/>
        </w:rPr>
        <w:t xml:space="preserve">delitos como el feminicidio </w:t>
      </w:r>
      <w:r w:rsidRPr="008B52BD">
        <w:rPr>
          <w:rFonts w:ascii="Arial" w:hAnsi="Arial" w:cs="Arial"/>
          <w:bCs/>
          <w:sz w:val="24"/>
          <w:szCs w:val="24"/>
          <w:lang w:eastAsia="es-ES"/>
        </w:rPr>
        <w:t>no puede</w:t>
      </w:r>
      <w:r w:rsidR="00561C4A" w:rsidRPr="008B52BD">
        <w:rPr>
          <w:rFonts w:ascii="Arial" w:hAnsi="Arial" w:cs="Arial"/>
          <w:bCs/>
          <w:sz w:val="24"/>
          <w:szCs w:val="24"/>
          <w:lang w:eastAsia="es-ES"/>
        </w:rPr>
        <w:t>n</w:t>
      </w:r>
      <w:r w:rsidRPr="008B52BD">
        <w:rPr>
          <w:rFonts w:ascii="Arial" w:hAnsi="Arial" w:cs="Arial"/>
          <w:bCs/>
          <w:sz w:val="24"/>
          <w:szCs w:val="24"/>
          <w:lang w:eastAsia="es-ES"/>
        </w:rPr>
        <w:t xml:space="preserve"> asociarse</w:t>
      </w:r>
      <w:r w:rsidR="00D34457">
        <w:rPr>
          <w:rFonts w:ascii="Arial" w:hAnsi="Arial" w:cs="Arial"/>
          <w:bCs/>
          <w:sz w:val="24"/>
          <w:szCs w:val="24"/>
          <w:lang w:eastAsia="es-ES"/>
        </w:rPr>
        <w:t xml:space="preserve"> </w:t>
      </w:r>
      <w:r w:rsidRPr="008B52BD">
        <w:rPr>
          <w:rFonts w:ascii="Arial" w:hAnsi="Arial" w:cs="Arial"/>
          <w:bCs/>
          <w:sz w:val="24"/>
          <w:szCs w:val="24"/>
          <w:lang w:eastAsia="es-ES"/>
        </w:rPr>
        <w:t>con el universo de homicidios cometidos contra personas del sexo femenino,</w:t>
      </w:r>
      <w:r w:rsidR="00D34457">
        <w:rPr>
          <w:rFonts w:ascii="Arial" w:hAnsi="Arial" w:cs="Arial"/>
          <w:bCs/>
          <w:sz w:val="24"/>
          <w:szCs w:val="24"/>
          <w:lang w:eastAsia="es-ES"/>
        </w:rPr>
        <w:t xml:space="preserve"> pues </w:t>
      </w:r>
      <w:r w:rsidR="00561C4A" w:rsidRPr="008B52BD">
        <w:rPr>
          <w:rFonts w:ascii="Arial" w:hAnsi="Arial" w:cs="Arial"/>
          <w:bCs/>
          <w:sz w:val="24"/>
          <w:szCs w:val="24"/>
          <w:lang w:eastAsia="es-ES"/>
        </w:rPr>
        <w:t xml:space="preserve">esa </w:t>
      </w:r>
      <w:r w:rsidRPr="008B52BD">
        <w:rPr>
          <w:rFonts w:ascii="Arial" w:hAnsi="Arial" w:cs="Arial"/>
          <w:bCs/>
          <w:sz w:val="24"/>
          <w:szCs w:val="24"/>
          <w:lang w:eastAsia="es-ES"/>
        </w:rPr>
        <w:t>calificación sol</w:t>
      </w:r>
      <w:r w:rsidR="00D34457">
        <w:rPr>
          <w:rFonts w:ascii="Arial" w:hAnsi="Arial" w:cs="Arial"/>
          <w:bCs/>
          <w:sz w:val="24"/>
          <w:szCs w:val="24"/>
          <w:lang w:eastAsia="es-ES"/>
        </w:rPr>
        <w:t xml:space="preserve">o compete a </w:t>
      </w:r>
      <w:r w:rsidRPr="008B52BD">
        <w:rPr>
          <w:rFonts w:ascii="Arial" w:hAnsi="Arial" w:cs="Arial"/>
          <w:bCs/>
          <w:sz w:val="24"/>
          <w:szCs w:val="24"/>
          <w:lang w:eastAsia="es-ES"/>
        </w:rPr>
        <w:t>las autoridades de justicia penal.</w:t>
      </w:r>
    </w:p>
    <w:p w14:paraId="11FF4910" w14:textId="77777777" w:rsidR="006B0436" w:rsidRPr="008B52BD" w:rsidRDefault="006B0436" w:rsidP="008B52BD">
      <w:pPr>
        <w:spacing w:after="0" w:line="240" w:lineRule="auto"/>
        <w:ind w:left="-567" w:right="-142"/>
        <w:jc w:val="both"/>
        <w:rPr>
          <w:rFonts w:ascii="Arial" w:hAnsi="Arial" w:cs="Arial"/>
          <w:bCs/>
          <w:sz w:val="24"/>
          <w:szCs w:val="24"/>
          <w:lang w:eastAsia="es-ES"/>
        </w:rPr>
      </w:pPr>
    </w:p>
    <w:p w14:paraId="431C7948" w14:textId="4EB00237" w:rsidR="00023B9D" w:rsidRDefault="00953B46" w:rsidP="006B0436">
      <w:pPr>
        <w:spacing w:after="0" w:line="240" w:lineRule="auto"/>
        <w:ind w:left="-567" w:right="-142"/>
        <w:jc w:val="both"/>
        <w:rPr>
          <w:rFonts w:ascii="Arial" w:hAnsi="Arial" w:cs="Arial"/>
          <w:bCs/>
          <w:sz w:val="24"/>
          <w:szCs w:val="24"/>
        </w:rPr>
      </w:pPr>
      <w:r w:rsidRPr="008B52BD">
        <w:rPr>
          <w:rFonts w:ascii="Arial" w:hAnsi="Arial" w:cs="Arial"/>
          <w:bCs/>
          <w:sz w:val="24"/>
          <w:szCs w:val="24"/>
          <w:lang w:eastAsia="es-ES"/>
        </w:rPr>
        <w:t xml:space="preserve">Para </w:t>
      </w:r>
      <w:r w:rsidR="00846EDC" w:rsidRPr="008B52BD">
        <w:rPr>
          <w:rFonts w:ascii="Arial" w:hAnsi="Arial" w:cs="Arial"/>
          <w:bCs/>
          <w:sz w:val="24"/>
          <w:szCs w:val="24"/>
          <w:lang w:eastAsia="es-ES"/>
        </w:rPr>
        <w:t>identificar los</w:t>
      </w:r>
      <w:r w:rsidRPr="008B52BD">
        <w:rPr>
          <w:rFonts w:ascii="Arial" w:hAnsi="Arial" w:cs="Arial"/>
          <w:bCs/>
          <w:sz w:val="24"/>
          <w:szCs w:val="24"/>
          <w:lang w:eastAsia="es-ES"/>
        </w:rPr>
        <w:t xml:space="preserve"> </w:t>
      </w:r>
      <w:r w:rsidR="00023B9D" w:rsidRPr="008B52BD">
        <w:rPr>
          <w:rFonts w:ascii="Arial" w:hAnsi="Arial" w:cs="Arial"/>
          <w:bCs/>
          <w:sz w:val="24"/>
          <w:szCs w:val="24"/>
          <w:lang w:eastAsia="es-ES"/>
        </w:rPr>
        <w:t>homicidio</w:t>
      </w:r>
      <w:r w:rsidRPr="008B52BD">
        <w:rPr>
          <w:rFonts w:ascii="Arial" w:hAnsi="Arial" w:cs="Arial"/>
          <w:bCs/>
          <w:sz w:val="24"/>
          <w:szCs w:val="24"/>
          <w:lang w:eastAsia="es-ES"/>
        </w:rPr>
        <w:t>s</w:t>
      </w:r>
      <w:r w:rsidR="00D34457">
        <w:rPr>
          <w:rFonts w:ascii="Arial" w:hAnsi="Arial" w:cs="Arial"/>
          <w:bCs/>
          <w:sz w:val="24"/>
          <w:szCs w:val="24"/>
          <w:lang w:eastAsia="es-ES"/>
        </w:rPr>
        <w:t>,</w:t>
      </w:r>
      <w:r w:rsidRPr="008B52BD">
        <w:rPr>
          <w:rFonts w:ascii="Arial" w:hAnsi="Arial" w:cs="Arial"/>
          <w:bCs/>
          <w:sz w:val="24"/>
          <w:szCs w:val="24"/>
          <w:lang w:eastAsia="es-ES"/>
        </w:rPr>
        <w:t xml:space="preserve"> la </w:t>
      </w:r>
      <w:r w:rsidRPr="00397BF7">
        <w:rPr>
          <w:rFonts w:ascii="Arial" w:hAnsi="Arial" w:cs="Arial"/>
          <w:bCs/>
          <w:sz w:val="24"/>
          <w:szCs w:val="24"/>
          <w:lang w:eastAsia="es-ES"/>
        </w:rPr>
        <w:t>información registrada en los</w:t>
      </w:r>
      <w:r w:rsidR="00023B9D" w:rsidRPr="00397BF7">
        <w:rPr>
          <w:rFonts w:ascii="Arial" w:hAnsi="Arial" w:cs="Arial"/>
          <w:bCs/>
          <w:sz w:val="24"/>
          <w:szCs w:val="24"/>
          <w:lang w:eastAsia="es-ES"/>
        </w:rPr>
        <w:t xml:space="preserve"> certificado</w:t>
      </w:r>
      <w:r w:rsidRPr="00397BF7">
        <w:rPr>
          <w:rFonts w:ascii="Arial" w:hAnsi="Arial" w:cs="Arial"/>
          <w:bCs/>
          <w:sz w:val="24"/>
          <w:szCs w:val="24"/>
          <w:lang w:eastAsia="es-ES"/>
        </w:rPr>
        <w:t>s</w:t>
      </w:r>
      <w:r w:rsidR="00023B9D" w:rsidRPr="00397BF7">
        <w:rPr>
          <w:rFonts w:ascii="Arial" w:hAnsi="Arial" w:cs="Arial"/>
          <w:bCs/>
          <w:sz w:val="24"/>
          <w:szCs w:val="24"/>
          <w:lang w:eastAsia="es-ES"/>
        </w:rPr>
        <w:t xml:space="preserve"> </w:t>
      </w:r>
      <w:r w:rsidRPr="00397BF7">
        <w:rPr>
          <w:rFonts w:ascii="Arial" w:hAnsi="Arial" w:cs="Arial"/>
          <w:bCs/>
          <w:sz w:val="24"/>
          <w:szCs w:val="24"/>
          <w:lang w:eastAsia="es-ES"/>
        </w:rPr>
        <w:t xml:space="preserve">de defunción </w:t>
      </w:r>
      <w:r w:rsidR="00D34457" w:rsidRPr="00397BF7">
        <w:rPr>
          <w:rFonts w:ascii="Arial" w:hAnsi="Arial" w:cs="Arial"/>
          <w:bCs/>
          <w:sz w:val="24"/>
          <w:szCs w:val="24"/>
          <w:lang w:eastAsia="es-ES"/>
        </w:rPr>
        <w:t xml:space="preserve">debe corresponder </w:t>
      </w:r>
      <w:r w:rsidR="00871F9D" w:rsidRPr="00397BF7">
        <w:rPr>
          <w:rFonts w:ascii="Arial" w:hAnsi="Arial" w:cs="Arial"/>
          <w:bCs/>
          <w:sz w:val="24"/>
          <w:szCs w:val="24"/>
          <w:lang w:eastAsia="es-ES"/>
        </w:rPr>
        <w:t xml:space="preserve">a </w:t>
      </w:r>
      <w:r w:rsidR="00846EDC" w:rsidRPr="00397BF7">
        <w:rPr>
          <w:rFonts w:ascii="Arial" w:hAnsi="Arial" w:cs="Arial"/>
          <w:bCs/>
          <w:sz w:val="24"/>
          <w:szCs w:val="24"/>
          <w:lang w:eastAsia="es-ES"/>
        </w:rPr>
        <w:t xml:space="preserve">una causa básica de defunción </w:t>
      </w:r>
      <w:r w:rsidR="00023B9D" w:rsidRPr="00397BF7">
        <w:rPr>
          <w:rFonts w:ascii="Arial" w:hAnsi="Arial" w:cs="Arial"/>
          <w:bCs/>
          <w:sz w:val="24"/>
          <w:szCs w:val="24"/>
          <w:lang w:eastAsia="es-ES"/>
        </w:rPr>
        <w:t>en</w:t>
      </w:r>
      <w:r w:rsidR="00846EDC" w:rsidRPr="00397BF7">
        <w:rPr>
          <w:rFonts w:ascii="Arial" w:hAnsi="Arial" w:cs="Arial"/>
          <w:bCs/>
          <w:sz w:val="24"/>
          <w:szCs w:val="24"/>
          <w:lang w:eastAsia="es-ES"/>
        </w:rPr>
        <w:t xml:space="preserve"> el rango</w:t>
      </w:r>
      <w:r w:rsidR="00023B9D" w:rsidRPr="00397BF7">
        <w:rPr>
          <w:rFonts w:ascii="Arial" w:hAnsi="Arial" w:cs="Arial"/>
          <w:bCs/>
          <w:sz w:val="24"/>
          <w:szCs w:val="24"/>
          <w:lang w:eastAsia="es-ES"/>
        </w:rPr>
        <w:t xml:space="preserve"> </w:t>
      </w:r>
      <w:r w:rsidR="00846EDC" w:rsidRPr="00397BF7">
        <w:rPr>
          <w:rFonts w:ascii="Arial" w:hAnsi="Arial" w:cs="Arial"/>
          <w:bCs/>
          <w:sz w:val="24"/>
          <w:szCs w:val="24"/>
          <w:lang w:eastAsia="es-ES"/>
        </w:rPr>
        <w:t>de</w:t>
      </w:r>
      <w:r w:rsidR="00023B9D" w:rsidRPr="00397BF7">
        <w:rPr>
          <w:rFonts w:ascii="Arial" w:hAnsi="Arial" w:cs="Arial"/>
          <w:bCs/>
          <w:sz w:val="24"/>
          <w:szCs w:val="24"/>
          <w:lang w:eastAsia="es-ES"/>
        </w:rPr>
        <w:t xml:space="preserve"> códigos X85-Y09 de la CIE-10.</w:t>
      </w:r>
      <w:r w:rsidR="00D02FFF" w:rsidRPr="00397BF7">
        <w:rPr>
          <w:rFonts w:ascii="Arial" w:hAnsi="Arial" w:cs="Arial"/>
          <w:bCs/>
          <w:sz w:val="24"/>
          <w:szCs w:val="24"/>
          <w:lang w:eastAsia="es-ES"/>
        </w:rPr>
        <w:t xml:space="preserve"> El INEGI publicará </w:t>
      </w:r>
      <w:r w:rsidR="00BB4A7A" w:rsidRPr="00397BF7">
        <w:rPr>
          <w:rFonts w:ascii="Arial" w:hAnsi="Arial" w:cs="Arial"/>
          <w:bCs/>
          <w:sz w:val="24"/>
          <w:szCs w:val="24"/>
          <w:lang w:eastAsia="es-ES"/>
        </w:rPr>
        <w:t xml:space="preserve">la información preliminar anual </w:t>
      </w:r>
      <w:r w:rsidR="0000138E" w:rsidRPr="00397BF7">
        <w:rPr>
          <w:rFonts w:ascii="Arial" w:hAnsi="Arial" w:cs="Arial"/>
          <w:bCs/>
          <w:sz w:val="24"/>
          <w:szCs w:val="24"/>
          <w:lang w:eastAsia="es-ES"/>
        </w:rPr>
        <w:t>e</w:t>
      </w:r>
      <w:r w:rsidR="00BB4A7A" w:rsidRPr="00397BF7">
        <w:rPr>
          <w:rFonts w:ascii="Arial" w:hAnsi="Arial" w:cs="Arial"/>
          <w:bCs/>
          <w:sz w:val="24"/>
          <w:szCs w:val="24"/>
          <w:lang w:eastAsia="es-ES"/>
        </w:rPr>
        <w:t>l 25</w:t>
      </w:r>
      <w:r w:rsidR="0000138E" w:rsidRPr="00397BF7">
        <w:rPr>
          <w:rFonts w:ascii="Arial" w:hAnsi="Arial" w:cs="Arial"/>
          <w:bCs/>
          <w:sz w:val="24"/>
          <w:szCs w:val="24"/>
          <w:lang w:eastAsia="es-ES"/>
        </w:rPr>
        <w:t xml:space="preserve"> </w:t>
      </w:r>
      <w:r w:rsidR="00E82A67" w:rsidRPr="00397BF7">
        <w:rPr>
          <w:rFonts w:ascii="Arial" w:hAnsi="Arial" w:cs="Arial"/>
          <w:bCs/>
          <w:sz w:val="24"/>
          <w:szCs w:val="24"/>
          <w:lang w:eastAsia="es-ES"/>
        </w:rPr>
        <w:t xml:space="preserve">de </w:t>
      </w:r>
      <w:r w:rsidR="0000138E" w:rsidRPr="00397BF7">
        <w:rPr>
          <w:rFonts w:ascii="Arial" w:hAnsi="Arial" w:cs="Arial"/>
          <w:bCs/>
          <w:sz w:val="24"/>
          <w:szCs w:val="24"/>
          <w:lang w:eastAsia="es-ES"/>
        </w:rPr>
        <w:t>julio</w:t>
      </w:r>
      <w:r w:rsidR="00D02FFF" w:rsidRPr="00397BF7">
        <w:rPr>
          <w:rFonts w:ascii="Arial" w:hAnsi="Arial" w:cs="Arial"/>
          <w:bCs/>
          <w:sz w:val="24"/>
          <w:szCs w:val="24"/>
          <w:lang w:eastAsia="es-ES"/>
        </w:rPr>
        <w:t xml:space="preserve"> </w:t>
      </w:r>
      <w:r w:rsidR="0000138E" w:rsidRPr="00397BF7">
        <w:rPr>
          <w:rFonts w:ascii="Arial" w:hAnsi="Arial" w:cs="Arial"/>
          <w:bCs/>
          <w:sz w:val="24"/>
          <w:szCs w:val="24"/>
          <w:lang w:eastAsia="es-ES"/>
        </w:rPr>
        <w:t>de 20</w:t>
      </w:r>
      <w:r w:rsidR="0009342E" w:rsidRPr="00397BF7">
        <w:rPr>
          <w:rFonts w:ascii="Arial" w:hAnsi="Arial" w:cs="Arial"/>
          <w:bCs/>
          <w:sz w:val="24"/>
          <w:szCs w:val="24"/>
          <w:lang w:eastAsia="es-ES"/>
        </w:rPr>
        <w:t>2</w:t>
      </w:r>
      <w:r w:rsidR="00BB4A7A" w:rsidRPr="00397BF7">
        <w:rPr>
          <w:rFonts w:ascii="Arial" w:hAnsi="Arial" w:cs="Arial"/>
          <w:bCs/>
          <w:sz w:val="24"/>
          <w:szCs w:val="24"/>
          <w:lang w:eastAsia="es-ES"/>
        </w:rPr>
        <w:t>3</w:t>
      </w:r>
      <w:r w:rsidR="0000138E" w:rsidRPr="00397BF7">
        <w:rPr>
          <w:rFonts w:ascii="Arial" w:hAnsi="Arial" w:cs="Arial"/>
          <w:bCs/>
          <w:sz w:val="24"/>
          <w:szCs w:val="24"/>
          <w:lang w:eastAsia="es-ES"/>
        </w:rPr>
        <w:t xml:space="preserve"> y</w:t>
      </w:r>
      <w:r w:rsidR="00D34457" w:rsidRPr="00397BF7">
        <w:rPr>
          <w:rFonts w:ascii="Arial" w:hAnsi="Arial" w:cs="Arial"/>
          <w:bCs/>
          <w:sz w:val="24"/>
          <w:szCs w:val="24"/>
          <w:lang w:eastAsia="es-ES"/>
        </w:rPr>
        <w:t>,</w:t>
      </w:r>
      <w:r w:rsidR="0000138E" w:rsidRPr="00397BF7">
        <w:rPr>
          <w:rFonts w:ascii="Arial" w:hAnsi="Arial" w:cs="Arial"/>
          <w:bCs/>
          <w:sz w:val="24"/>
          <w:szCs w:val="24"/>
          <w:lang w:eastAsia="es-ES"/>
        </w:rPr>
        <w:t xml:space="preserve"> </w:t>
      </w:r>
      <w:r w:rsidR="00BB4A7A" w:rsidRPr="00397BF7">
        <w:rPr>
          <w:rFonts w:ascii="Arial" w:hAnsi="Arial" w:cs="Arial"/>
          <w:bCs/>
          <w:sz w:val="24"/>
          <w:szCs w:val="24"/>
          <w:lang w:eastAsia="es-ES"/>
        </w:rPr>
        <w:t>el 31 de</w:t>
      </w:r>
      <w:r w:rsidR="0000138E" w:rsidRPr="00397BF7">
        <w:rPr>
          <w:rFonts w:ascii="Arial" w:hAnsi="Arial" w:cs="Arial"/>
          <w:bCs/>
          <w:sz w:val="24"/>
          <w:szCs w:val="24"/>
          <w:lang w:eastAsia="es-ES"/>
        </w:rPr>
        <w:t xml:space="preserve"> octubre del mismo año,</w:t>
      </w:r>
      <w:r w:rsidR="00D34457" w:rsidRPr="00397BF7">
        <w:rPr>
          <w:rFonts w:ascii="Arial" w:hAnsi="Arial" w:cs="Arial"/>
          <w:bCs/>
          <w:sz w:val="24"/>
          <w:szCs w:val="24"/>
          <w:lang w:eastAsia="es-ES"/>
        </w:rPr>
        <w:t xml:space="preserve"> dará a conocer la e</w:t>
      </w:r>
      <w:r w:rsidR="00D02FFF" w:rsidRPr="00397BF7">
        <w:rPr>
          <w:rFonts w:ascii="Arial" w:hAnsi="Arial" w:cs="Arial"/>
          <w:bCs/>
          <w:sz w:val="24"/>
          <w:szCs w:val="24"/>
          <w:lang w:eastAsia="es-ES"/>
        </w:rPr>
        <w:t xml:space="preserve">stadística definitiva de defunciones </w:t>
      </w:r>
      <w:r w:rsidR="003546C6" w:rsidRPr="00397BF7">
        <w:rPr>
          <w:rFonts w:ascii="Arial" w:hAnsi="Arial" w:cs="Arial"/>
          <w:bCs/>
          <w:sz w:val="24"/>
          <w:szCs w:val="24"/>
          <w:lang w:eastAsia="es-ES"/>
        </w:rPr>
        <w:t xml:space="preserve">registradas </w:t>
      </w:r>
      <w:r w:rsidR="00D02FFF" w:rsidRPr="00397BF7">
        <w:rPr>
          <w:rFonts w:ascii="Arial" w:hAnsi="Arial" w:cs="Arial"/>
          <w:bCs/>
          <w:sz w:val="24"/>
          <w:szCs w:val="24"/>
          <w:lang w:eastAsia="es-ES"/>
        </w:rPr>
        <w:t>por homicidio</w:t>
      </w:r>
      <w:r w:rsidR="00D34457" w:rsidRPr="00397BF7">
        <w:rPr>
          <w:rFonts w:ascii="Arial" w:hAnsi="Arial" w:cs="Arial"/>
          <w:bCs/>
          <w:sz w:val="24"/>
          <w:szCs w:val="24"/>
          <w:lang w:eastAsia="es-ES"/>
        </w:rPr>
        <w:t xml:space="preserve">. La </w:t>
      </w:r>
      <w:r w:rsidR="007F0EF1" w:rsidRPr="00397BF7">
        <w:rPr>
          <w:rFonts w:ascii="Arial" w:hAnsi="Arial" w:cs="Arial"/>
          <w:bCs/>
          <w:sz w:val="24"/>
          <w:szCs w:val="24"/>
        </w:rPr>
        <w:t xml:space="preserve">estadística preliminar semestral </w:t>
      </w:r>
      <w:r w:rsidR="00D34457" w:rsidRPr="00397BF7">
        <w:rPr>
          <w:rFonts w:ascii="Arial" w:hAnsi="Arial" w:cs="Arial"/>
          <w:bCs/>
          <w:sz w:val="24"/>
          <w:szCs w:val="24"/>
        </w:rPr>
        <w:t xml:space="preserve">está sujeta </w:t>
      </w:r>
      <w:r w:rsidR="00BB4A7A" w:rsidRPr="00397BF7">
        <w:rPr>
          <w:rFonts w:ascii="Arial" w:hAnsi="Arial" w:cs="Arial"/>
          <w:bCs/>
          <w:sz w:val="24"/>
          <w:szCs w:val="24"/>
          <w:lang w:eastAsia="es-ES"/>
        </w:rPr>
        <w:t>a modificaciones</w:t>
      </w:r>
      <w:r w:rsidR="00BB4A7A" w:rsidRPr="00397BF7">
        <w:rPr>
          <w:rFonts w:ascii="Arial" w:hAnsi="Arial" w:cs="Arial"/>
          <w:sz w:val="24"/>
          <w:szCs w:val="24"/>
        </w:rPr>
        <w:t xml:space="preserve"> </w:t>
      </w:r>
      <w:r w:rsidR="00BB4A7A" w:rsidRPr="00397BF7">
        <w:rPr>
          <w:rFonts w:ascii="Arial" w:hAnsi="Arial" w:cs="Arial"/>
          <w:bCs/>
          <w:sz w:val="24"/>
          <w:szCs w:val="24"/>
        </w:rPr>
        <w:t xml:space="preserve">y puede presentar diferencias con respecto a la </w:t>
      </w:r>
      <w:r w:rsidR="007F0EF1" w:rsidRPr="00397BF7">
        <w:rPr>
          <w:rFonts w:ascii="Arial" w:hAnsi="Arial" w:cs="Arial"/>
          <w:bCs/>
          <w:sz w:val="24"/>
          <w:szCs w:val="24"/>
        </w:rPr>
        <w:t xml:space="preserve">versión preliminar anual </w:t>
      </w:r>
      <w:r w:rsidR="00BB4A7A" w:rsidRPr="00397BF7">
        <w:rPr>
          <w:rFonts w:ascii="Arial" w:hAnsi="Arial" w:cs="Arial"/>
          <w:bCs/>
          <w:sz w:val="24"/>
          <w:szCs w:val="24"/>
        </w:rPr>
        <w:t>y a</w:t>
      </w:r>
      <w:r w:rsidR="007F0EF1" w:rsidRPr="00397BF7">
        <w:rPr>
          <w:rFonts w:ascii="Arial" w:hAnsi="Arial" w:cs="Arial"/>
          <w:bCs/>
          <w:sz w:val="24"/>
          <w:szCs w:val="24"/>
        </w:rPr>
        <w:t xml:space="preserve"> la versión definitiva anual</w:t>
      </w:r>
      <w:r w:rsidR="00D34457" w:rsidRPr="00397BF7">
        <w:rPr>
          <w:rFonts w:ascii="Arial" w:hAnsi="Arial" w:cs="Arial"/>
          <w:bCs/>
          <w:sz w:val="24"/>
          <w:szCs w:val="24"/>
        </w:rPr>
        <w:t>. Considérese lo anterior para su uso.</w:t>
      </w:r>
    </w:p>
    <w:p w14:paraId="64C02592" w14:textId="77777777" w:rsidR="00F56423" w:rsidRPr="008B52BD" w:rsidRDefault="00F56423" w:rsidP="008B52BD">
      <w:pPr>
        <w:spacing w:after="0" w:line="240" w:lineRule="auto"/>
        <w:ind w:left="-567" w:right="-142"/>
        <w:jc w:val="both"/>
        <w:rPr>
          <w:rFonts w:ascii="Arial" w:hAnsi="Arial" w:cs="Arial"/>
          <w:bCs/>
          <w:sz w:val="24"/>
          <w:szCs w:val="24"/>
          <w:lang w:eastAsia="es-ES"/>
        </w:rPr>
      </w:pPr>
    </w:p>
    <w:p w14:paraId="36658E82" w14:textId="5151C9CD" w:rsidR="00984132" w:rsidRPr="008B52BD" w:rsidRDefault="008D469F" w:rsidP="008B52BD">
      <w:pPr>
        <w:spacing w:after="0" w:line="240" w:lineRule="auto"/>
        <w:ind w:left="-567" w:right="-142"/>
        <w:jc w:val="both"/>
        <w:rPr>
          <w:rFonts w:ascii="Arial" w:hAnsi="Arial" w:cs="Arial"/>
          <w:bCs/>
          <w:sz w:val="24"/>
          <w:szCs w:val="24"/>
          <w:lang w:eastAsia="es-ES"/>
        </w:rPr>
      </w:pPr>
      <w:r w:rsidRPr="008B52BD">
        <w:rPr>
          <w:rFonts w:ascii="Arial" w:hAnsi="Arial" w:cs="Arial"/>
          <w:bCs/>
          <w:sz w:val="24"/>
          <w:szCs w:val="24"/>
          <w:lang w:eastAsia="es-ES"/>
        </w:rPr>
        <w:t xml:space="preserve">Para el cálculo de las tasas de homicidios por cada </w:t>
      </w:r>
      <w:r w:rsidR="00F56423">
        <w:rPr>
          <w:rFonts w:ascii="Arial" w:hAnsi="Arial" w:cs="Arial"/>
          <w:bCs/>
          <w:sz w:val="24"/>
          <w:szCs w:val="24"/>
          <w:lang w:eastAsia="es-ES"/>
        </w:rPr>
        <w:t>100</w:t>
      </w:r>
      <w:r w:rsidRPr="008B52BD">
        <w:rPr>
          <w:rFonts w:ascii="Arial" w:hAnsi="Arial" w:cs="Arial"/>
          <w:bCs/>
          <w:sz w:val="24"/>
          <w:szCs w:val="24"/>
          <w:lang w:eastAsia="es-ES"/>
        </w:rPr>
        <w:t xml:space="preserve"> mil habitantes </w:t>
      </w:r>
      <w:r w:rsidR="00E74B5F" w:rsidRPr="008B52BD">
        <w:rPr>
          <w:rFonts w:ascii="Arial" w:hAnsi="Arial" w:cs="Arial"/>
          <w:bCs/>
          <w:sz w:val="24"/>
          <w:szCs w:val="24"/>
          <w:lang w:eastAsia="es-ES"/>
        </w:rPr>
        <w:t xml:space="preserve">de 1990 a 2019, </w:t>
      </w:r>
      <w:r w:rsidRPr="008B52BD">
        <w:rPr>
          <w:rFonts w:ascii="Arial" w:hAnsi="Arial" w:cs="Arial"/>
          <w:bCs/>
          <w:sz w:val="24"/>
          <w:szCs w:val="24"/>
          <w:lang w:eastAsia="es-ES"/>
        </w:rPr>
        <w:t xml:space="preserve">se utilizaron los datos publicados por el Consejo Nacional de Población (CONAPO) referentes a las </w:t>
      </w:r>
      <w:r w:rsidR="00F56423" w:rsidRPr="008B52B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«</w:t>
      </w:r>
      <w:r w:rsidRPr="008B52BD">
        <w:rPr>
          <w:rFonts w:ascii="Arial" w:hAnsi="Arial" w:cs="Arial"/>
          <w:bCs/>
          <w:color w:val="000000" w:themeColor="text1"/>
          <w:sz w:val="24"/>
          <w:szCs w:val="24"/>
          <w:lang w:eastAsia="es-ES"/>
        </w:rPr>
        <w:t>Proyecciones de la Población de México y de las Entidades Federativas, 2016-2050</w:t>
      </w:r>
      <w:r w:rsidR="00F56423" w:rsidRPr="008B52B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»</w:t>
      </w:r>
      <w:r w:rsidRPr="008B52BD">
        <w:rPr>
          <w:rFonts w:ascii="Arial" w:hAnsi="Arial" w:cs="Arial"/>
          <w:bCs/>
          <w:color w:val="000000" w:themeColor="text1"/>
          <w:sz w:val="24"/>
          <w:szCs w:val="24"/>
          <w:lang w:eastAsia="es-ES"/>
        </w:rPr>
        <w:t xml:space="preserve"> y a la </w:t>
      </w:r>
      <w:r w:rsidR="00F56423" w:rsidRPr="008B52B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«</w:t>
      </w:r>
      <w:r w:rsidRPr="008B52BD">
        <w:rPr>
          <w:rFonts w:ascii="Arial" w:hAnsi="Arial" w:cs="Arial"/>
          <w:bCs/>
          <w:color w:val="000000" w:themeColor="text1"/>
          <w:sz w:val="24"/>
          <w:szCs w:val="24"/>
          <w:lang w:eastAsia="es-ES"/>
        </w:rPr>
        <w:t>Conciliación Demográfica de México, 1950-2015</w:t>
      </w:r>
      <w:r w:rsidR="00F56423" w:rsidRPr="008B52B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»</w:t>
      </w:r>
      <w:r w:rsidRPr="008B52BD">
        <w:rPr>
          <w:rFonts w:ascii="Arial" w:hAnsi="Arial" w:cs="Arial"/>
          <w:bCs/>
          <w:color w:val="000000" w:themeColor="text1"/>
          <w:sz w:val="24"/>
          <w:szCs w:val="24"/>
          <w:lang w:eastAsia="es-ES"/>
        </w:rPr>
        <w:t xml:space="preserve">. </w:t>
      </w:r>
      <w:r w:rsidRPr="008B52BD">
        <w:rPr>
          <w:rFonts w:ascii="Arial" w:hAnsi="Arial" w:cs="Arial"/>
          <w:bCs/>
          <w:sz w:val="24"/>
          <w:szCs w:val="24"/>
          <w:lang w:eastAsia="es-ES"/>
        </w:rPr>
        <w:t>Para el cálculo de la tasa de</w:t>
      </w:r>
      <w:r w:rsidR="00E74B5F" w:rsidRPr="008B52BD">
        <w:rPr>
          <w:rFonts w:ascii="Arial" w:hAnsi="Arial" w:cs="Arial"/>
          <w:bCs/>
          <w:sz w:val="24"/>
          <w:szCs w:val="24"/>
          <w:lang w:eastAsia="es-ES"/>
        </w:rPr>
        <w:t xml:space="preserve"> </w:t>
      </w:r>
      <w:r w:rsidRPr="008B52BD">
        <w:rPr>
          <w:rFonts w:ascii="Arial" w:hAnsi="Arial" w:cs="Arial"/>
          <w:bCs/>
          <w:sz w:val="24"/>
          <w:szCs w:val="24"/>
          <w:lang w:eastAsia="es-ES"/>
        </w:rPr>
        <w:t>l</w:t>
      </w:r>
      <w:r w:rsidR="00E74B5F" w:rsidRPr="008B52BD">
        <w:rPr>
          <w:rFonts w:ascii="Arial" w:hAnsi="Arial" w:cs="Arial"/>
          <w:bCs/>
          <w:sz w:val="24"/>
          <w:szCs w:val="24"/>
          <w:lang w:eastAsia="es-ES"/>
        </w:rPr>
        <w:t>os</w:t>
      </w:r>
      <w:r w:rsidRPr="008B52BD">
        <w:rPr>
          <w:rFonts w:ascii="Arial" w:hAnsi="Arial" w:cs="Arial"/>
          <w:bCs/>
          <w:sz w:val="24"/>
          <w:szCs w:val="24"/>
          <w:lang w:eastAsia="es-ES"/>
        </w:rPr>
        <w:t xml:space="preserve"> año</w:t>
      </w:r>
      <w:r w:rsidR="00E74B5F" w:rsidRPr="008B52BD">
        <w:rPr>
          <w:rFonts w:ascii="Arial" w:hAnsi="Arial" w:cs="Arial"/>
          <w:bCs/>
          <w:sz w:val="24"/>
          <w:szCs w:val="24"/>
          <w:lang w:eastAsia="es-ES"/>
        </w:rPr>
        <w:t>s</w:t>
      </w:r>
      <w:r w:rsidRPr="008B52BD">
        <w:rPr>
          <w:rFonts w:ascii="Arial" w:hAnsi="Arial" w:cs="Arial"/>
          <w:bCs/>
          <w:sz w:val="24"/>
          <w:szCs w:val="24"/>
          <w:lang w:eastAsia="es-ES"/>
        </w:rPr>
        <w:t xml:space="preserve"> 2020-2022, se utilizaron las estimaciones de población </w:t>
      </w:r>
      <w:r w:rsidR="00D34457">
        <w:rPr>
          <w:rFonts w:ascii="Arial" w:hAnsi="Arial" w:cs="Arial"/>
          <w:bCs/>
          <w:sz w:val="24"/>
          <w:szCs w:val="24"/>
          <w:lang w:eastAsia="es-ES"/>
        </w:rPr>
        <w:t xml:space="preserve">que elaboró </w:t>
      </w:r>
      <w:r w:rsidRPr="008B52BD">
        <w:rPr>
          <w:rFonts w:ascii="Arial" w:hAnsi="Arial" w:cs="Arial"/>
          <w:bCs/>
          <w:sz w:val="24"/>
          <w:szCs w:val="24"/>
          <w:lang w:eastAsia="es-ES"/>
        </w:rPr>
        <w:t>el INEGI con base en el Marco de Muestreo de Viviendas</w:t>
      </w:r>
      <w:r w:rsidR="00113249" w:rsidRPr="008B52BD">
        <w:rPr>
          <w:rFonts w:ascii="Arial" w:hAnsi="Arial" w:cs="Arial"/>
          <w:sz w:val="24"/>
          <w:szCs w:val="24"/>
        </w:rPr>
        <w:t xml:space="preserve"> </w:t>
      </w:r>
      <w:r w:rsidR="00113249" w:rsidRPr="008B52BD">
        <w:rPr>
          <w:rFonts w:ascii="Arial" w:hAnsi="Arial" w:cs="Arial"/>
          <w:bCs/>
          <w:sz w:val="24"/>
          <w:szCs w:val="24"/>
          <w:lang w:eastAsia="es-ES"/>
        </w:rPr>
        <w:t>con referencia al 31 de marzo</w:t>
      </w:r>
      <w:r w:rsidRPr="008B52BD">
        <w:rPr>
          <w:rFonts w:ascii="Arial" w:hAnsi="Arial" w:cs="Arial"/>
          <w:bCs/>
          <w:sz w:val="24"/>
          <w:szCs w:val="24"/>
          <w:lang w:eastAsia="es-ES"/>
        </w:rPr>
        <w:t>.</w:t>
      </w:r>
    </w:p>
    <w:p w14:paraId="7118D269" w14:textId="7FAA993A" w:rsidR="00B61433" w:rsidRDefault="00B61433" w:rsidP="00054323">
      <w:pPr>
        <w:jc w:val="center"/>
        <w:rPr>
          <w:rFonts w:ascii="Arial" w:hAnsi="Arial"/>
          <w:b/>
          <w:bCs/>
          <w:color w:val="000000"/>
          <w:sz w:val="23"/>
          <w:szCs w:val="23"/>
          <w:lang w:eastAsia="es-ES"/>
        </w:rPr>
      </w:pPr>
    </w:p>
    <w:sectPr w:rsidR="00B61433" w:rsidSect="004B5311">
      <w:headerReference w:type="default" r:id="rId28"/>
      <w:type w:val="continuous"/>
      <w:pgSz w:w="12240" w:h="15840" w:code="1"/>
      <w:pgMar w:top="1803" w:right="1325" w:bottom="1134" w:left="1701" w:header="426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F1B7B" w14:textId="77777777" w:rsidR="009D21B1" w:rsidRDefault="009D21B1" w:rsidP="00897C5A">
      <w:pPr>
        <w:spacing w:after="0" w:line="240" w:lineRule="auto"/>
      </w:pPr>
      <w:r>
        <w:separator/>
      </w:r>
    </w:p>
  </w:endnote>
  <w:endnote w:type="continuationSeparator" w:id="0">
    <w:p w14:paraId="039C213A" w14:textId="77777777" w:rsidR="009D21B1" w:rsidRDefault="009D21B1" w:rsidP="0089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7A25F" w14:textId="77777777" w:rsidR="00C147E6" w:rsidRPr="007801C7" w:rsidRDefault="00C147E6" w:rsidP="007801C7">
    <w:pPr>
      <w:pStyle w:val="Piedepgina"/>
      <w:tabs>
        <w:tab w:val="left" w:pos="9356"/>
      </w:tabs>
      <w:ind w:left="-567" w:right="142"/>
      <w:jc w:val="center"/>
      <w:rPr>
        <w:rFonts w:ascii="Arial" w:hAnsi="Arial" w:cs="Arial"/>
        <w:b/>
        <w:color w:val="002060"/>
        <w:sz w:val="20"/>
        <w:szCs w:val="20"/>
      </w:rPr>
    </w:pPr>
    <w:r w:rsidRPr="007801C7">
      <w:rPr>
        <w:rFonts w:ascii="Arial" w:hAnsi="Arial" w:cs="Arial"/>
        <w:b/>
        <w:color w:val="002060"/>
        <w:sz w:val="20"/>
        <w:szCs w:val="20"/>
      </w:rPr>
      <w:t>COMUN</w:t>
    </w:r>
    <w:r>
      <w:rPr>
        <w:rFonts w:ascii="Arial" w:hAnsi="Arial" w:cs="Arial"/>
        <w:b/>
        <w:color w:val="002060"/>
        <w:sz w:val="20"/>
        <w:szCs w:val="20"/>
      </w:rPr>
      <w:t>IC</w:t>
    </w:r>
    <w:r w:rsidRPr="007801C7">
      <w:rPr>
        <w:rFonts w:ascii="Arial" w:hAnsi="Arial" w:cs="Arial"/>
        <w:b/>
        <w:color w:val="002060"/>
        <w:sz w:val="20"/>
        <w:szCs w:val="20"/>
      </w:rPr>
      <w:t>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2AEC7" w14:textId="77777777" w:rsidR="009D21B1" w:rsidRDefault="009D21B1" w:rsidP="00897C5A">
      <w:pPr>
        <w:spacing w:after="0" w:line="240" w:lineRule="auto"/>
      </w:pPr>
      <w:r>
        <w:separator/>
      </w:r>
    </w:p>
  </w:footnote>
  <w:footnote w:type="continuationSeparator" w:id="0">
    <w:p w14:paraId="462C7F50" w14:textId="77777777" w:rsidR="009D21B1" w:rsidRDefault="009D21B1" w:rsidP="00897C5A">
      <w:pPr>
        <w:spacing w:after="0" w:line="240" w:lineRule="auto"/>
      </w:pPr>
      <w:r>
        <w:continuationSeparator/>
      </w:r>
    </w:p>
  </w:footnote>
  <w:footnote w:id="1">
    <w:p w14:paraId="2017D82E" w14:textId="77777777" w:rsidR="00B461E9" w:rsidRPr="00EA427E" w:rsidRDefault="00B461E9" w:rsidP="00023433">
      <w:pPr>
        <w:spacing w:after="0" w:line="240" w:lineRule="auto"/>
        <w:ind w:left="-426" w:right="425" w:hanging="141"/>
        <w:jc w:val="both"/>
        <w:rPr>
          <w:rFonts w:ascii="Arial" w:hAnsi="Arial" w:cs="Arial"/>
          <w:color w:val="000000"/>
          <w:sz w:val="16"/>
          <w:szCs w:val="16"/>
        </w:rPr>
      </w:pPr>
      <w:r w:rsidRPr="000423A2">
        <w:rPr>
          <w:rStyle w:val="Refdenotaalpie"/>
          <w:rFonts w:ascii="Arial" w:hAnsi="Arial" w:cs="Arial"/>
          <w:color w:val="000000"/>
          <w:sz w:val="14"/>
          <w:szCs w:val="14"/>
        </w:rPr>
        <w:footnoteRef/>
      </w:r>
      <w:r w:rsidRPr="000423A2"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ab/>
      </w:r>
      <w:r w:rsidRPr="00EA427E">
        <w:rPr>
          <w:rFonts w:ascii="Arial" w:hAnsi="Arial" w:cs="Arial"/>
          <w:color w:val="000000"/>
          <w:sz w:val="16"/>
          <w:szCs w:val="16"/>
        </w:rPr>
        <w:t>Cifras preliminares con corte al 16 de enero de 2023, debido a que aún no concluyen los procesos de generación de la estadística de defunciones registradas.</w:t>
      </w:r>
    </w:p>
  </w:footnote>
  <w:footnote w:id="2">
    <w:p w14:paraId="6CC65222" w14:textId="2D0A5D1D" w:rsidR="00C147E6" w:rsidRDefault="00C147E6" w:rsidP="00EE6F34">
      <w:pPr>
        <w:pStyle w:val="Default"/>
        <w:tabs>
          <w:tab w:val="left" w:pos="-426"/>
        </w:tabs>
        <w:ind w:left="-426" w:right="-142" w:hanging="141"/>
        <w:jc w:val="both"/>
      </w:pPr>
      <w:r w:rsidRPr="00EA427E">
        <w:rPr>
          <w:rStyle w:val="Refdenotaalpie"/>
          <w:sz w:val="16"/>
          <w:szCs w:val="16"/>
        </w:rPr>
        <w:footnoteRef/>
      </w:r>
      <w:r w:rsidRPr="00EA427E">
        <w:rPr>
          <w:sz w:val="16"/>
          <w:szCs w:val="16"/>
        </w:rPr>
        <w:t xml:space="preserve"> </w:t>
      </w:r>
      <w:r w:rsidRPr="00EA427E">
        <w:rPr>
          <w:sz w:val="16"/>
          <w:szCs w:val="16"/>
        </w:rPr>
        <w:tab/>
      </w:r>
      <w:r w:rsidRPr="00EA427E">
        <w:rPr>
          <w:rFonts w:eastAsia="Calibri"/>
          <w:sz w:val="16"/>
          <w:szCs w:val="16"/>
        </w:rPr>
        <w:t>Las estadísticas de homicidio que publica el INEGI se generan a partir de las causas de muerte que</w:t>
      </w:r>
      <w:r w:rsidR="003A51AF">
        <w:rPr>
          <w:rFonts w:eastAsia="Calibri"/>
          <w:sz w:val="16"/>
          <w:szCs w:val="16"/>
        </w:rPr>
        <w:t>,</w:t>
      </w:r>
      <w:r w:rsidRPr="00EA427E">
        <w:rPr>
          <w:rFonts w:eastAsia="Calibri"/>
          <w:sz w:val="16"/>
          <w:szCs w:val="16"/>
        </w:rPr>
        <w:t xml:space="preserve"> conforme a la CIE-10</w:t>
      </w:r>
      <w:r w:rsidR="003A51AF">
        <w:rPr>
          <w:rFonts w:eastAsia="Calibri"/>
          <w:sz w:val="16"/>
          <w:szCs w:val="16"/>
        </w:rPr>
        <w:t xml:space="preserve">, se identifican </w:t>
      </w:r>
      <w:r w:rsidRPr="00EA427E">
        <w:rPr>
          <w:rFonts w:eastAsia="Calibri"/>
          <w:sz w:val="16"/>
          <w:szCs w:val="16"/>
        </w:rPr>
        <w:t>como agresiones (homicidios) en el programa de las Estadísticas de Defunciones Registradas.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D257F" w14:textId="71723171" w:rsidR="00C147E6" w:rsidRPr="00AF4CA1" w:rsidRDefault="00C147E6" w:rsidP="00B2477D">
    <w:pPr>
      <w:pStyle w:val="Encabezado"/>
      <w:tabs>
        <w:tab w:val="clear" w:pos="4419"/>
        <w:tab w:val="clear" w:pos="8838"/>
      </w:tabs>
      <w:ind w:left="-567" w:right="425"/>
      <w:jc w:val="right"/>
      <w:rPr>
        <w:rFonts w:ascii="Arial" w:hAnsi="Arial" w:cs="Arial"/>
        <w:b/>
        <w:color w:val="002060"/>
        <w:sz w:val="24"/>
        <w:szCs w:val="24"/>
      </w:rPr>
    </w:pPr>
    <w:r w:rsidRPr="00B2477D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776" behindDoc="0" locked="0" layoutInCell="1" allowOverlap="1" wp14:anchorId="029DEA32" wp14:editId="296007CF">
          <wp:simplePos x="0" y="0"/>
          <wp:positionH relativeFrom="margin">
            <wp:posOffset>-342900</wp:posOffset>
          </wp:positionH>
          <wp:positionV relativeFrom="margin">
            <wp:posOffset>-697230</wp:posOffset>
          </wp:positionV>
          <wp:extent cx="701040" cy="730250"/>
          <wp:effectExtent l="0" t="0" r="0" b="0"/>
          <wp:wrapSquare wrapText="bothSides"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477D">
      <w:rPr>
        <w:rFonts w:ascii="Arial" w:hAnsi="Arial" w:cs="Arial"/>
        <w:b/>
        <w:color w:val="002060"/>
        <w:sz w:val="24"/>
        <w:szCs w:val="24"/>
      </w:rPr>
      <w:t>C</w:t>
    </w:r>
    <w:r w:rsidRPr="00AF4CA1">
      <w:rPr>
        <w:rFonts w:ascii="Arial" w:hAnsi="Arial" w:cs="Arial"/>
        <w:b/>
        <w:color w:val="002060"/>
        <w:sz w:val="24"/>
        <w:szCs w:val="24"/>
      </w:rPr>
      <w:t>OMUNICADO DE PRENSA NÚM</w:t>
    </w:r>
    <w:r>
      <w:rPr>
        <w:rFonts w:ascii="Arial" w:hAnsi="Arial" w:cs="Arial"/>
        <w:b/>
        <w:color w:val="002060"/>
        <w:sz w:val="24"/>
        <w:szCs w:val="24"/>
      </w:rPr>
      <w:t>. 2</w:t>
    </w:r>
    <w:r w:rsidR="00EE6F34">
      <w:rPr>
        <w:rFonts w:ascii="Arial" w:hAnsi="Arial" w:cs="Arial"/>
        <w:b/>
        <w:color w:val="002060"/>
        <w:sz w:val="24"/>
        <w:szCs w:val="24"/>
      </w:rPr>
      <w:t>7</w:t>
    </w:r>
    <w:r w:rsidRPr="006D0683">
      <w:rPr>
        <w:rFonts w:ascii="Arial" w:hAnsi="Arial" w:cs="Arial"/>
        <w:b/>
        <w:color w:val="002060"/>
        <w:sz w:val="24"/>
        <w:szCs w:val="24"/>
      </w:rPr>
      <w:t>/</w:t>
    </w:r>
    <w:r>
      <w:rPr>
        <w:rFonts w:ascii="Arial" w:hAnsi="Arial" w:cs="Arial"/>
        <w:b/>
        <w:color w:val="002060"/>
        <w:sz w:val="24"/>
        <w:szCs w:val="24"/>
      </w:rPr>
      <w:t>23</w:t>
    </w:r>
  </w:p>
  <w:p w14:paraId="49E44FFA" w14:textId="77777777" w:rsidR="00C147E6" w:rsidRPr="00AF4CA1" w:rsidRDefault="00C147E6" w:rsidP="00B2477D">
    <w:pPr>
      <w:pStyle w:val="Encabezado"/>
      <w:tabs>
        <w:tab w:val="clear" w:pos="4419"/>
        <w:tab w:val="clear" w:pos="8838"/>
      </w:tabs>
      <w:ind w:left="567" w:right="425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 xml:space="preserve">23 DE ENERO </w:t>
    </w:r>
    <w:r w:rsidRPr="00AF4CA1">
      <w:rPr>
        <w:rFonts w:ascii="Arial" w:hAnsi="Arial" w:cs="Arial"/>
        <w:b/>
        <w:color w:val="002060"/>
        <w:sz w:val="24"/>
        <w:szCs w:val="24"/>
        <w:lang w:val="pt-BR"/>
      </w:rPr>
      <w:t>DE 20</w:t>
    </w:r>
    <w:r>
      <w:rPr>
        <w:rFonts w:ascii="Arial" w:hAnsi="Arial" w:cs="Arial"/>
        <w:b/>
        <w:color w:val="002060"/>
        <w:sz w:val="24"/>
        <w:szCs w:val="24"/>
        <w:lang w:val="pt-BR"/>
      </w:rPr>
      <w:t>23</w:t>
    </w:r>
  </w:p>
  <w:p w14:paraId="56DD17AA" w14:textId="032DB89E" w:rsidR="00C147E6" w:rsidRPr="00C94368" w:rsidRDefault="00C147E6" w:rsidP="00C94368">
    <w:pPr>
      <w:pStyle w:val="Encabezado"/>
      <w:tabs>
        <w:tab w:val="clear" w:pos="4419"/>
        <w:tab w:val="clear" w:pos="8838"/>
      </w:tabs>
      <w:ind w:left="567" w:right="425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AF4CA1">
      <w:rPr>
        <w:rFonts w:ascii="Arial" w:hAnsi="Arial" w:cs="Arial"/>
        <w:b/>
        <w:color w:val="002060"/>
        <w:sz w:val="24"/>
        <w:szCs w:val="24"/>
        <w:lang w:val="pt-BR"/>
      </w:rPr>
      <w:t xml:space="preserve">PÁGINA </w:t>
    </w:r>
    <w:r w:rsidRPr="00AF4CA1">
      <w:rPr>
        <w:rFonts w:ascii="Arial" w:hAnsi="Arial" w:cs="Arial"/>
        <w:b/>
        <w:color w:val="002060"/>
        <w:sz w:val="24"/>
        <w:szCs w:val="24"/>
      </w:rPr>
      <w:fldChar w:fldCharType="begin"/>
    </w:r>
    <w:r w:rsidRPr="00AF4CA1">
      <w:rPr>
        <w:rFonts w:ascii="Arial" w:hAnsi="Arial" w:cs="Arial"/>
        <w:b/>
        <w:color w:val="002060"/>
        <w:sz w:val="24"/>
        <w:szCs w:val="24"/>
        <w:lang w:val="pt-BR"/>
      </w:rPr>
      <w:instrText xml:space="preserve">\PAGE </w:instrText>
    </w:r>
    <w:r w:rsidRPr="00AF4CA1">
      <w:rPr>
        <w:rFonts w:ascii="Arial" w:hAnsi="Arial" w:cs="Arial"/>
        <w:color w:val="002060"/>
        <w:sz w:val="24"/>
        <w:szCs w:val="24"/>
      </w:rPr>
      <w:fldChar w:fldCharType="separate"/>
    </w:r>
    <w:r w:rsidR="009C3BE0">
      <w:rPr>
        <w:rFonts w:ascii="Arial" w:hAnsi="Arial" w:cs="Arial"/>
        <w:b/>
        <w:noProof/>
        <w:color w:val="002060"/>
        <w:sz w:val="24"/>
        <w:szCs w:val="24"/>
        <w:lang w:val="pt-BR"/>
      </w:rPr>
      <w:t>8</w:t>
    </w:r>
    <w:r w:rsidRPr="00AF4CA1">
      <w:rPr>
        <w:rFonts w:ascii="Arial" w:hAnsi="Arial" w:cs="Arial"/>
        <w:color w:val="002060"/>
        <w:sz w:val="24"/>
        <w:szCs w:val="24"/>
      </w:rPr>
      <w:fldChar w:fldCharType="end"/>
    </w:r>
    <w:r w:rsidRPr="00AF4CA1">
      <w:rPr>
        <w:rFonts w:ascii="Arial" w:hAnsi="Arial" w:cs="Arial"/>
        <w:b/>
        <w:color w:val="002060"/>
        <w:sz w:val="24"/>
        <w:szCs w:val="24"/>
        <w:lang w:val="pt-BR"/>
      </w:rPr>
      <w:t>/</w:t>
    </w:r>
    <w:r>
      <w:rPr>
        <w:rFonts w:ascii="Arial" w:hAnsi="Arial" w:cs="Arial"/>
        <w:b/>
        <w:color w:val="002060"/>
        <w:sz w:val="24"/>
        <w:szCs w:val="24"/>
        <w:lang w:val="pt-BR"/>
      </w:rPr>
      <w:t>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051ED" w14:textId="714D0E8E" w:rsidR="00B461E9" w:rsidRPr="009615F8" w:rsidRDefault="00B461E9" w:rsidP="004B5311">
    <w:pPr>
      <w:pStyle w:val="Default"/>
      <w:spacing w:after="120"/>
      <w:ind w:left="-284" w:right="425"/>
      <w:jc w:val="center"/>
    </w:pPr>
    <w:r>
      <w:rPr>
        <w:noProof/>
      </w:rPr>
      <w:drawing>
        <wp:inline distT="0" distB="0" distL="0" distR="0" wp14:anchorId="16E87D95" wp14:editId="0BEBD4BD">
          <wp:extent cx="737235" cy="76708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3DAC"/>
    <w:multiLevelType w:val="hybridMultilevel"/>
    <w:tmpl w:val="7AE4112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0CD4685"/>
    <w:multiLevelType w:val="hybridMultilevel"/>
    <w:tmpl w:val="35F8B99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83B1908"/>
    <w:multiLevelType w:val="hybridMultilevel"/>
    <w:tmpl w:val="E98C68AE"/>
    <w:lvl w:ilvl="0" w:tplc="792E5C2E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1D16A98"/>
    <w:multiLevelType w:val="hybridMultilevel"/>
    <w:tmpl w:val="4502BFF2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7B5412D2"/>
    <w:multiLevelType w:val="hybridMultilevel"/>
    <w:tmpl w:val="57F6F3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6" w:nlCheck="1" w:checkStyle="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5A"/>
    <w:rsid w:val="0000092E"/>
    <w:rsid w:val="0000138E"/>
    <w:rsid w:val="000017B4"/>
    <w:rsid w:val="00001BD8"/>
    <w:rsid w:val="0000492F"/>
    <w:rsid w:val="0001547E"/>
    <w:rsid w:val="00021AE0"/>
    <w:rsid w:val="0002243E"/>
    <w:rsid w:val="00023433"/>
    <w:rsid w:val="00023B9D"/>
    <w:rsid w:val="0002575D"/>
    <w:rsid w:val="00027A6A"/>
    <w:rsid w:val="0003168F"/>
    <w:rsid w:val="000377F1"/>
    <w:rsid w:val="00037C2A"/>
    <w:rsid w:val="00037F93"/>
    <w:rsid w:val="00040901"/>
    <w:rsid w:val="00041F54"/>
    <w:rsid w:val="000423A2"/>
    <w:rsid w:val="000462E3"/>
    <w:rsid w:val="00052823"/>
    <w:rsid w:val="00054323"/>
    <w:rsid w:val="00062369"/>
    <w:rsid w:val="00066A8A"/>
    <w:rsid w:val="000709EE"/>
    <w:rsid w:val="00073F87"/>
    <w:rsid w:val="0008037F"/>
    <w:rsid w:val="0009127E"/>
    <w:rsid w:val="0009342E"/>
    <w:rsid w:val="000A3195"/>
    <w:rsid w:val="000A56B1"/>
    <w:rsid w:val="000A5F6F"/>
    <w:rsid w:val="000A7F8A"/>
    <w:rsid w:val="000B4DA5"/>
    <w:rsid w:val="000B5A66"/>
    <w:rsid w:val="000B7491"/>
    <w:rsid w:val="000B7A6A"/>
    <w:rsid w:val="000C2D52"/>
    <w:rsid w:val="000C6739"/>
    <w:rsid w:val="000D7D11"/>
    <w:rsid w:val="000D7DE6"/>
    <w:rsid w:val="000E07A1"/>
    <w:rsid w:val="000E0F31"/>
    <w:rsid w:val="000E3EE7"/>
    <w:rsid w:val="000E446F"/>
    <w:rsid w:val="000F49C1"/>
    <w:rsid w:val="000F5AFD"/>
    <w:rsid w:val="000F6D4F"/>
    <w:rsid w:val="000F7630"/>
    <w:rsid w:val="0010196A"/>
    <w:rsid w:val="0010748B"/>
    <w:rsid w:val="00110D70"/>
    <w:rsid w:val="00113249"/>
    <w:rsid w:val="00115BDE"/>
    <w:rsid w:val="0011732F"/>
    <w:rsid w:val="00120BD0"/>
    <w:rsid w:val="00121F5D"/>
    <w:rsid w:val="0012206C"/>
    <w:rsid w:val="00123093"/>
    <w:rsid w:val="001328BE"/>
    <w:rsid w:val="001330A9"/>
    <w:rsid w:val="00136037"/>
    <w:rsid w:val="0014275A"/>
    <w:rsid w:val="00145413"/>
    <w:rsid w:val="00154986"/>
    <w:rsid w:val="00154E55"/>
    <w:rsid w:val="0015785D"/>
    <w:rsid w:val="001603EF"/>
    <w:rsid w:val="00163C8E"/>
    <w:rsid w:val="00170D43"/>
    <w:rsid w:val="00173488"/>
    <w:rsid w:val="00176679"/>
    <w:rsid w:val="00180961"/>
    <w:rsid w:val="0018345B"/>
    <w:rsid w:val="00186F65"/>
    <w:rsid w:val="00187599"/>
    <w:rsid w:val="0018762E"/>
    <w:rsid w:val="001912F5"/>
    <w:rsid w:val="001A4DEC"/>
    <w:rsid w:val="001A65DB"/>
    <w:rsid w:val="001A7393"/>
    <w:rsid w:val="001B130B"/>
    <w:rsid w:val="001B14CF"/>
    <w:rsid w:val="001B2C33"/>
    <w:rsid w:val="001B54EA"/>
    <w:rsid w:val="001C6169"/>
    <w:rsid w:val="001D06F5"/>
    <w:rsid w:val="001D1E30"/>
    <w:rsid w:val="001D3A7A"/>
    <w:rsid w:val="001D5C48"/>
    <w:rsid w:val="001E0151"/>
    <w:rsid w:val="001E0711"/>
    <w:rsid w:val="001E15AB"/>
    <w:rsid w:val="001E35AE"/>
    <w:rsid w:val="001E5034"/>
    <w:rsid w:val="001E556D"/>
    <w:rsid w:val="001E5F9B"/>
    <w:rsid w:val="001F2616"/>
    <w:rsid w:val="001F37E8"/>
    <w:rsid w:val="001F632D"/>
    <w:rsid w:val="001F77D2"/>
    <w:rsid w:val="00200760"/>
    <w:rsid w:val="002042E7"/>
    <w:rsid w:val="00212185"/>
    <w:rsid w:val="00214CFD"/>
    <w:rsid w:val="00225A3D"/>
    <w:rsid w:val="0022773A"/>
    <w:rsid w:val="002316CE"/>
    <w:rsid w:val="002336ED"/>
    <w:rsid w:val="00240004"/>
    <w:rsid w:val="0024763E"/>
    <w:rsid w:val="0025213B"/>
    <w:rsid w:val="00252AAC"/>
    <w:rsid w:val="00253E5D"/>
    <w:rsid w:val="00255F10"/>
    <w:rsid w:val="00257F93"/>
    <w:rsid w:val="00262B59"/>
    <w:rsid w:val="002635A4"/>
    <w:rsid w:val="00265382"/>
    <w:rsid w:val="00266F5E"/>
    <w:rsid w:val="00271090"/>
    <w:rsid w:val="00271BE8"/>
    <w:rsid w:val="0027271B"/>
    <w:rsid w:val="002732F7"/>
    <w:rsid w:val="00273381"/>
    <w:rsid w:val="0027628F"/>
    <w:rsid w:val="002765CD"/>
    <w:rsid w:val="00277C7B"/>
    <w:rsid w:val="00290C5F"/>
    <w:rsid w:val="00293470"/>
    <w:rsid w:val="002938C3"/>
    <w:rsid w:val="00294CC0"/>
    <w:rsid w:val="00296931"/>
    <w:rsid w:val="002A10DD"/>
    <w:rsid w:val="002A11B7"/>
    <w:rsid w:val="002A1A30"/>
    <w:rsid w:val="002A2D9D"/>
    <w:rsid w:val="002A52FA"/>
    <w:rsid w:val="002A6940"/>
    <w:rsid w:val="002A7F8C"/>
    <w:rsid w:val="002B1615"/>
    <w:rsid w:val="002B37FB"/>
    <w:rsid w:val="002B6F8A"/>
    <w:rsid w:val="002C0465"/>
    <w:rsid w:val="002D211C"/>
    <w:rsid w:val="002D3BC0"/>
    <w:rsid w:val="002D3FA4"/>
    <w:rsid w:val="002D5671"/>
    <w:rsid w:val="002D6498"/>
    <w:rsid w:val="002D6D01"/>
    <w:rsid w:val="002D6EA2"/>
    <w:rsid w:val="002D7298"/>
    <w:rsid w:val="002E00EA"/>
    <w:rsid w:val="002E1E43"/>
    <w:rsid w:val="002E6755"/>
    <w:rsid w:val="002F5397"/>
    <w:rsid w:val="002F62FE"/>
    <w:rsid w:val="002F6E9B"/>
    <w:rsid w:val="00302C7E"/>
    <w:rsid w:val="003057A2"/>
    <w:rsid w:val="003129C5"/>
    <w:rsid w:val="003129EF"/>
    <w:rsid w:val="003176E6"/>
    <w:rsid w:val="00320807"/>
    <w:rsid w:val="003209EB"/>
    <w:rsid w:val="00320C48"/>
    <w:rsid w:val="00325F16"/>
    <w:rsid w:val="00326961"/>
    <w:rsid w:val="00326A73"/>
    <w:rsid w:val="00327408"/>
    <w:rsid w:val="00330734"/>
    <w:rsid w:val="00331198"/>
    <w:rsid w:val="003349E2"/>
    <w:rsid w:val="00334CE1"/>
    <w:rsid w:val="00341486"/>
    <w:rsid w:val="00342316"/>
    <w:rsid w:val="003432B6"/>
    <w:rsid w:val="003435FF"/>
    <w:rsid w:val="003448A3"/>
    <w:rsid w:val="00346E2E"/>
    <w:rsid w:val="00351D15"/>
    <w:rsid w:val="00352C37"/>
    <w:rsid w:val="00353EFF"/>
    <w:rsid w:val="003546C6"/>
    <w:rsid w:val="00361AC7"/>
    <w:rsid w:val="00367D94"/>
    <w:rsid w:val="00376B0C"/>
    <w:rsid w:val="00377B9D"/>
    <w:rsid w:val="00381E42"/>
    <w:rsid w:val="00383019"/>
    <w:rsid w:val="00383344"/>
    <w:rsid w:val="003869D3"/>
    <w:rsid w:val="00386AE4"/>
    <w:rsid w:val="00387D0C"/>
    <w:rsid w:val="0039524F"/>
    <w:rsid w:val="00397BF7"/>
    <w:rsid w:val="003A0916"/>
    <w:rsid w:val="003A0E33"/>
    <w:rsid w:val="003A2C74"/>
    <w:rsid w:val="003A4047"/>
    <w:rsid w:val="003A51AF"/>
    <w:rsid w:val="003A66CE"/>
    <w:rsid w:val="003B123B"/>
    <w:rsid w:val="003B14B0"/>
    <w:rsid w:val="003B2AD5"/>
    <w:rsid w:val="003B42BE"/>
    <w:rsid w:val="003B4BCE"/>
    <w:rsid w:val="003B58AB"/>
    <w:rsid w:val="003C0831"/>
    <w:rsid w:val="003C1075"/>
    <w:rsid w:val="003C13B9"/>
    <w:rsid w:val="003C2F94"/>
    <w:rsid w:val="003C3933"/>
    <w:rsid w:val="003C3970"/>
    <w:rsid w:val="003D1D9A"/>
    <w:rsid w:val="003D54E4"/>
    <w:rsid w:val="003D5D13"/>
    <w:rsid w:val="003D68FD"/>
    <w:rsid w:val="003D7515"/>
    <w:rsid w:val="003E234F"/>
    <w:rsid w:val="003E2D45"/>
    <w:rsid w:val="003E5446"/>
    <w:rsid w:val="003E565B"/>
    <w:rsid w:val="003F069E"/>
    <w:rsid w:val="0040005E"/>
    <w:rsid w:val="0040080C"/>
    <w:rsid w:val="004011D3"/>
    <w:rsid w:val="00401FAC"/>
    <w:rsid w:val="0040442D"/>
    <w:rsid w:val="004053C2"/>
    <w:rsid w:val="004059D5"/>
    <w:rsid w:val="00406225"/>
    <w:rsid w:val="00407B30"/>
    <w:rsid w:val="0041058A"/>
    <w:rsid w:val="0041391E"/>
    <w:rsid w:val="0041782C"/>
    <w:rsid w:val="00431CE8"/>
    <w:rsid w:val="00435AAC"/>
    <w:rsid w:val="004423D0"/>
    <w:rsid w:val="00442614"/>
    <w:rsid w:val="00443A22"/>
    <w:rsid w:val="00447439"/>
    <w:rsid w:val="004514B3"/>
    <w:rsid w:val="004532FD"/>
    <w:rsid w:val="00456903"/>
    <w:rsid w:val="00460AB0"/>
    <w:rsid w:val="00462FB3"/>
    <w:rsid w:val="00463D05"/>
    <w:rsid w:val="00465938"/>
    <w:rsid w:val="00467417"/>
    <w:rsid w:val="004677A7"/>
    <w:rsid w:val="00471093"/>
    <w:rsid w:val="00472C34"/>
    <w:rsid w:val="00473FE8"/>
    <w:rsid w:val="00477E70"/>
    <w:rsid w:val="0048787C"/>
    <w:rsid w:val="00487C84"/>
    <w:rsid w:val="004900C7"/>
    <w:rsid w:val="00491CCD"/>
    <w:rsid w:val="00492D15"/>
    <w:rsid w:val="00494492"/>
    <w:rsid w:val="004953A8"/>
    <w:rsid w:val="00496893"/>
    <w:rsid w:val="004A0A16"/>
    <w:rsid w:val="004A0B10"/>
    <w:rsid w:val="004A1C59"/>
    <w:rsid w:val="004A3BDF"/>
    <w:rsid w:val="004A672D"/>
    <w:rsid w:val="004B25A4"/>
    <w:rsid w:val="004B30E3"/>
    <w:rsid w:val="004B5311"/>
    <w:rsid w:val="004B568E"/>
    <w:rsid w:val="004B7621"/>
    <w:rsid w:val="004C4F26"/>
    <w:rsid w:val="004C7A29"/>
    <w:rsid w:val="004D5567"/>
    <w:rsid w:val="004D5979"/>
    <w:rsid w:val="004E2CFD"/>
    <w:rsid w:val="004E7C84"/>
    <w:rsid w:val="004E7D8D"/>
    <w:rsid w:val="004F6670"/>
    <w:rsid w:val="005027E8"/>
    <w:rsid w:val="005049C3"/>
    <w:rsid w:val="00505521"/>
    <w:rsid w:val="00506E45"/>
    <w:rsid w:val="005122EF"/>
    <w:rsid w:val="00515B58"/>
    <w:rsid w:val="005164D3"/>
    <w:rsid w:val="00522B78"/>
    <w:rsid w:val="00525B20"/>
    <w:rsid w:val="00527874"/>
    <w:rsid w:val="00527F93"/>
    <w:rsid w:val="005330CD"/>
    <w:rsid w:val="00534CDE"/>
    <w:rsid w:val="00536774"/>
    <w:rsid w:val="00536DB8"/>
    <w:rsid w:val="0054167B"/>
    <w:rsid w:val="00544B00"/>
    <w:rsid w:val="00546EBD"/>
    <w:rsid w:val="005549DA"/>
    <w:rsid w:val="00560E02"/>
    <w:rsid w:val="00561C4A"/>
    <w:rsid w:val="005629AE"/>
    <w:rsid w:val="00563E53"/>
    <w:rsid w:val="00570449"/>
    <w:rsid w:val="0057228D"/>
    <w:rsid w:val="0057282E"/>
    <w:rsid w:val="00574A2E"/>
    <w:rsid w:val="00581047"/>
    <w:rsid w:val="00581977"/>
    <w:rsid w:val="005827F8"/>
    <w:rsid w:val="00583543"/>
    <w:rsid w:val="0059290A"/>
    <w:rsid w:val="00592D46"/>
    <w:rsid w:val="00595F0B"/>
    <w:rsid w:val="00597DEB"/>
    <w:rsid w:val="005A552E"/>
    <w:rsid w:val="005A5663"/>
    <w:rsid w:val="005B0F6D"/>
    <w:rsid w:val="005C381B"/>
    <w:rsid w:val="005C46F3"/>
    <w:rsid w:val="005D29B3"/>
    <w:rsid w:val="005D3B46"/>
    <w:rsid w:val="005D58F6"/>
    <w:rsid w:val="005E35D9"/>
    <w:rsid w:val="005E3D5D"/>
    <w:rsid w:val="005E452D"/>
    <w:rsid w:val="005E7FE9"/>
    <w:rsid w:val="005F3882"/>
    <w:rsid w:val="005F5C18"/>
    <w:rsid w:val="005F67A2"/>
    <w:rsid w:val="005F7451"/>
    <w:rsid w:val="00606FD4"/>
    <w:rsid w:val="00607432"/>
    <w:rsid w:val="0061024C"/>
    <w:rsid w:val="00613736"/>
    <w:rsid w:val="00620D48"/>
    <w:rsid w:val="00622AFC"/>
    <w:rsid w:val="00623D6C"/>
    <w:rsid w:val="0062451F"/>
    <w:rsid w:val="006312E1"/>
    <w:rsid w:val="00640618"/>
    <w:rsid w:val="00644A5A"/>
    <w:rsid w:val="00650028"/>
    <w:rsid w:val="0065032F"/>
    <w:rsid w:val="00651270"/>
    <w:rsid w:val="00651CFD"/>
    <w:rsid w:val="00655121"/>
    <w:rsid w:val="00656174"/>
    <w:rsid w:val="006566AA"/>
    <w:rsid w:val="00657E1D"/>
    <w:rsid w:val="006601E1"/>
    <w:rsid w:val="006612CD"/>
    <w:rsid w:val="00661627"/>
    <w:rsid w:val="006628F5"/>
    <w:rsid w:val="006660D3"/>
    <w:rsid w:val="0066756A"/>
    <w:rsid w:val="0067258F"/>
    <w:rsid w:val="00675983"/>
    <w:rsid w:val="00675DF0"/>
    <w:rsid w:val="00675FB9"/>
    <w:rsid w:val="006764D3"/>
    <w:rsid w:val="006820D9"/>
    <w:rsid w:val="00682866"/>
    <w:rsid w:val="006853DC"/>
    <w:rsid w:val="00685FAA"/>
    <w:rsid w:val="00690813"/>
    <w:rsid w:val="00690A06"/>
    <w:rsid w:val="006A09B9"/>
    <w:rsid w:val="006A1B2E"/>
    <w:rsid w:val="006A2D1C"/>
    <w:rsid w:val="006A2E48"/>
    <w:rsid w:val="006A57DE"/>
    <w:rsid w:val="006B0436"/>
    <w:rsid w:val="006B36FA"/>
    <w:rsid w:val="006B5447"/>
    <w:rsid w:val="006C6903"/>
    <w:rsid w:val="006C6E9D"/>
    <w:rsid w:val="006C7E6C"/>
    <w:rsid w:val="006D0683"/>
    <w:rsid w:val="006D1A6C"/>
    <w:rsid w:val="006D5CBA"/>
    <w:rsid w:val="006E236A"/>
    <w:rsid w:val="006E303F"/>
    <w:rsid w:val="006E463A"/>
    <w:rsid w:val="006E55DF"/>
    <w:rsid w:val="006F22FC"/>
    <w:rsid w:val="006F4B1E"/>
    <w:rsid w:val="006F78F6"/>
    <w:rsid w:val="006F7F99"/>
    <w:rsid w:val="00705DAA"/>
    <w:rsid w:val="00715391"/>
    <w:rsid w:val="00715987"/>
    <w:rsid w:val="00716A42"/>
    <w:rsid w:val="00720434"/>
    <w:rsid w:val="0072066A"/>
    <w:rsid w:val="00720954"/>
    <w:rsid w:val="0072528A"/>
    <w:rsid w:val="00725DB9"/>
    <w:rsid w:val="00730397"/>
    <w:rsid w:val="007342F3"/>
    <w:rsid w:val="007362B1"/>
    <w:rsid w:val="007406E4"/>
    <w:rsid w:val="007410A0"/>
    <w:rsid w:val="007450D6"/>
    <w:rsid w:val="0074562C"/>
    <w:rsid w:val="00746D08"/>
    <w:rsid w:val="00746ED0"/>
    <w:rsid w:val="00754F0D"/>
    <w:rsid w:val="00764501"/>
    <w:rsid w:val="007709FB"/>
    <w:rsid w:val="00770F38"/>
    <w:rsid w:val="007717CB"/>
    <w:rsid w:val="00771D23"/>
    <w:rsid w:val="0077381F"/>
    <w:rsid w:val="007746F3"/>
    <w:rsid w:val="007757AC"/>
    <w:rsid w:val="00776126"/>
    <w:rsid w:val="00776AC4"/>
    <w:rsid w:val="00777D34"/>
    <w:rsid w:val="007801C7"/>
    <w:rsid w:val="00790C8A"/>
    <w:rsid w:val="0079436F"/>
    <w:rsid w:val="00796909"/>
    <w:rsid w:val="007974B5"/>
    <w:rsid w:val="007A1450"/>
    <w:rsid w:val="007A6D9E"/>
    <w:rsid w:val="007B23E9"/>
    <w:rsid w:val="007B2473"/>
    <w:rsid w:val="007B27C2"/>
    <w:rsid w:val="007B2CCB"/>
    <w:rsid w:val="007B3205"/>
    <w:rsid w:val="007B35E2"/>
    <w:rsid w:val="007B7282"/>
    <w:rsid w:val="007C1B4A"/>
    <w:rsid w:val="007C1D6F"/>
    <w:rsid w:val="007C36AD"/>
    <w:rsid w:val="007C4AA0"/>
    <w:rsid w:val="007C7378"/>
    <w:rsid w:val="007D00FD"/>
    <w:rsid w:val="007D169E"/>
    <w:rsid w:val="007E4F7E"/>
    <w:rsid w:val="007E61B7"/>
    <w:rsid w:val="007F0062"/>
    <w:rsid w:val="007F0EF1"/>
    <w:rsid w:val="007F55EB"/>
    <w:rsid w:val="007F73D8"/>
    <w:rsid w:val="0081265E"/>
    <w:rsid w:val="0082210B"/>
    <w:rsid w:val="00822F94"/>
    <w:rsid w:val="0082370E"/>
    <w:rsid w:val="008277F8"/>
    <w:rsid w:val="008300C2"/>
    <w:rsid w:val="00834D18"/>
    <w:rsid w:val="00836290"/>
    <w:rsid w:val="00837FB9"/>
    <w:rsid w:val="00846671"/>
    <w:rsid w:val="0084677F"/>
    <w:rsid w:val="00846EDC"/>
    <w:rsid w:val="00847B28"/>
    <w:rsid w:val="008509B9"/>
    <w:rsid w:val="008514E3"/>
    <w:rsid w:val="008658F2"/>
    <w:rsid w:val="00866F2B"/>
    <w:rsid w:val="008705ED"/>
    <w:rsid w:val="00871F9D"/>
    <w:rsid w:val="00880C64"/>
    <w:rsid w:val="00881FB5"/>
    <w:rsid w:val="00882A5F"/>
    <w:rsid w:val="0088722C"/>
    <w:rsid w:val="00890A1F"/>
    <w:rsid w:val="00891C5D"/>
    <w:rsid w:val="008949F7"/>
    <w:rsid w:val="00895DF1"/>
    <w:rsid w:val="00897C5A"/>
    <w:rsid w:val="008B52BD"/>
    <w:rsid w:val="008B5F30"/>
    <w:rsid w:val="008B6EEB"/>
    <w:rsid w:val="008C07FD"/>
    <w:rsid w:val="008C5915"/>
    <w:rsid w:val="008D4028"/>
    <w:rsid w:val="008D469F"/>
    <w:rsid w:val="008D52AC"/>
    <w:rsid w:val="008E2866"/>
    <w:rsid w:val="008F0F0E"/>
    <w:rsid w:val="008F269B"/>
    <w:rsid w:val="008F6E4A"/>
    <w:rsid w:val="0090555E"/>
    <w:rsid w:val="009133D6"/>
    <w:rsid w:val="00913554"/>
    <w:rsid w:val="00916C53"/>
    <w:rsid w:val="00920959"/>
    <w:rsid w:val="0092348B"/>
    <w:rsid w:val="009235CC"/>
    <w:rsid w:val="00932912"/>
    <w:rsid w:val="00936AFC"/>
    <w:rsid w:val="0094104D"/>
    <w:rsid w:val="009426A3"/>
    <w:rsid w:val="0094661F"/>
    <w:rsid w:val="00953688"/>
    <w:rsid w:val="00953B46"/>
    <w:rsid w:val="00957908"/>
    <w:rsid w:val="009615F8"/>
    <w:rsid w:val="009635DA"/>
    <w:rsid w:val="00965EB4"/>
    <w:rsid w:val="00967485"/>
    <w:rsid w:val="009718D2"/>
    <w:rsid w:val="00972234"/>
    <w:rsid w:val="00981DE8"/>
    <w:rsid w:val="00984132"/>
    <w:rsid w:val="009904DD"/>
    <w:rsid w:val="00990FB1"/>
    <w:rsid w:val="009942A7"/>
    <w:rsid w:val="00996EDB"/>
    <w:rsid w:val="009A0E80"/>
    <w:rsid w:val="009A4A88"/>
    <w:rsid w:val="009A5272"/>
    <w:rsid w:val="009A5A9F"/>
    <w:rsid w:val="009A5FD2"/>
    <w:rsid w:val="009A7C0D"/>
    <w:rsid w:val="009B2BFE"/>
    <w:rsid w:val="009B35BA"/>
    <w:rsid w:val="009B7965"/>
    <w:rsid w:val="009C288A"/>
    <w:rsid w:val="009C3BE0"/>
    <w:rsid w:val="009C7CB8"/>
    <w:rsid w:val="009D02A0"/>
    <w:rsid w:val="009D21B1"/>
    <w:rsid w:val="009D6A71"/>
    <w:rsid w:val="009D6F18"/>
    <w:rsid w:val="009E0885"/>
    <w:rsid w:val="009E1966"/>
    <w:rsid w:val="009E2FAF"/>
    <w:rsid w:val="009E4520"/>
    <w:rsid w:val="009E5134"/>
    <w:rsid w:val="009E5518"/>
    <w:rsid w:val="00A07746"/>
    <w:rsid w:val="00A07982"/>
    <w:rsid w:val="00A14D9F"/>
    <w:rsid w:val="00A153AF"/>
    <w:rsid w:val="00A162A6"/>
    <w:rsid w:val="00A206BE"/>
    <w:rsid w:val="00A20791"/>
    <w:rsid w:val="00A2220C"/>
    <w:rsid w:val="00A24FA3"/>
    <w:rsid w:val="00A3038A"/>
    <w:rsid w:val="00A3074A"/>
    <w:rsid w:val="00A34C89"/>
    <w:rsid w:val="00A42E1F"/>
    <w:rsid w:val="00A43910"/>
    <w:rsid w:val="00A43ABD"/>
    <w:rsid w:val="00A45368"/>
    <w:rsid w:val="00A465F3"/>
    <w:rsid w:val="00A46D6B"/>
    <w:rsid w:val="00A515CB"/>
    <w:rsid w:val="00A51D5F"/>
    <w:rsid w:val="00A52B74"/>
    <w:rsid w:val="00A54F3E"/>
    <w:rsid w:val="00A55B5B"/>
    <w:rsid w:val="00A55C02"/>
    <w:rsid w:val="00A60E55"/>
    <w:rsid w:val="00A73917"/>
    <w:rsid w:val="00A74891"/>
    <w:rsid w:val="00A75E2A"/>
    <w:rsid w:val="00A84554"/>
    <w:rsid w:val="00A86080"/>
    <w:rsid w:val="00A86544"/>
    <w:rsid w:val="00A95296"/>
    <w:rsid w:val="00AA0A13"/>
    <w:rsid w:val="00AA15F4"/>
    <w:rsid w:val="00AA1860"/>
    <w:rsid w:val="00AA4829"/>
    <w:rsid w:val="00AA5A98"/>
    <w:rsid w:val="00AA6011"/>
    <w:rsid w:val="00AA623E"/>
    <w:rsid w:val="00AB0C2B"/>
    <w:rsid w:val="00AB2238"/>
    <w:rsid w:val="00AB64BD"/>
    <w:rsid w:val="00AC09C1"/>
    <w:rsid w:val="00AC18D1"/>
    <w:rsid w:val="00AC33A3"/>
    <w:rsid w:val="00AC6544"/>
    <w:rsid w:val="00AC6587"/>
    <w:rsid w:val="00AC7979"/>
    <w:rsid w:val="00AD7F7B"/>
    <w:rsid w:val="00AE0416"/>
    <w:rsid w:val="00AE1BD8"/>
    <w:rsid w:val="00AE27C4"/>
    <w:rsid w:val="00AE319D"/>
    <w:rsid w:val="00AE409B"/>
    <w:rsid w:val="00AF0FE4"/>
    <w:rsid w:val="00AF1B2D"/>
    <w:rsid w:val="00AF1BB7"/>
    <w:rsid w:val="00AF6352"/>
    <w:rsid w:val="00AF6B48"/>
    <w:rsid w:val="00AF71BA"/>
    <w:rsid w:val="00AF791C"/>
    <w:rsid w:val="00B0317F"/>
    <w:rsid w:val="00B10804"/>
    <w:rsid w:val="00B10A99"/>
    <w:rsid w:val="00B143A4"/>
    <w:rsid w:val="00B16AC1"/>
    <w:rsid w:val="00B21744"/>
    <w:rsid w:val="00B2477D"/>
    <w:rsid w:val="00B25E6B"/>
    <w:rsid w:val="00B30507"/>
    <w:rsid w:val="00B33E19"/>
    <w:rsid w:val="00B4059A"/>
    <w:rsid w:val="00B461E9"/>
    <w:rsid w:val="00B4766E"/>
    <w:rsid w:val="00B512D9"/>
    <w:rsid w:val="00B530D9"/>
    <w:rsid w:val="00B578DF"/>
    <w:rsid w:val="00B61433"/>
    <w:rsid w:val="00B615DC"/>
    <w:rsid w:val="00B6319B"/>
    <w:rsid w:val="00B652CB"/>
    <w:rsid w:val="00B70772"/>
    <w:rsid w:val="00B72D95"/>
    <w:rsid w:val="00B742FB"/>
    <w:rsid w:val="00B74C27"/>
    <w:rsid w:val="00B80B51"/>
    <w:rsid w:val="00B812CB"/>
    <w:rsid w:val="00B832CB"/>
    <w:rsid w:val="00B847FE"/>
    <w:rsid w:val="00B8545A"/>
    <w:rsid w:val="00B874F4"/>
    <w:rsid w:val="00B903D5"/>
    <w:rsid w:val="00B90D1F"/>
    <w:rsid w:val="00B94418"/>
    <w:rsid w:val="00B94F0E"/>
    <w:rsid w:val="00B96D03"/>
    <w:rsid w:val="00B97126"/>
    <w:rsid w:val="00BA113E"/>
    <w:rsid w:val="00BA1E00"/>
    <w:rsid w:val="00BA3852"/>
    <w:rsid w:val="00BA628C"/>
    <w:rsid w:val="00BA7841"/>
    <w:rsid w:val="00BB2D81"/>
    <w:rsid w:val="00BB4279"/>
    <w:rsid w:val="00BB4683"/>
    <w:rsid w:val="00BB4A7A"/>
    <w:rsid w:val="00BC1C83"/>
    <w:rsid w:val="00BC3A33"/>
    <w:rsid w:val="00BC46E3"/>
    <w:rsid w:val="00BD068E"/>
    <w:rsid w:val="00BD0B68"/>
    <w:rsid w:val="00BE50BD"/>
    <w:rsid w:val="00BE594F"/>
    <w:rsid w:val="00BF6F95"/>
    <w:rsid w:val="00C00334"/>
    <w:rsid w:val="00C02606"/>
    <w:rsid w:val="00C02727"/>
    <w:rsid w:val="00C10DC5"/>
    <w:rsid w:val="00C1287C"/>
    <w:rsid w:val="00C13EE7"/>
    <w:rsid w:val="00C147E6"/>
    <w:rsid w:val="00C203DA"/>
    <w:rsid w:val="00C219FE"/>
    <w:rsid w:val="00C21D72"/>
    <w:rsid w:val="00C22992"/>
    <w:rsid w:val="00C25802"/>
    <w:rsid w:val="00C310A2"/>
    <w:rsid w:val="00C334C6"/>
    <w:rsid w:val="00C34D88"/>
    <w:rsid w:val="00C36A85"/>
    <w:rsid w:val="00C4321E"/>
    <w:rsid w:val="00C44E5E"/>
    <w:rsid w:val="00C50E06"/>
    <w:rsid w:val="00C5364E"/>
    <w:rsid w:val="00C53C15"/>
    <w:rsid w:val="00C54BA0"/>
    <w:rsid w:val="00C569B4"/>
    <w:rsid w:val="00C56CF7"/>
    <w:rsid w:val="00C615F9"/>
    <w:rsid w:val="00C61ACD"/>
    <w:rsid w:val="00C6437F"/>
    <w:rsid w:val="00C72827"/>
    <w:rsid w:val="00C765EA"/>
    <w:rsid w:val="00C770AC"/>
    <w:rsid w:val="00C91F65"/>
    <w:rsid w:val="00C94368"/>
    <w:rsid w:val="00C9630D"/>
    <w:rsid w:val="00C9694A"/>
    <w:rsid w:val="00CA39A6"/>
    <w:rsid w:val="00CA5116"/>
    <w:rsid w:val="00CB0B35"/>
    <w:rsid w:val="00CB346C"/>
    <w:rsid w:val="00CB4452"/>
    <w:rsid w:val="00CB48BE"/>
    <w:rsid w:val="00CC11E9"/>
    <w:rsid w:val="00CC4596"/>
    <w:rsid w:val="00CE09A4"/>
    <w:rsid w:val="00CE11D3"/>
    <w:rsid w:val="00CF0DA4"/>
    <w:rsid w:val="00CF1210"/>
    <w:rsid w:val="00CF26D3"/>
    <w:rsid w:val="00CF4BAB"/>
    <w:rsid w:val="00CF575D"/>
    <w:rsid w:val="00CF6101"/>
    <w:rsid w:val="00D02FFF"/>
    <w:rsid w:val="00D04007"/>
    <w:rsid w:val="00D074B2"/>
    <w:rsid w:val="00D15465"/>
    <w:rsid w:val="00D222CF"/>
    <w:rsid w:val="00D25D32"/>
    <w:rsid w:val="00D30D51"/>
    <w:rsid w:val="00D3244C"/>
    <w:rsid w:val="00D34457"/>
    <w:rsid w:val="00D36135"/>
    <w:rsid w:val="00D43323"/>
    <w:rsid w:val="00D50FF9"/>
    <w:rsid w:val="00D52E0E"/>
    <w:rsid w:val="00D618B6"/>
    <w:rsid w:val="00D63DE2"/>
    <w:rsid w:val="00D64960"/>
    <w:rsid w:val="00D73BFD"/>
    <w:rsid w:val="00D75464"/>
    <w:rsid w:val="00D80796"/>
    <w:rsid w:val="00D923A6"/>
    <w:rsid w:val="00D96715"/>
    <w:rsid w:val="00D96BEC"/>
    <w:rsid w:val="00D97FF3"/>
    <w:rsid w:val="00DA25AE"/>
    <w:rsid w:val="00DA47BD"/>
    <w:rsid w:val="00DA6166"/>
    <w:rsid w:val="00DB2229"/>
    <w:rsid w:val="00DB70AB"/>
    <w:rsid w:val="00DB7AC6"/>
    <w:rsid w:val="00DB7EA2"/>
    <w:rsid w:val="00DC3F29"/>
    <w:rsid w:val="00DC5DA3"/>
    <w:rsid w:val="00DC62D1"/>
    <w:rsid w:val="00DC6E80"/>
    <w:rsid w:val="00DD5DB4"/>
    <w:rsid w:val="00DE4669"/>
    <w:rsid w:val="00DE7EC6"/>
    <w:rsid w:val="00DF0289"/>
    <w:rsid w:val="00DF1A80"/>
    <w:rsid w:val="00DF2735"/>
    <w:rsid w:val="00DF61A2"/>
    <w:rsid w:val="00E01726"/>
    <w:rsid w:val="00E01E8D"/>
    <w:rsid w:val="00E02CC5"/>
    <w:rsid w:val="00E12DE6"/>
    <w:rsid w:val="00E130B1"/>
    <w:rsid w:val="00E15D36"/>
    <w:rsid w:val="00E1752B"/>
    <w:rsid w:val="00E22744"/>
    <w:rsid w:val="00E24437"/>
    <w:rsid w:val="00E24D03"/>
    <w:rsid w:val="00E259C0"/>
    <w:rsid w:val="00E3117A"/>
    <w:rsid w:val="00E34073"/>
    <w:rsid w:val="00E34B41"/>
    <w:rsid w:val="00E3500A"/>
    <w:rsid w:val="00E36EAE"/>
    <w:rsid w:val="00E37B87"/>
    <w:rsid w:val="00E41E53"/>
    <w:rsid w:val="00E440D1"/>
    <w:rsid w:val="00E522EA"/>
    <w:rsid w:val="00E53A5B"/>
    <w:rsid w:val="00E54E8F"/>
    <w:rsid w:val="00E55D27"/>
    <w:rsid w:val="00E57FE8"/>
    <w:rsid w:val="00E612E6"/>
    <w:rsid w:val="00E63BBA"/>
    <w:rsid w:val="00E70E2C"/>
    <w:rsid w:val="00E743AB"/>
    <w:rsid w:val="00E74B5F"/>
    <w:rsid w:val="00E81116"/>
    <w:rsid w:val="00E82A67"/>
    <w:rsid w:val="00E9141B"/>
    <w:rsid w:val="00E91A92"/>
    <w:rsid w:val="00E9764E"/>
    <w:rsid w:val="00EA427E"/>
    <w:rsid w:val="00EB4D63"/>
    <w:rsid w:val="00EB73F3"/>
    <w:rsid w:val="00EC07F8"/>
    <w:rsid w:val="00EC1AE2"/>
    <w:rsid w:val="00EC6810"/>
    <w:rsid w:val="00EC6B2B"/>
    <w:rsid w:val="00EC6C3D"/>
    <w:rsid w:val="00EC6C5C"/>
    <w:rsid w:val="00ED060D"/>
    <w:rsid w:val="00ED2A63"/>
    <w:rsid w:val="00ED6645"/>
    <w:rsid w:val="00EE3EA6"/>
    <w:rsid w:val="00EE44F7"/>
    <w:rsid w:val="00EE47EA"/>
    <w:rsid w:val="00EE6F34"/>
    <w:rsid w:val="00EF03A4"/>
    <w:rsid w:val="00EF2200"/>
    <w:rsid w:val="00EF6870"/>
    <w:rsid w:val="00F00142"/>
    <w:rsid w:val="00F02398"/>
    <w:rsid w:val="00F0313F"/>
    <w:rsid w:val="00F0659E"/>
    <w:rsid w:val="00F10526"/>
    <w:rsid w:val="00F16A72"/>
    <w:rsid w:val="00F2349C"/>
    <w:rsid w:val="00F30D57"/>
    <w:rsid w:val="00F330F6"/>
    <w:rsid w:val="00F36C11"/>
    <w:rsid w:val="00F4472F"/>
    <w:rsid w:val="00F45F01"/>
    <w:rsid w:val="00F4778F"/>
    <w:rsid w:val="00F5223D"/>
    <w:rsid w:val="00F545A5"/>
    <w:rsid w:val="00F56423"/>
    <w:rsid w:val="00F61ACE"/>
    <w:rsid w:val="00F66C6C"/>
    <w:rsid w:val="00F707F2"/>
    <w:rsid w:val="00F71E0F"/>
    <w:rsid w:val="00F728F7"/>
    <w:rsid w:val="00F73372"/>
    <w:rsid w:val="00F77B94"/>
    <w:rsid w:val="00F8216A"/>
    <w:rsid w:val="00F9029F"/>
    <w:rsid w:val="00F92A95"/>
    <w:rsid w:val="00FB2D47"/>
    <w:rsid w:val="00FB7663"/>
    <w:rsid w:val="00FC2776"/>
    <w:rsid w:val="00FC2B29"/>
    <w:rsid w:val="00FC3EE1"/>
    <w:rsid w:val="00FC4C3D"/>
    <w:rsid w:val="00FC68CB"/>
    <w:rsid w:val="00FD073E"/>
    <w:rsid w:val="00FE05ED"/>
    <w:rsid w:val="00FE39CD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86B08"/>
  <w15:chartTrackingRefBased/>
  <w15:docId w15:val="{A5EF3C38-E04F-45EE-94E6-DE8BC44B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AC1"/>
    <w:pPr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443A2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897C5A"/>
    <w:pPr>
      <w:spacing w:before="240" w:after="0" w:line="240" w:lineRule="auto"/>
      <w:jc w:val="center"/>
      <w:outlineLvl w:val="1"/>
    </w:pPr>
    <w:rPr>
      <w:rFonts w:ascii="Arial" w:hAnsi="Arial"/>
      <w:b/>
      <w:color w:val="000000"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0">
    <w:name w:val="p0"/>
    <w:basedOn w:val="Normal"/>
    <w:rsid w:val="00897C5A"/>
    <w:pPr>
      <w:spacing w:before="240" w:after="0" w:line="240" w:lineRule="auto"/>
      <w:jc w:val="both"/>
    </w:pPr>
    <w:rPr>
      <w:rFonts w:ascii="Arial" w:hAnsi="Arial"/>
      <w:color w:val="0000FF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7C5A"/>
    <w:rPr>
      <w:rFonts w:ascii="Tahoma" w:eastAsia="Times New Roman" w:hAnsi="Tahoma" w:cs="Tahoma"/>
      <w:sz w:val="16"/>
      <w:szCs w:val="16"/>
      <w:lang w:eastAsia="es-MX"/>
    </w:rPr>
  </w:style>
  <w:style w:type="paragraph" w:styleId="Encabezado">
    <w:name w:val="header"/>
    <w:basedOn w:val="Normal"/>
    <w:link w:val="EncabezadoCar"/>
    <w:unhideWhenUsed/>
    <w:rsid w:val="00897C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rsid w:val="00897C5A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897C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897C5A"/>
    <w:rPr>
      <w:rFonts w:ascii="Calibri" w:eastAsia="Times New Roman" w:hAnsi="Calibri" w:cs="Times New Roman"/>
      <w:lang w:eastAsia="es-MX"/>
    </w:rPr>
  </w:style>
  <w:style w:type="character" w:customStyle="1" w:styleId="Ttulo2Car">
    <w:name w:val="Título 2 Car"/>
    <w:link w:val="Ttulo2"/>
    <w:rsid w:val="00897C5A"/>
    <w:rPr>
      <w:rFonts w:ascii="Arial" w:eastAsia="Times New Roman" w:hAnsi="Arial" w:cs="Times New Roman"/>
      <w:b/>
      <w:color w:val="000000"/>
      <w:sz w:val="28"/>
      <w:szCs w:val="20"/>
      <w:lang w:val="es-ES_tradnl" w:eastAsia="es-ES"/>
    </w:rPr>
  </w:style>
  <w:style w:type="paragraph" w:customStyle="1" w:styleId="Default">
    <w:name w:val="Default"/>
    <w:rsid w:val="00897C5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932912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44261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61627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661627"/>
    <w:rPr>
      <w:rFonts w:eastAsia="Times New Roman"/>
    </w:rPr>
  </w:style>
  <w:style w:type="character" w:styleId="Refdenotaalpie">
    <w:name w:val="footnote reference"/>
    <w:uiPriority w:val="99"/>
    <w:semiHidden/>
    <w:unhideWhenUsed/>
    <w:rsid w:val="00661627"/>
    <w:rPr>
      <w:vertAlign w:val="superscript"/>
    </w:rPr>
  </w:style>
  <w:style w:type="character" w:styleId="Hipervnculovisitado">
    <w:name w:val="FollowedHyperlink"/>
    <w:uiPriority w:val="99"/>
    <w:semiHidden/>
    <w:unhideWhenUsed/>
    <w:rsid w:val="0067258F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AC65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C658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C6587"/>
    <w:rPr>
      <w:rFonts w:eastAsia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658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C6587"/>
    <w:rPr>
      <w:rFonts w:eastAsia="Times New Roman"/>
      <w:b/>
      <w:bCs/>
    </w:rPr>
  </w:style>
  <w:style w:type="paragraph" w:styleId="NormalWeb">
    <w:name w:val="Normal (Web)"/>
    <w:basedOn w:val="Normal"/>
    <w:uiPriority w:val="99"/>
    <w:unhideWhenUsed/>
    <w:rsid w:val="00CF4B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342316"/>
    <w:rPr>
      <w:rFonts w:eastAsia="Times New Roman"/>
      <w:sz w:val="22"/>
      <w:szCs w:val="22"/>
    </w:rPr>
  </w:style>
  <w:style w:type="character" w:customStyle="1" w:styleId="Ttulo1Car">
    <w:name w:val="Título 1 Car"/>
    <w:link w:val="Ttulo1"/>
    <w:uiPriority w:val="9"/>
    <w:rsid w:val="00443A2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1BD8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E1BD8"/>
    <w:rPr>
      <w:rFonts w:eastAsia="Times New Roman"/>
    </w:rPr>
  </w:style>
  <w:style w:type="character" w:styleId="Refdenotaalfinal">
    <w:name w:val="endnote reference"/>
    <w:uiPriority w:val="99"/>
    <w:semiHidden/>
    <w:unhideWhenUsed/>
    <w:rsid w:val="00AE1B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hyperlink" Target="https://www.instagram.com/inegi_informa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3.jpe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image" Target="media/image1.jpeg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INEGIInforma/" TargetMode="External"/><Relationship Id="rId20" Type="http://schemas.openxmlformats.org/officeDocument/2006/relationships/hyperlink" Target="https://twitter.com/INEGI_INFORM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://www.inegi.org.mx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image" Target="media/image4.jpeg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hyperlink" Target="https://www.youtube.com/user/INEGIInforma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talina.perez\AppData\Local\Microsoft\Windows\INetCache\Content.Outlook\K4E29V0B\Cuadros%20y%20gr&#225;ficas%20Bolet&#237;n.%20Primer%20semestre%202020.%2016.ene.2023xls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D:\Defunciones%202022\Bases%20preliminares\Publicaci&#243;n%20!er%20semetre2022%20Enero%202023\Homicidios\Cuadros%20y%20gr&#225;ficas%20Bolet&#237;n.%20Primer%20semestre%202020.%2016.ene.2023xls.xls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D:\Defunciones%202022\Bases%20preliminares\Publicaci&#243;n%20!er%20semetre2022%20Enero%202023\Homicidios\Cuadros%20y%20gr&#225;ficas%20Bolet&#237;n.%20Primer%20semestre%202020.%2016.ene.2023xls.xls" TargetMode="External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D:\Defunciones%202022\Bases%20preliminares\Publicaci&#243;n%20!er%20semetre2022%20Enero%202023\Homicidios\Cuadros%20y%20gr&#225;ficas%20Bolet&#237;n.%20Primer%20semestre%202020.%2016.ene.2023xls.xls" TargetMode="External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D:\Defunciones%202022\Bases%20preliminares\Publicaci&#243;n%20!er%20semetre2022%20Enero%202023\Homicidios\Cuadros%20y%20gr&#225;ficas%20Bolet&#237;n.%20Primer%20semestre%202020.%2016.ene.2023xls.xls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02130499251131"/>
          <c:y val="8.2862525434943504E-2"/>
          <c:w val="0.84970998845178314"/>
          <c:h val="0.74125906836998334"/>
        </c:manualLayout>
      </c:layout>
      <c:lineChart>
        <c:grouping val="stacked"/>
        <c:varyColors val="0"/>
        <c:ser>
          <c:idx val="0"/>
          <c:order val="0"/>
          <c:marker>
            <c:symbol val="none"/>
          </c:marker>
          <c:cat>
            <c:strRef>
              <c:f>'Total 1990-2019 x sexo'!$A$9:$A$41</c:f>
              <c:strCach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2022p</c:v>
                </c:pt>
              </c:strCache>
            </c:strRef>
          </c:cat>
          <c:val>
            <c:numRef>
              <c:f>'Total 1990-2019 x sexo'!$B$9:$B$41</c:f>
              <c:numCache>
                <c:formatCode>#,##0</c:formatCode>
                <c:ptCount val="33"/>
                <c:pt idx="0">
                  <c:v>7187</c:v>
                </c:pt>
                <c:pt idx="1">
                  <c:v>7575</c:v>
                </c:pt>
                <c:pt idx="2">
                  <c:v>8222</c:v>
                </c:pt>
                <c:pt idx="3">
                  <c:v>8183</c:v>
                </c:pt>
                <c:pt idx="4">
                  <c:v>7988</c:v>
                </c:pt>
                <c:pt idx="5">
                  <c:v>7725</c:v>
                </c:pt>
                <c:pt idx="6">
                  <c:v>7459</c:v>
                </c:pt>
                <c:pt idx="7">
                  <c:v>6765</c:v>
                </c:pt>
                <c:pt idx="8">
                  <c:v>6867</c:v>
                </c:pt>
                <c:pt idx="9">
                  <c:v>6179</c:v>
                </c:pt>
                <c:pt idx="10">
                  <c:v>5456</c:v>
                </c:pt>
                <c:pt idx="11">
                  <c:v>5143</c:v>
                </c:pt>
                <c:pt idx="12">
                  <c:v>5119</c:v>
                </c:pt>
                <c:pt idx="13">
                  <c:v>5045</c:v>
                </c:pt>
                <c:pt idx="14">
                  <c:v>4698</c:v>
                </c:pt>
                <c:pt idx="15">
                  <c:v>4962</c:v>
                </c:pt>
                <c:pt idx="16">
                  <c:v>5169</c:v>
                </c:pt>
                <c:pt idx="17">
                  <c:v>4428</c:v>
                </c:pt>
                <c:pt idx="18">
                  <c:v>5978</c:v>
                </c:pt>
                <c:pt idx="19">
                  <c:v>8821</c:v>
                </c:pt>
                <c:pt idx="20">
                  <c:v>12086</c:v>
                </c:pt>
                <c:pt idx="21">
                  <c:v>13788</c:v>
                </c:pt>
                <c:pt idx="22">
                  <c:v>13181</c:v>
                </c:pt>
                <c:pt idx="23">
                  <c:v>11774</c:v>
                </c:pt>
                <c:pt idx="24">
                  <c:v>10054</c:v>
                </c:pt>
                <c:pt idx="25">
                  <c:v>9941</c:v>
                </c:pt>
                <c:pt idx="26">
                  <c:v>10963</c:v>
                </c:pt>
                <c:pt idx="27">
                  <c:v>15042</c:v>
                </c:pt>
                <c:pt idx="28">
                  <c:v>17772</c:v>
                </c:pt>
                <c:pt idx="29">
                  <c:v>17776</c:v>
                </c:pt>
                <c:pt idx="30">
                  <c:v>18057</c:v>
                </c:pt>
                <c:pt idx="31">
                  <c:v>17462</c:v>
                </c:pt>
                <c:pt idx="32">
                  <c:v>15561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111-43BD-9ADE-F915C4669D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8272976"/>
        <c:axId val="1"/>
      </c:lineChart>
      <c:catAx>
        <c:axId val="98272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20000"/>
          <c:min val="0"/>
        </c:scaling>
        <c:delete val="0"/>
        <c:axPos val="l"/>
        <c:majorGridlines/>
        <c:numFmt formatCode="###\ ##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98272976"/>
        <c:crosses val="autoZero"/>
        <c:crossBetween val="between"/>
        <c:majorUnit val="5000"/>
      </c:valAx>
      <c:spPr>
        <a:noFill/>
        <a:ln>
          <a:solidFill>
            <a:schemeClr val="tx1">
              <a:lumMod val="85000"/>
              <a:lumOff val="15000"/>
            </a:schemeClr>
          </a:solidFill>
        </a:ln>
      </c:spPr>
    </c:plotArea>
    <c:plotVisOnly val="1"/>
    <c:dispBlanksAs val="zero"/>
    <c:showDLblsOverMax val="0"/>
  </c:chart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3830244405690641E-2"/>
          <c:y val="7.668502046369538E-2"/>
          <c:w val="0.86794611538062183"/>
          <c:h val="0.72249965271815053"/>
        </c:manualLayout>
      </c:layout>
      <c:lineChart>
        <c:grouping val="stacked"/>
        <c:varyColors val="0"/>
        <c:ser>
          <c:idx val="0"/>
          <c:order val="0"/>
          <c:marker>
            <c:symbol val="none"/>
          </c:marker>
          <c:cat>
            <c:strRef>
              <c:f>'Total 1990-2019 x sexo'!$A$9:$A$41</c:f>
              <c:strCach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2022p</c:v>
                </c:pt>
              </c:strCache>
            </c:strRef>
          </c:cat>
          <c:val>
            <c:numRef>
              <c:f>'Total 1990-2019 x sexo'!$I$9:$I$41</c:f>
              <c:numCache>
                <c:formatCode>0</c:formatCode>
                <c:ptCount val="33"/>
                <c:pt idx="0">
                  <c:v>8.5791595181131335</c:v>
                </c:pt>
                <c:pt idx="1">
                  <c:v>8.8747731895011626</c:v>
                </c:pt>
                <c:pt idx="2">
                  <c:v>9.45890986052353</c:v>
                </c:pt>
                <c:pt idx="3">
                  <c:v>9.2495771593611487</c:v>
                </c:pt>
                <c:pt idx="4">
                  <c:v>8.8768301697364826</c:v>
                </c:pt>
                <c:pt idx="5">
                  <c:v>8.4447226872771388</c:v>
                </c:pt>
                <c:pt idx="6">
                  <c:v>8.026100072566317</c:v>
                </c:pt>
                <c:pt idx="7">
                  <c:v>7.1688595676468747</c:v>
                </c:pt>
                <c:pt idx="8">
                  <c:v>7.1702229942483688</c:v>
                </c:pt>
                <c:pt idx="9">
                  <c:v>6.3606615759207648</c:v>
                </c:pt>
                <c:pt idx="10">
                  <c:v>5.5407255054005367</c:v>
                </c:pt>
                <c:pt idx="11">
                  <c:v>5.1554769760488144</c:v>
                </c:pt>
                <c:pt idx="12">
                  <c:v>5.0610386071824021</c:v>
                </c:pt>
                <c:pt idx="13">
                  <c:v>4.9200662341364438</c:v>
                </c:pt>
                <c:pt idx="14">
                  <c:v>4.520308307733969</c:v>
                </c:pt>
                <c:pt idx="15">
                  <c:v>4.7117733151994319</c:v>
                </c:pt>
                <c:pt idx="16">
                  <c:v>4.8412750646620237</c:v>
                </c:pt>
                <c:pt idx="17">
                  <c:v>4.0873441443893643</c:v>
                </c:pt>
                <c:pt idx="18">
                  <c:v>5.4353412873343068</c:v>
                </c:pt>
                <c:pt idx="19">
                  <c:v>7.8991458266137755</c:v>
                </c:pt>
                <c:pt idx="20">
                  <c:v>10.662981976754876</c:v>
                </c:pt>
                <c:pt idx="21">
                  <c:v>11.993777953677244</c:v>
                </c:pt>
                <c:pt idx="22">
                  <c:v>11.308562973261344</c:v>
                </c:pt>
                <c:pt idx="23">
                  <c:v>9.9719588415741249</c:v>
                </c:pt>
                <c:pt idx="24">
                  <c:v>8.4080188247295702</c:v>
                </c:pt>
                <c:pt idx="25">
                  <c:v>8.2156653390996652</c:v>
                </c:pt>
                <c:pt idx="26">
                  <c:v>8.9583794084911919</c:v>
                </c:pt>
                <c:pt idx="27">
                  <c:v>12.158603379495206</c:v>
                </c:pt>
                <c:pt idx="28">
                  <c:v>14.216471667076727</c:v>
                </c:pt>
                <c:pt idx="29">
                  <c:v>14.077889152937308</c:v>
                </c:pt>
                <c:pt idx="30">
                  <c:v>14.287062637918083</c:v>
                </c:pt>
                <c:pt idx="31">
                  <c:v>13.710539358815186</c:v>
                </c:pt>
                <c:pt idx="32">
                  <c:v>12.118838635362229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DB5-4E61-92A2-C39C314038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33613504"/>
        <c:axId val="1"/>
      </c:lineChart>
      <c:catAx>
        <c:axId val="1333613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6"/>
          <c:min val="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333613504"/>
        <c:crosses val="autoZero"/>
        <c:crossBetween val="between"/>
        <c:majorUnit val="4"/>
      </c:valAx>
      <c:spPr>
        <a:noFill/>
        <a:ln>
          <a:solidFill>
            <a:schemeClr val="tx1">
              <a:lumMod val="85000"/>
              <a:lumOff val="15000"/>
            </a:schemeClr>
          </a:solidFill>
        </a:ln>
      </c:spPr>
    </c:plotArea>
    <c:plotVisOnly val="1"/>
    <c:dispBlanksAs val="zero"/>
    <c:showDLblsOverMax val="0"/>
  </c:chart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217464267521803"/>
          <c:y val="4.0968322404787323E-2"/>
          <c:w val="0.874456251277693"/>
          <c:h val="0.7745213692577757"/>
        </c:manualLayout>
      </c:layout>
      <c:lineChart>
        <c:grouping val="stacked"/>
        <c:varyColors val="0"/>
        <c:ser>
          <c:idx val="0"/>
          <c:order val="0"/>
          <c:marker>
            <c:symbol val="none"/>
          </c:marker>
          <c:cat>
            <c:strRef>
              <c:f>'Total 1990-2019 x sexo'!$A$9:$A$41</c:f>
              <c:strCach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2022p</c:v>
                </c:pt>
              </c:strCache>
            </c:strRef>
          </c:cat>
          <c:val>
            <c:numRef>
              <c:f>'Total 1990-2019 x sexo'!$J$9:$J$41</c:f>
              <c:numCache>
                <c:formatCode>0</c:formatCode>
                <c:ptCount val="33"/>
                <c:pt idx="0">
                  <c:v>15.586119523098521</c:v>
                </c:pt>
                <c:pt idx="1">
                  <c:v>16.144011213904072</c:v>
                </c:pt>
                <c:pt idx="2">
                  <c:v>17.271249630774665</c:v>
                </c:pt>
                <c:pt idx="3">
                  <c:v>16.852447838070056</c:v>
                </c:pt>
                <c:pt idx="4">
                  <c:v>16.302166313246747</c:v>
                </c:pt>
                <c:pt idx="5">
                  <c:v>15.405487995748668</c:v>
                </c:pt>
                <c:pt idx="6">
                  <c:v>14.667067389043373</c:v>
                </c:pt>
                <c:pt idx="7">
                  <c:v>13.026533875438984</c:v>
                </c:pt>
                <c:pt idx="8">
                  <c:v>12.866814748126272</c:v>
                </c:pt>
                <c:pt idx="9">
                  <c:v>11.520519172426665</c:v>
                </c:pt>
                <c:pt idx="10">
                  <c:v>9.884686372786236</c:v>
                </c:pt>
                <c:pt idx="11">
                  <c:v>9.1598480032746004</c:v>
                </c:pt>
                <c:pt idx="12">
                  <c:v>9.0202608517596392</c:v>
                </c:pt>
                <c:pt idx="13">
                  <c:v>8.6755082466553208</c:v>
                </c:pt>
                <c:pt idx="14">
                  <c:v>8.0060630070285654</c:v>
                </c:pt>
                <c:pt idx="15">
                  <c:v>8.3547099551314457</c:v>
                </c:pt>
                <c:pt idx="16">
                  <c:v>8.6460968423715485</c:v>
                </c:pt>
                <c:pt idx="17">
                  <c:v>7.3909036486364776</c:v>
                </c:pt>
                <c:pt idx="18">
                  <c:v>9.9026630301639607</c:v>
                </c:pt>
                <c:pt idx="19">
                  <c:v>14.489567776577564</c:v>
                </c:pt>
                <c:pt idx="20">
                  <c:v>19.791701668841188</c:v>
                </c:pt>
                <c:pt idx="21">
                  <c:v>21.928113286046401</c:v>
                </c:pt>
                <c:pt idx="22">
                  <c:v>20.493620050772794</c:v>
                </c:pt>
                <c:pt idx="23">
                  <c:v>17.915626843234893</c:v>
                </c:pt>
                <c:pt idx="24">
                  <c:v>15.080744499239087</c:v>
                </c:pt>
                <c:pt idx="25">
                  <c:v>14.804685336042725</c:v>
                </c:pt>
                <c:pt idx="26">
                  <c:v>16.052003484948532</c:v>
                </c:pt>
                <c:pt idx="27">
                  <c:v>22.066358664229949</c:v>
                </c:pt>
                <c:pt idx="28">
                  <c:v>25.927161062608793</c:v>
                </c:pt>
                <c:pt idx="29">
                  <c:v>25.713498223095055</c:v>
                </c:pt>
                <c:pt idx="30">
                  <c:v>25.921504035017353</c:v>
                </c:pt>
                <c:pt idx="31">
                  <c:v>24.581547557858741</c:v>
                </c:pt>
                <c:pt idx="32">
                  <c:v>21.543588282503794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12B-4743-970B-22E79C9ACC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33615168"/>
        <c:axId val="1"/>
      </c:lineChart>
      <c:catAx>
        <c:axId val="1333615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3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333615168"/>
        <c:crosses val="autoZero"/>
        <c:crossBetween val="between"/>
        <c:majorUnit val="5"/>
      </c:valAx>
      <c:spPr>
        <a:noFill/>
        <a:ln>
          <a:solidFill>
            <a:schemeClr val="tx1">
              <a:lumMod val="85000"/>
              <a:lumOff val="15000"/>
            </a:schemeClr>
          </a:solidFill>
        </a:ln>
      </c:spPr>
    </c:plotArea>
    <c:plotVisOnly val="1"/>
    <c:dispBlanksAs val="zero"/>
    <c:showDLblsOverMax val="0"/>
  </c:chart>
  <c:spPr>
    <a:ln>
      <a:solidFill>
        <a:schemeClr val="accent1"/>
      </a:solidFill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817436699064167E-2"/>
          <c:y val="4.0849219303288345E-2"/>
          <c:w val="0.89085218266509048"/>
          <c:h val="0.77278313693231426"/>
        </c:manualLayout>
      </c:layout>
      <c:lineChart>
        <c:grouping val="stacked"/>
        <c:varyColors val="0"/>
        <c:ser>
          <c:idx val="0"/>
          <c:order val="0"/>
          <c:marker>
            <c:symbol val="none"/>
          </c:marker>
          <c:cat>
            <c:strRef>
              <c:f>'Total 1990-2019 x sexo'!$A$9:$A$41</c:f>
              <c:strCach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2022p</c:v>
                </c:pt>
              </c:strCache>
            </c:strRef>
          </c:cat>
          <c:val>
            <c:numRef>
              <c:f>'Total 1990-2019 x sexo'!$K$9:$K$41</c:f>
              <c:numCache>
                <c:formatCode>0</c:formatCode>
                <c:ptCount val="33"/>
                <c:pt idx="0">
                  <c:v>1.6632944002736878</c:v>
                </c:pt>
                <c:pt idx="1">
                  <c:v>1.7104439895415389</c:v>
                </c:pt>
                <c:pt idx="2">
                  <c:v>1.7901919590764395</c:v>
                </c:pt>
                <c:pt idx="3">
                  <c:v>1.8071727064470875</c:v>
                </c:pt>
                <c:pt idx="4">
                  <c:v>1.6243245142243523</c:v>
                </c:pt>
                <c:pt idx="5">
                  <c:v>1.6487729126292143</c:v>
                </c:pt>
                <c:pt idx="6">
                  <c:v>1.5518939209385414</c:v>
                </c:pt>
                <c:pt idx="7">
                  <c:v>1.460467281834708</c:v>
                </c:pt>
                <c:pt idx="8">
                  <c:v>1.6395465709500614</c:v>
                </c:pt>
                <c:pt idx="9">
                  <c:v>1.3495167544632685</c:v>
                </c:pt>
                <c:pt idx="10">
                  <c:v>1.3280673167566168</c:v>
                </c:pt>
                <c:pt idx="11">
                  <c:v>1.2703738170480898</c:v>
                </c:pt>
                <c:pt idx="12">
                  <c:v>1.2346509207001573</c:v>
                </c:pt>
                <c:pt idx="13">
                  <c:v>1.2820562866338017</c:v>
                </c:pt>
                <c:pt idx="14">
                  <c:v>1.1639959123180177</c:v>
                </c:pt>
                <c:pt idx="15">
                  <c:v>1.2019288912075738</c:v>
                </c:pt>
                <c:pt idx="16">
                  <c:v>1.1884202531313131</c:v>
                </c:pt>
                <c:pt idx="17">
                  <c:v>0.9162072122422199</c:v>
                </c:pt>
                <c:pt idx="18">
                  <c:v>1.1516516010048738</c:v>
                </c:pt>
                <c:pt idx="19">
                  <c:v>1.5465275712989099</c:v>
                </c:pt>
                <c:pt idx="20">
                  <c:v>1.8730778920478168</c:v>
                </c:pt>
                <c:pt idx="21">
                  <c:v>2.1894933761095023</c:v>
                </c:pt>
                <c:pt idx="22">
                  <c:v>2.2774628445383187</c:v>
                </c:pt>
                <c:pt idx="23">
                  <c:v>2.2582914639569385</c:v>
                </c:pt>
                <c:pt idx="24">
                  <c:v>1.9186822483764157</c:v>
                </c:pt>
                <c:pt idx="25">
                  <c:v>1.8168337222604347</c:v>
                </c:pt>
                <c:pt idx="26">
                  <c:v>2.1007777344972731</c:v>
                </c:pt>
                <c:pt idx="27">
                  <c:v>2.5628045102381587</c:v>
                </c:pt>
                <c:pt idx="28">
                  <c:v>2.8481354580120803</c:v>
                </c:pt>
                <c:pt idx="29">
                  <c:v>2.84599294047882</c:v>
                </c:pt>
                <c:pt idx="30">
                  <c:v>2.9799928931263318</c:v>
                </c:pt>
                <c:pt idx="31">
                  <c:v>2.9909594838588145</c:v>
                </c:pt>
                <c:pt idx="32">
                  <c:v>2.8511496428399057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C32-467E-840A-F2DF51782C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33613920"/>
        <c:axId val="1"/>
      </c:lineChart>
      <c:catAx>
        <c:axId val="1333613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4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333613920"/>
        <c:crosses val="autoZero"/>
        <c:crossBetween val="between"/>
        <c:majorUnit val="1"/>
        <c:minorUnit val="0.1"/>
      </c:valAx>
      <c:spPr>
        <a:ln>
          <a:solidFill>
            <a:sysClr val="windowText" lastClr="000000">
              <a:lumMod val="85000"/>
              <a:lumOff val="15000"/>
            </a:sysClr>
          </a:solidFill>
        </a:ln>
      </c:spPr>
    </c:plotArea>
    <c:plotVisOnly val="1"/>
    <c:dispBlanksAs val="zero"/>
    <c:showDLblsOverMax val="0"/>
  </c:chart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1268615975251099E-2"/>
          <c:y val="3.9025344125596238E-2"/>
          <c:w val="0.88822959653891087"/>
          <c:h val="0.71242455775234126"/>
        </c:manualLayout>
      </c:layout>
      <c:lineChart>
        <c:grouping val="standard"/>
        <c:varyColors val="0"/>
        <c:ser>
          <c:idx val="0"/>
          <c:order val="0"/>
          <c:tx>
            <c:strRef>
              <c:f>'Total 1990-2019 x sexo'!$J$8</c:f>
              <c:strCache>
                <c:ptCount val="1"/>
                <c:pt idx="0">
                  <c:v>Hombres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'Total 1990-2019 x sexo'!$A$9:$A$41</c:f>
              <c:strCach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2022p</c:v>
                </c:pt>
              </c:strCache>
            </c:strRef>
          </c:cat>
          <c:val>
            <c:numRef>
              <c:f>'Total 1990-2019 x sexo'!$J$9:$J$41</c:f>
              <c:numCache>
                <c:formatCode>0</c:formatCode>
                <c:ptCount val="33"/>
                <c:pt idx="0">
                  <c:v>15.586119523098521</c:v>
                </c:pt>
                <c:pt idx="1">
                  <c:v>16.144011213904072</c:v>
                </c:pt>
                <c:pt idx="2">
                  <c:v>17.271249630774665</c:v>
                </c:pt>
                <c:pt idx="3">
                  <c:v>16.852447838070056</c:v>
                </c:pt>
                <c:pt idx="4">
                  <c:v>16.302166313246747</c:v>
                </c:pt>
                <c:pt idx="5">
                  <c:v>15.405487995748668</c:v>
                </c:pt>
                <c:pt idx="6">
                  <c:v>14.667067389043373</c:v>
                </c:pt>
                <c:pt idx="7">
                  <c:v>13.026533875438984</c:v>
                </c:pt>
                <c:pt idx="8">
                  <c:v>12.866814748126272</c:v>
                </c:pt>
                <c:pt idx="9">
                  <c:v>11.520519172426665</c:v>
                </c:pt>
                <c:pt idx="10">
                  <c:v>9.884686372786236</c:v>
                </c:pt>
                <c:pt idx="11">
                  <c:v>9.1598480032746004</c:v>
                </c:pt>
                <c:pt idx="12">
                  <c:v>9.0202608517596392</c:v>
                </c:pt>
                <c:pt idx="13">
                  <c:v>8.6755082466553208</c:v>
                </c:pt>
                <c:pt idx="14">
                  <c:v>8.0060630070285654</c:v>
                </c:pt>
                <c:pt idx="15">
                  <c:v>8.3547099551314457</c:v>
                </c:pt>
                <c:pt idx="16">
                  <c:v>8.6460968423715485</c:v>
                </c:pt>
                <c:pt idx="17">
                  <c:v>7.3909036486364776</c:v>
                </c:pt>
                <c:pt idx="18">
                  <c:v>9.9026630301639607</c:v>
                </c:pt>
                <c:pt idx="19">
                  <c:v>14.489567776577564</c:v>
                </c:pt>
                <c:pt idx="20">
                  <c:v>19.791701668841188</c:v>
                </c:pt>
                <c:pt idx="21">
                  <c:v>21.928113286046401</c:v>
                </c:pt>
                <c:pt idx="22">
                  <c:v>20.493620050772794</c:v>
                </c:pt>
                <c:pt idx="23">
                  <c:v>17.915626843234893</c:v>
                </c:pt>
                <c:pt idx="24">
                  <c:v>15.080744499239087</c:v>
                </c:pt>
                <c:pt idx="25">
                  <c:v>14.804685336042725</c:v>
                </c:pt>
                <c:pt idx="26">
                  <c:v>16.052003484948532</c:v>
                </c:pt>
                <c:pt idx="27">
                  <c:v>22.066358664229949</c:v>
                </c:pt>
                <c:pt idx="28">
                  <c:v>25.927161062608793</c:v>
                </c:pt>
                <c:pt idx="29">
                  <c:v>25.713498223095055</c:v>
                </c:pt>
                <c:pt idx="30">
                  <c:v>25.921504035017353</c:v>
                </c:pt>
                <c:pt idx="31">
                  <c:v>24.581547557858741</c:v>
                </c:pt>
                <c:pt idx="32">
                  <c:v>21.543588282503794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D39-4A06-81B4-5421CB3C4B8C}"/>
            </c:ext>
          </c:extLst>
        </c:ser>
        <c:ser>
          <c:idx val="1"/>
          <c:order val="1"/>
          <c:tx>
            <c:strRef>
              <c:f>'Total 1990-2019 x sexo'!$K$8</c:f>
              <c:strCache>
                <c:ptCount val="1"/>
                <c:pt idx="0">
                  <c:v>Mujeres</c:v>
                </c:pt>
              </c:strCache>
            </c:strRef>
          </c:tx>
          <c:spPr>
            <a:ln w="28575" cap="rnd">
              <a:solidFill>
                <a:schemeClr val="accent6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'Total 1990-2019 x sexo'!$A$9:$A$41</c:f>
              <c:strCache>
                <c:ptCount val="33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2022p</c:v>
                </c:pt>
              </c:strCache>
            </c:strRef>
          </c:cat>
          <c:val>
            <c:numRef>
              <c:f>'Total 1990-2019 x sexo'!$K$9:$K$41</c:f>
              <c:numCache>
                <c:formatCode>0</c:formatCode>
                <c:ptCount val="33"/>
                <c:pt idx="0">
                  <c:v>1.6632944002736878</c:v>
                </c:pt>
                <c:pt idx="1">
                  <c:v>1.7104439895415389</c:v>
                </c:pt>
                <c:pt idx="2">
                  <c:v>1.7901919590764395</c:v>
                </c:pt>
                <c:pt idx="3">
                  <c:v>1.8071727064470875</c:v>
                </c:pt>
                <c:pt idx="4">
                  <c:v>1.6243245142243523</c:v>
                </c:pt>
                <c:pt idx="5">
                  <c:v>1.6487729126292143</c:v>
                </c:pt>
                <c:pt idx="6">
                  <c:v>1.5518939209385414</c:v>
                </c:pt>
                <c:pt idx="7">
                  <c:v>1.460467281834708</c:v>
                </c:pt>
                <c:pt idx="8">
                  <c:v>1.6395465709500614</c:v>
                </c:pt>
                <c:pt idx="9">
                  <c:v>1.3495167544632685</c:v>
                </c:pt>
                <c:pt idx="10">
                  <c:v>1.3280673167566168</c:v>
                </c:pt>
                <c:pt idx="11">
                  <c:v>1.2703738170480898</c:v>
                </c:pt>
                <c:pt idx="12">
                  <c:v>1.2346509207001573</c:v>
                </c:pt>
                <c:pt idx="13">
                  <c:v>1.2820562866338017</c:v>
                </c:pt>
                <c:pt idx="14">
                  <c:v>1.1639959123180177</c:v>
                </c:pt>
                <c:pt idx="15">
                  <c:v>1.2019288912075738</c:v>
                </c:pt>
                <c:pt idx="16">
                  <c:v>1.1884202531313131</c:v>
                </c:pt>
                <c:pt idx="17">
                  <c:v>0.9162072122422199</c:v>
                </c:pt>
                <c:pt idx="18">
                  <c:v>1.1516516010048738</c:v>
                </c:pt>
                <c:pt idx="19">
                  <c:v>1.5465275712989099</c:v>
                </c:pt>
                <c:pt idx="20">
                  <c:v>1.8730778920478168</c:v>
                </c:pt>
                <c:pt idx="21">
                  <c:v>2.1894933761095023</c:v>
                </c:pt>
                <c:pt idx="22">
                  <c:v>2.2774628445383187</c:v>
                </c:pt>
                <c:pt idx="23">
                  <c:v>2.2582914639569385</c:v>
                </c:pt>
                <c:pt idx="24">
                  <c:v>1.9186822483764157</c:v>
                </c:pt>
                <c:pt idx="25">
                  <c:v>1.8168337222604347</c:v>
                </c:pt>
                <c:pt idx="26">
                  <c:v>2.1007777344972731</c:v>
                </c:pt>
                <c:pt idx="27">
                  <c:v>2.5628045102381587</c:v>
                </c:pt>
                <c:pt idx="28">
                  <c:v>2.8481354580120803</c:v>
                </c:pt>
                <c:pt idx="29">
                  <c:v>2.84599294047882</c:v>
                </c:pt>
                <c:pt idx="30">
                  <c:v>2.9799928931263318</c:v>
                </c:pt>
                <c:pt idx="31">
                  <c:v>2.9909594838588145</c:v>
                </c:pt>
                <c:pt idx="32">
                  <c:v>2.8511496428399057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D39-4A06-81B4-5421CB3C4B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33617248"/>
        <c:axId val="1"/>
      </c:lineChart>
      <c:catAx>
        <c:axId val="1333617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333617248"/>
        <c:crosses val="autoZero"/>
        <c:crossBetween val="between"/>
      </c:valAx>
      <c:spPr>
        <a:noFill/>
        <a:ln>
          <a:solidFill>
            <a:sysClr val="windowText" lastClr="000000">
              <a:lumMod val="85000"/>
              <a:lumOff val="15000"/>
            </a:sysClr>
          </a:solidFill>
        </a:ln>
        <a:effectLst/>
      </c:spPr>
    </c:plotArea>
    <c:legend>
      <c:legendPos val="b"/>
      <c:layout>
        <c:manualLayout>
          <c:xMode val="edge"/>
          <c:yMode val="edge"/>
          <c:x val="0.28153186734011193"/>
          <c:y val="0.92550816752019105"/>
          <c:w val="0.43021019431394603"/>
          <c:h val="5.65849577286129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0.01096</cdr:x>
      <cdr:y>0.32875</cdr:y>
    </cdr:from>
    <cdr:to>
      <cdr:x>0.04385</cdr:x>
      <cdr:y>0.62358</cdr:y>
    </cdr:to>
    <cdr:sp macro="" textlink="">
      <cdr:nvSpPr>
        <cdr:cNvPr id="2" name="CuadroTexto 1"/>
        <cdr:cNvSpPr txBox="1"/>
      </cdr:nvSpPr>
      <cdr:spPr>
        <a:xfrm xmlns:a="http://schemas.openxmlformats.org/drawingml/2006/main" rot="16200000">
          <a:off x="-402977" y="1783478"/>
          <a:ext cx="1172308" cy="2198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pPr algn="ctr"/>
          <a:r>
            <a:rPr lang="es-MX" sz="1000">
              <a:latin typeface="Arial" panose="020B0604020202020204" pitchFamily="34" charset="0"/>
              <a:cs typeface="Arial" panose="020B0604020202020204" pitchFamily="34" charset="0"/>
            </a:rPr>
            <a:t>Homicidios</a:t>
          </a:r>
        </a:p>
      </cdr:txBody>
    </cdr:sp>
  </cdr:relSizeAnchor>
  <cdr:relSizeAnchor xmlns:cdr="http://schemas.openxmlformats.org/drawingml/2006/chartDrawing">
    <cdr:from>
      <cdr:x>0.46357</cdr:x>
      <cdr:y>0.92751</cdr:y>
    </cdr:from>
    <cdr:to>
      <cdr:x>0.57532</cdr:x>
      <cdr:y>0.98279</cdr:y>
    </cdr:to>
    <cdr:sp macro="" textlink="">
      <cdr:nvSpPr>
        <cdr:cNvPr id="3" name="CuadroTexto 1"/>
        <cdr:cNvSpPr txBox="1"/>
      </cdr:nvSpPr>
      <cdr:spPr>
        <a:xfrm xmlns:a="http://schemas.openxmlformats.org/drawingml/2006/main">
          <a:off x="3098242" y="3688092"/>
          <a:ext cx="746860" cy="2198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000">
              <a:latin typeface="Arial" panose="020B0604020202020204" pitchFamily="34" charset="0"/>
              <a:cs typeface="Arial" panose="020B0604020202020204" pitchFamily="34" charset="0"/>
            </a:rPr>
            <a:t>Año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0.01256</cdr:x>
      <cdr:y>0.26607</cdr:y>
    </cdr:from>
    <cdr:to>
      <cdr:x>0.04629</cdr:x>
      <cdr:y>0.61495</cdr:y>
    </cdr:to>
    <cdr:sp macro="" textlink="">
      <cdr:nvSpPr>
        <cdr:cNvPr id="2" name="CuadroTexto 1"/>
        <cdr:cNvSpPr txBox="1"/>
      </cdr:nvSpPr>
      <cdr:spPr>
        <a:xfrm xmlns:a="http://schemas.openxmlformats.org/drawingml/2006/main" rot="16200000">
          <a:off x="-435641" y="1493878"/>
          <a:ext cx="1270491" cy="2287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000">
              <a:latin typeface="Arial" panose="020B0604020202020204" pitchFamily="34" charset="0"/>
              <a:cs typeface="Arial" panose="020B0604020202020204" pitchFamily="34" charset="0"/>
            </a:rPr>
            <a:t>Tasa</a:t>
          </a:r>
        </a:p>
      </cdr:txBody>
    </cdr:sp>
  </cdr:relSizeAnchor>
  <cdr:relSizeAnchor xmlns:cdr="http://schemas.openxmlformats.org/drawingml/2006/chartDrawing">
    <cdr:from>
      <cdr:x>0.4484</cdr:x>
      <cdr:y>0.91984</cdr:y>
    </cdr:from>
    <cdr:to>
      <cdr:x>0.56205</cdr:x>
      <cdr:y>0.98099</cdr:y>
    </cdr:to>
    <cdr:sp macro="" textlink="">
      <cdr:nvSpPr>
        <cdr:cNvPr id="3" name="CuadroTexto 1"/>
        <cdr:cNvSpPr txBox="1"/>
      </cdr:nvSpPr>
      <cdr:spPr>
        <a:xfrm xmlns:a="http://schemas.openxmlformats.org/drawingml/2006/main">
          <a:off x="3041731" y="3363815"/>
          <a:ext cx="770974" cy="2236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000">
              <a:latin typeface="Arial" panose="020B0604020202020204" pitchFamily="34" charset="0"/>
              <a:cs typeface="Arial" panose="020B0604020202020204" pitchFamily="34" charset="0"/>
            </a:rPr>
            <a:t>Año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0.02128</cdr:x>
      <cdr:y>0.28301</cdr:y>
    </cdr:from>
    <cdr:to>
      <cdr:x>0.0551</cdr:x>
      <cdr:y>0.63804</cdr:y>
    </cdr:to>
    <cdr:sp macro="" textlink="">
      <cdr:nvSpPr>
        <cdr:cNvPr id="2" name="CuadroTexto 1"/>
        <cdr:cNvSpPr txBox="1"/>
      </cdr:nvSpPr>
      <cdr:spPr>
        <a:xfrm xmlns:a="http://schemas.openxmlformats.org/drawingml/2006/main" rot="16200000">
          <a:off x="-375855" y="1534629"/>
          <a:ext cx="1270491" cy="2287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000">
              <a:latin typeface="Arial" panose="020B0604020202020204" pitchFamily="34" charset="0"/>
              <a:cs typeface="Arial" panose="020B0604020202020204" pitchFamily="34" charset="0"/>
            </a:rPr>
            <a:t>Tasa</a:t>
          </a:r>
        </a:p>
      </cdr:txBody>
    </cdr:sp>
  </cdr:relSizeAnchor>
  <cdr:relSizeAnchor xmlns:cdr="http://schemas.openxmlformats.org/drawingml/2006/chartDrawing">
    <cdr:from>
      <cdr:x>0.43449</cdr:x>
      <cdr:y>0.91725</cdr:y>
    </cdr:from>
    <cdr:to>
      <cdr:x>0.54764</cdr:x>
      <cdr:y>0.97958</cdr:y>
    </cdr:to>
    <cdr:sp macro="" textlink="">
      <cdr:nvSpPr>
        <cdr:cNvPr id="3" name="CuadroTexto 1"/>
        <cdr:cNvSpPr txBox="1"/>
      </cdr:nvSpPr>
      <cdr:spPr>
        <a:xfrm xmlns:a="http://schemas.openxmlformats.org/drawingml/2006/main">
          <a:off x="2960636" y="3291389"/>
          <a:ext cx="770974" cy="2236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000">
              <a:latin typeface="Arial" panose="020B0604020202020204" pitchFamily="34" charset="0"/>
              <a:cs typeface="Arial" panose="020B0604020202020204" pitchFamily="34" charset="0"/>
            </a:rPr>
            <a:t>Año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0.01234</cdr:x>
      <cdr:y>0.2597</cdr:y>
    </cdr:from>
    <cdr:to>
      <cdr:x>0.04669</cdr:x>
      <cdr:y>0.6312</cdr:y>
    </cdr:to>
    <cdr:sp macro="" textlink="">
      <cdr:nvSpPr>
        <cdr:cNvPr id="4" name="CuadroTexto 1"/>
        <cdr:cNvSpPr txBox="1"/>
      </cdr:nvSpPr>
      <cdr:spPr>
        <a:xfrm xmlns:a="http://schemas.openxmlformats.org/drawingml/2006/main" rot="16200000">
          <a:off x="-438658" y="1409024"/>
          <a:ext cx="1270491" cy="2287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000">
              <a:latin typeface="Arial" panose="020B0604020202020204" pitchFamily="34" charset="0"/>
              <a:cs typeface="Arial" panose="020B0604020202020204" pitchFamily="34" charset="0"/>
            </a:rPr>
            <a:t>Tasa</a:t>
          </a:r>
        </a:p>
      </cdr:txBody>
    </cdr:sp>
  </cdr:relSizeAnchor>
  <cdr:relSizeAnchor xmlns:cdr="http://schemas.openxmlformats.org/drawingml/2006/chartDrawing">
    <cdr:from>
      <cdr:x>0.45077</cdr:x>
      <cdr:y>0.92692</cdr:y>
    </cdr:from>
    <cdr:to>
      <cdr:x>0.56652</cdr:x>
      <cdr:y>0.99232</cdr:y>
    </cdr:to>
    <cdr:sp macro="" textlink="">
      <cdr:nvSpPr>
        <cdr:cNvPr id="5" name="CuadroTexto 1"/>
        <cdr:cNvSpPr txBox="1"/>
      </cdr:nvSpPr>
      <cdr:spPr>
        <a:xfrm xmlns:a="http://schemas.openxmlformats.org/drawingml/2006/main">
          <a:off x="3002503" y="3169976"/>
          <a:ext cx="770974" cy="2236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000">
              <a:latin typeface="Arial" panose="020B0604020202020204" pitchFamily="34" charset="0"/>
              <a:cs typeface="Arial" panose="020B0604020202020204" pitchFamily="34" charset="0"/>
            </a:rPr>
            <a:t>Año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0.01206</cdr:x>
      <cdr:y>0.2598</cdr:y>
    </cdr:from>
    <cdr:to>
      <cdr:x>0.04635</cdr:x>
      <cdr:y>0.6316</cdr:y>
    </cdr:to>
    <cdr:sp macro="" textlink="">
      <cdr:nvSpPr>
        <cdr:cNvPr id="2" name="CuadroTexto 1"/>
        <cdr:cNvSpPr txBox="1"/>
      </cdr:nvSpPr>
      <cdr:spPr>
        <a:xfrm xmlns:a="http://schemas.openxmlformats.org/drawingml/2006/main" rot="16200000">
          <a:off x="-466439" y="1478670"/>
          <a:ext cx="1330918" cy="2336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000">
              <a:latin typeface="Arial" panose="020B0604020202020204" pitchFamily="34" charset="0"/>
              <a:cs typeface="Arial" panose="020B0604020202020204" pitchFamily="34" charset="0"/>
            </a:rPr>
            <a:t>Tasa</a:t>
          </a:r>
        </a:p>
      </cdr:txBody>
    </cdr:sp>
  </cdr:relSizeAnchor>
  <cdr:relSizeAnchor xmlns:cdr="http://schemas.openxmlformats.org/drawingml/2006/chartDrawing">
    <cdr:from>
      <cdr:x>0.45231</cdr:x>
      <cdr:y>0.8556</cdr:y>
    </cdr:from>
    <cdr:to>
      <cdr:x>0.56786</cdr:x>
      <cdr:y>0.92105</cdr:y>
    </cdr:to>
    <cdr:sp macro="" textlink="">
      <cdr:nvSpPr>
        <cdr:cNvPr id="3" name="CuadroTexto 1"/>
        <cdr:cNvSpPr txBox="1"/>
      </cdr:nvSpPr>
      <cdr:spPr>
        <a:xfrm xmlns:a="http://schemas.openxmlformats.org/drawingml/2006/main">
          <a:off x="3157799" y="3215072"/>
          <a:ext cx="806730" cy="2459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000">
              <a:latin typeface="Arial" panose="020B0604020202020204" pitchFamily="34" charset="0"/>
              <a:cs typeface="Arial" panose="020B0604020202020204" pitchFamily="34" charset="0"/>
            </a:rPr>
            <a:t>Año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f4799e-5b5f-4251-8ae8-4b8d203b7d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E7DE69326A04EAEFAC25C42C2BC54" ma:contentTypeVersion="14" ma:contentTypeDescription="Create a new document." ma:contentTypeScope="" ma:versionID="f1d70df29238289cac5ea90984985479">
  <xsd:schema xmlns:xsd="http://www.w3.org/2001/XMLSchema" xmlns:xs="http://www.w3.org/2001/XMLSchema" xmlns:p="http://schemas.microsoft.com/office/2006/metadata/properties" xmlns:ns3="af2cff2e-1f2a-4512-864c-6bfd8a941ec6" xmlns:ns4="9df4799e-5b5f-4251-8ae8-4b8d203b7d4e" targetNamespace="http://schemas.microsoft.com/office/2006/metadata/properties" ma:root="true" ma:fieldsID="420647d1d45a45618ad978b93f3f64dd" ns3:_="" ns4:_="">
    <xsd:import namespace="af2cff2e-1f2a-4512-864c-6bfd8a941ec6"/>
    <xsd:import namespace="9df4799e-5b5f-4251-8ae8-4b8d203b7d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cff2e-1f2a-4512-864c-6bfd8a941e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4799e-5b5f-4251-8ae8-4b8d203b7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25582-5A6A-4AD9-BDE5-6F6DD94A9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1BBBD2-6E57-4885-9DDF-263CF814C774}">
  <ds:schemaRefs>
    <ds:schemaRef ds:uri="http://schemas.microsoft.com/office/2006/metadata/properties"/>
    <ds:schemaRef ds:uri="http://schemas.microsoft.com/office/infopath/2007/PartnerControls"/>
    <ds:schemaRef ds:uri="9df4799e-5b5f-4251-8ae8-4b8d203b7d4e"/>
  </ds:schemaRefs>
</ds:datastoreItem>
</file>

<file path=customXml/itemProps3.xml><?xml version="1.0" encoding="utf-8"?>
<ds:datastoreItem xmlns:ds="http://schemas.openxmlformats.org/officeDocument/2006/customXml" ds:itemID="{0268AFF1-40D2-44D5-9B75-7435D5D3E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cff2e-1f2a-4512-864c-6bfd8a941ec6"/>
    <ds:schemaRef ds:uri="9df4799e-5b5f-4251-8ae8-4b8d203b7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1FB12B-F7C8-4BE6-9192-BF094CB7D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2307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DEFUNCIONES POR HOMICIDIO DE ENERO A JUNIO DE 2022</vt:lpstr>
    </vt:vector>
  </TitlesOfParts>
  <Company>INEGI</Company>
  <LinksUpToDate>false</LinksUpToDate>
  <CharactersWithSpaces>14967</CharactersWithSpaces>
  <SharedDoc>false</SharedDoc>
  <HLinks>
    <vt:vector size="36" baseType="variant">
      <vt:variant>
        <vt:i4>262227</vt:i4>
      </vt:variant>
      <vt:variant>
        <vt:i4>15</vt:i4>
      </vt:variant>
      <vt:variant>
        <vt:i4>0</vt:i4>
      </vt:variant>
      <vt:variant>
        <vt:i4>5</vt:i4>
      </vt:variant>
      <vt:variant>
        <vt:lpwstr>http://www.inegi.org.mx/</vt:lpwstr>
      </vt:variant>
      <vt:variant>
        <vt:lpwstr/>
      </vt:variant>
      <vt:variant>
        <vt:i4>5701657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https://www.youtube.com/user/INEGIInforma</vt:lpwstr>
      </vt:variant>
      <vt:variant>
        <vt:lpwstr/>
      </vt:variant>
      <vt:variant>
        <vt:i4>2293837</vt:i4>
      </vt:variant>
      <vt:variant>
        <vt:i4>9</vt:i4>
      </vt:variant>
      <vt:variant>
        <vt:i4>0</vt:i4>
      </vt:variant>
      <vt:variant>
        <vt:i4>5</vt:i4>
      </vt:variant>
      <vt:variant>
        <vt:lpwstr>https://twitter.com/INEGI_INFORMA</vt:lpwstr>
      </vt:variant>
      <vt:variant>
        <vt:lpwstr/>
      </vt:variant>
      <vt:variant>
        <vt:i4>3080275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https://www.instagram.com/inegi_informa/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https://www.facebook.com/INEGIInforma/</vt:lpwstr>
      </vt:variant>
      <vt:variant>
        <vt:lpwstr/>
      </vt:variant>
      <vt:variant>
        <vt:i4>6225973</vt:i4>
      </vt:variant>
      <vt:variant>
        <vt:i4>0</vt:i4>
      </vt:variant>
      <vt:variant>
        <vt:i4>0</vt:i4>
      </vt:variant>
      <vt:variant>
        <vt:i4>5</vt:i4>
      </vt:variant>
      <vt:variant>
        <vt:lpwstr>mailto:comunicacionsocial@inegi.org.mx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DEFUNCIONES POR HOMICIDIO DE ENERO A JUNIO DE 2022</dc:title>
  <dc:subject/>
  <dc:creator>INEGI</dc:creator>
  <cp:keywords/>
  <cp:lastModifiedBy>GUILLEN MEDINA MOISES</cp:lastModifiedBy>
  <cp:revision>11</cp:revision>
  <cp:lastPrinted>2023-01-21T01:07:00Z</cp:lastPrinted>
  <dcterms:created xsi:type="dcterms:W3CDTF">2023-01-21T01:06:00Z</dcterms:created>
  <dcterms:modified xsi:type="dcterms:W3CDTF">2023-01-21T02:48:00Z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0x01010056AE7DE69326A04EAEFAC25C42C2BC54</vt:lpwstr>
  </property>
</Properties>
</file>