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6603" w14:textId="7AA40D3B" w:rsidR="00AB57A8" w:rsidRDefault="00AB57A8" w:rsidP="00AB57A8">
      <w:pPr>
        <w:spacing w:after="0" w:line="240" w:lineRule="auto"/>
        <w:ind w:right="-658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29C8ED7" w14:textId="77777777" w:rsidR="00B11AC4" w:rsidRDefault="00B11AC4" w:rsidP="00AB57A8">
      <w:pPr>
        <w:spacing w:after="0" w:line="240" w:lineRule="auto"/>
        <w:ind w:right="-658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7B99D469" w14:textId="0E59F202" w:rsidR="00AB57A8" w:rsidRDefault="00AB57A8" w:rsidP="00B17143">
      <w:pPr>
        <w:spacing w:after="0" w:line="240" w:lineRule="auto"/>
        <w:ind w:right="-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AB57A8">
        <w:rPr>
          <w:rFonts w:ascii="Arial" w:hAnsi="Arial" w:cs="Arial"/>
          <w:b/>
          <w:color w:val="000000" w:themeColor="text1"/>
          <w:sz w:val="24"/>
          <w:szCs w:val="24"/>
        </w:rPr>
        <w:t>ENCUESTA DE COMERCIO INTERNACIONAL DE SERVICIOS (</w:t>
      </w:r>
      <w:r w:rsidR="008C0CD6" w:rsidRPr="008C0CD6">
        <w:rPr>
          <w:rFonts w:ascii="Arial" w:hAnsi="Arial" w:cs="Arial"/>
          <w:b/>
          <w:smallCaps/>
          <w:color w:val="000000" w:themeColor="text1"/>
          <w:sz w:val="24"/>
          <w:szCs w:val="24"/>
        </w:rPr>
        <w:t>ecis</w:t>
      </w:r>
      <w:r w:rsidRPr="00AB57A8">
        <w:rPr>
          <w:rFonts w:ascii="Arial" w:hAnsi="Arial" w:cs="Arial"/>
          <w:b/>
          <w:color w:val="000000" w:themeColor="text1"/>
          <w:sz w:val="24"/>
          <w:szCs w:val="24"/>
        </w:rPr>
        <w:t>) 2022</w:t>
      </w:r>
    </w:p>
    <w:p w14:paraId="1FC0880B" w14:textId="77777777" w:rsidR="00B17143" w:rsidRPr="00B17143" w:rsidRDefault="00B17143" w:rsidP="00B17143">
      <w:pPr>
        <w:spacing w:after="0" w:line="240" w:lineRule="auto"/>
        <w:ind w:right="-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09AC4F" w14:textId="4F5AB18B" w:rsidR="00B17143" w:rsidRPr="00B17143" w:rsidRDefault="00AB57A8" w:rsidP="002A056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right="567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1714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2021, 5</w:t>
      </w:r>
      <w:r w:rsidR="008C0C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B1714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221 empresas</w:t>
      </w:r>
      <w:r w:rsidR="00F53921" w:rsidRPr="00B1714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realizar</w:t>
      </w:r>
      <w:r w:rsidR="008C0C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r w:rsidR="00F53921" w:rsidRPr="00B1714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8C0C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</w:t>
      </w:r>
      <w:r w:rsidR="00F53921" w:rsidRPr="00B1714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omercio </w:t>
      </w:r>
      <w:r w:rsidR="008C0C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</w:t>
      </w:r>
      <w:r w:rsidR="00F53921" w:rsidRPr="00B1714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nternacional de </w:t>
      </w:r>
      <w:r w:rsidR="008C0C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</w:t>
      </w:r>
      <w:r w:rsidR="00F53921" w:rsidRPr="00B1714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ervicios </w:t>
      </w:r>
      <w:r w:rsidR="008C0C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="008C0CD6" w:rsidRPr="002A0561">
        <w:rPr>
          <w:rFonts w:ascii="Arial" w:eastAsia="Times New Roman" w:hAnsi="Arial" w:cs="Arial"/>
          <w:smallCaps/>
          <w:color w:val="000000"/>
          <w:sz w:val="24"/>
          <w:szCs w:val="24"/>
          <w:lang w:eastAsia="es-ES"/>
        </w:rPr>
        <w:t>cis</w:t>
      </w:r>
      <w:r w:rsidR="008C0C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  <w:r w:rsidR="0097603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F53921" w:rsidRPr="00B1714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al menos un servicio, lo que representó 53.3 % del total de empresas a nivel nacional. Esta cifra fue 1.5 puntos porcentuales m</w:t>
      </w:r>
      <w:r w:rsidR="008C0C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ayor</w:t>
      </w:r>
      <w:r w:rsidR="00F53921" w:rsidRPr="00B1714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en 2020.</w:t>
      </w:r>
    </w:p>
    <w:p w14:paraId="1C028972" w14:textId="1312A0E6" w:rsidR="0085694A" w:rsidRPr="0085694A" w:rsidRDefault="00D307BF" w:rsidP="002A056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right="56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total de ingresos por </w:t>
      </w:r>
      <w:r w:rsidRPr="002A0561">
        <w:rPr>
          <w:rFonts w:ascii="Arial" w:eastAsia="Times New Roman" w:hAnsi="Arial" w:cs="Arial"/>
          <w:smallCaps/>
          <w:color w:val="000000"/>
          <w:sz w:val="24"/>
          <w:szCs w:val="24"/>
          <w:lang w:eastAsia="es-ES"/>
        </w:rPr>
        <w:t>cis</w:t>
      </w:r>
      <w:r w:rsidRPr="0085694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2021 fue de 791 541.8 millones de pesos. </w:t>
      </w:r>
      <w:r w:rsidR="0085694A" w:rsidRPr="0085694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Los </w:t>
      </w:r>
      <w:r w:rsidR="00FD324A">
        <w:rPr>
          <w:rFonts w:ascii="Arial" w:hAnsi="Arial" w:cs="Arial"/>
          <w:sz w:val="24"/>
          <w:szCs w:val="24"/>
        </w:rPr>
        <w:t>«</w:t>
      </w:r>
      <w:r w:rsidR="0085694A" w:rsidRPr="0085694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servicios de manufactura en insumos físicos que son propiedad de otros</w:t>
      </w:r>
      <w:r w:rsidR="00F14E96">
        <w:rPr>
          <w:rFonts w:ascii="Arial" w:hAnsi="Arial" w:cs="Arial"/>
          <w:sz w:val="24"/>
          <w:szCs w:val="24"/>
        </w:rPr>
        <w:t>»</w:t>
      </w:r>
      <w:r w:rsidR="0085694A" w:rsidRPr="0085694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fueron la principal fuente de ingresos de </w:t>
      </w:r>
      <w:r w:rsidR="008C0CD6" w:rsidRPr="008C0CD6">
        <w:rPr>
          <w:rFonts w:ascii="Arial" w:eastAsia="Times New Roman" w:hAnsi="Arial" w:cs="Arial"/>
          <w:smallCaps/>
          <w:color w:val="000000"/>
          <w:sz w:val="24"/>
          <w:szCs w:val="24"/>
          <w:lang w:eastAsia="es-ES"/>
        </w:rPr>
        <w:t>cis</w:t>
      </w:r>
      <w:r w:rsidR="008C0C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Estos</w:t>
      </w:r>
      <w:r w:rsidR="0085694A" w:rsidRPr="0085694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aporta</w:t>
      </w:r>
      <w:r w:rsidR="008C0CD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ron</w:t>
      </w:r>
      <w:r w:rsidR="0085694A" w:rsidRPr="0085694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80.5 % del total para 2021. Dicha participación se mantuvo con respecto de 2020.</w:t>
      </w:r>
    </w:p>
    <w:p w14:paraId="609BC9C0" w14:textId="4CB34C01" w:rsidR="00B17143" w:rsidRPr="002A0561" w:rsidRDefault="0085694A" w:rsidP="00864FE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right="567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1" w:name="_Hlk147848021"/>
      <w:r w:rsidRPr="0085694A">
        <w:rPr>
          <w:rFonts w:ascii="Arial" w:hAnsi="Arial" w:cs="Arial"/>
          <w:sz w:val="24"/>
          <w:szCs w:val="24"/>
        </w:rPr>
        <w:t xml:space="preserve">Del total de gastos reportados por las empresas que realizaron </w:t>
      </w:r>
      <w:r w:rsidR="008C0CD6" w:rsidRPr="008C0CD6">
        <w:rPr>
          <w:rFonts w:ascii="Arial" w:hAnsi="Arial" w:cs="Arial"/>
          <w:smallCaps/>
          <w:sz w:val="24"/>
          <w:szCs w:val="24"/>
        </w:rPr>
        <w:t>cis</w:t>
      </w:r>
      <w:r w:rsidR="00D307BF">
        <w:rPr>
          <w:rFonts w:ascii="Arial" w:hAnsi="Arial" w:cs="Arial"/>
          <w:smallCaps/>
          <w:sz w:val="24"/>
          <w:szCs w:val="24"/>
        </w:rPr>
        <w:t xml:space="preserve">, 222 717.6 </w:t>
      </w:r>
      <w:r w:rsidR="00D307BF">
        <w:rPr>
          <w:rFonts w:ascii="Arial" w:hAnsi="Arial" w:cs="Arial"/>
          <w:sz w:val="24"/>
          <w:szCs w:val="24"/>
        </w:rPr>
        <w:t>millones de pesos en 2021</w:t>
      </w:r>
      <w:r w:rsidRPr="0085694A">
        <w:rPr>
          <w:rFonts w:ascii="Arial" w:hAnsi="Arial" w:cs="Arial"/>
          <w:sz w:val="24"/>
          <w:szCs w:val="24"/>
        </w:rPr>
        <w:t>, la mayor parte correspond</w:t>
      </w:r>
      <w:r w:rsidR="0097603B">
        <w:rPr>
          <w:rFonts w:ascii="Arial" w:hAnsi="Arial" w:cs="Arial"/>
          <w:sz w:val="24"/>
          <w:szCs w:val="24"/>
        </w:rPr>
        <w:t>ió</w:t>
      </w:r>
      <w:r w:rsidRPr="0085694A">
        <w:rPr>
          <w:rFonts w:ascii="Arial" w:hAnsi="Arial" w:cs="Arial"/>
          <w:sz w:val="24"/>
          <w:szCs w:val="24"/>
        </w:rPr>
        <w:t xml:space="preserve"> a </w:t>
      </w:r>
      <w:r w:rsidR="00F14E96">
        <w:rPr>
          <w:rFonts w:ascii="Arial" w:hAnsi="Arial" w:cs="Arial"/>
          <w:sz w:val="24"/>
          <w:szCs w:val="24"/>
        </w:rPr>
        <w:t>«</w:t>
      </w:r>
      <w:r w:rsidRPr="0085694A">
        <w:rPr>
          <w:rFonts w:ascii="Arial" w:hAnsi="Arial" w:cs="Arial"/>
          <w:sz w:val="24"/>
          <w:szCs w:val="24"/>
        </w:rPr>
        <w:t xml:space="preserve">cargos por </w:t>
      </w:r>
      <w:r w:rsidR="00F14E96">
        <w:rPr>
          <w:rFonts w:ascii="Arial" w:hAnsi="Arial" w:cs="Arial"/>
          <w:sz w:val="24"/>
          <w:szCs w:val="24"/>
        </w:rPr>
        <w:t xml:space="preserve">el </w:t>
      </w:r>
      <w:r w:rsidRPr="0085694A">
        <w:rPr>
          <w:rFonts w:ascii="Arial" w:hAnsi="Arial" w:cs="Arial"/>
          <w:sz w:val="24"/>
          <w:szCs w:val="24"/>
        </w:rPr>
        <w:t>uso de la propiedad intelectual</w:t>
      </w:r>
      <w:r w:rsidR="00F14E96">
        <w:rPr>
          <w:rFonts w:ascii="Arial" w:hAnsi="Arial" w:cs="Arial"/>
          <w:sz w:val="24"/>
          <w:szCs w:val="24"/>
        </w:rPr>
        <w:t>»</w:t>
      </w:r>
      <w:r w:rsidRPr="0085694A">
        <w:rPr>
          <w:rFonts w:ascii="Arial" w:hAnsi="Arial" w:cs="Arial"/>
          <w:sz w:val="24"/>
          <w:szCs w:val="24"/>
        </w:rPr>
        <w:t xml:space="preserve">, </w:t>
      </w:r>
      <w:r w:rsidR="008C0CD6">
        <w:rPr>
          <w:rFonts w:ascii="Arial" w:hAnsi="Arial" w:cs="Arial"/>
          <w:sz w:val="24"/>
          <w:szCs w:val="24"/>
        </w:rPr>
        <w:t xml:space="preserve">con </w:t>
      </w:r>
      <w:r w:rsidRPr="0085694A">
        <w:rPr>
          <w:rFonts w:ascii="Arial" w:hAnsi="Arial" w:cs="Arial"/>
          <w:sz w:val="24"/>
          <w:szCs w:val="24"/>
        </w:rPr>
        <w:t xml:space="preserve">26.9 %, lo que significó un aumento de 4.5 puntos porcentuales </w:t>
      </w:r>
      <w:r w:rsidR="008C0CD6">
        <w:rPr>
          <w:rFonts w:ascii="Arial" w:hAnsi="Arial" w:cs="Arial"/>
          <w:sz w:val="24"/>
          <w:szCs w:val="24"/>
        </w:rPr>
        <w:t>en comparación con</w:t>
      </w:r>
      <w:r w:rsidRPr="0085694A">
        <w:rPr>
          <w:rFonts w:ascii="Arial" w:hAnsi="Arial" w:cs="Arial"/>
          <w:sz w:val="24"/>
          <w:szCs w:val="24"/>
        </w:rPr>
        <w:t xml:space="preserve"> 2020.</w:t>
      </w:r>
    </w:p>
    <w:p w14:paraId="1A9CB3BE" w14:textId="77777777" w:rsidR="00864FE5" w:rsidRPr="0078254A" w:rsidRDefault="00864FE5" w:rsidP="002A0561">
      <w:pPr>
        <w:pStyle w:val="Prrafodelista"/>
        <w:autoSpaceDE w:val="0"/>
        <w:autoSpaceDN w:val="0"/>
        <w:adjustRightInd w:val="0"/>
        <w:spacing w:before="120" w:after="120" w:line="240" w:lineRule="auto"/>
        <w:ind w:left="709" w:right="567"/>
        <w:contextualSpacing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bookmarkEnd w:id="1"/>
    <w:p w14:paraId="591B6117" w14:textId="7056901F" w:rsidR="00AB57A8" w:rsidRDefault="00F53921" w:rsidP="002A056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B17143">
        <w:rPr>
          <w:rFonts w:ascii="Arial" w:eastAsia="Times New Roman" w:hAnsi="Arial" w:cs="Times New Roman"/>
          <w:sz w:val="24"/>
          <w:szCs w:val="20"/>
          <w:lang w:eastAsia="es-ES"/>
        </w:rPr>
        <w:t>El Instituto Nacional de Estadística y Geografía (</w:t>
      </w:r>
      <w:r w:rsidR="008C0CD6" w:rsidRPr="008C0CD6">
        <w:rPr>
          <w:rFonts w:ascii="Arial" w:eastAsia="Times New Roman" w:hAnsi="Arial" w:cs="Times New Roman"/>
          <w:smallCaps/>
          <w:sz w:val="24"/>
          <w:szCs w:val="20"/>
          <w:lang w:eastAsia="es-ES"/>
        </w:rPr>
        <w:t>inegi</w:t>
      </w:r>
      <w:r w:rsidRPr="00B17143">
        <w:rPr>
          <w:rFonts w:ascii="Arial" w:eastAsia="Times New Roman" w:hAnsi="Arial" w:cs="Times New Roman"/>
          <w:sz w:val="24"/>
          <w:szCs w:val="20"/>
          <w:lang w:eastAsia="es-ES"/>
        </w:rPr>
        <w:t>) presenta</w:t>
      </w:r>
      <w:r w:rsidR="0097603B">
        <w:rPr>
          <w:rFonts w:ascii="Arial" w:eastAsia="Times New Roman" w:hAnsi="Arial" w:cs="Times New Roman"/>
          <w:sz w:val="24"/>
          <w:szCs w:val="20"/>
          <w:lang w:eastAsia="es-ES"/>
        </w:rPr>
        <w:t>,</w:t>
      </w:r>
      <w:r w:rsidRPr="00B17143">
        <w:rPr>
          <w:rFonts w:ascii="Arial" w:eastAsia="Times New Roman" w:hAnsi="Arial" w:cs="Times New Roman"/>
          <w:sz w:val="24"/>
          <w:szCs w:val="20"/>
          <w:lang w:eastAsia="es-ES"/>
        </w:rPr>
        <w:t xml:space="preserve"> por segunda</w:t>
      </w:r>
      <w:r w:rsidR="004509B0">
        <w:rPr>
          <w:rFonts w:ascii="Arial" w:eastAsia="Times New Roman" w:hAnsi="Arial" w:cs="Times New Roman"/>
          <w:sz w:val="24"/>
          <w:szCs w:val="20"/>
          <w:lang w:eastAsia="es-ES"/>
        </w:rPr>
        <w:t xml:space="preserve"> ocasión</w:t>
      </w:r>
      <w:r w:rsidRPr="00B17143">
        <w:rPr>
          <w:rFonts w:ascii="Arial" w:eastAsia="Times New Roman" w:hAnsi="Arial" w:cs="Times New Roman"/>
          <w:sz w:val="24"/>
          <w:szCs w:val="20"/>
          <w:lang w:eastAsia="es-ES"/>
        </w:rPr>
        <w:t>, la Encuesta de Comercio Internacional de Servicios (</w:t>
      </w:r>
      <w:r w:rsidR="008C0CD6" w:rsidRPr="008C0CD6">
        <w:rPr>
          <w:rFonts w:ascii="Arial" w:eastAsia="Times New Roman" w:hAnsi="Arial" w:cs="Times New Roman"/>
          <w:smallCaps/>
          <w:sz w:val="24"/>
          <w:szCs w:val="20"/>
          <w:lang w:eastAsia="es-ES"/>
        </w:rPr>
        <w:t>ecis</w:t>
      </w:r>
      <w:r w:rsidRPr="00B17143">
        <w:rPr>
          <w:rFonts w:ascii="Arial" w:eastAsia="Times New Roman" w:hAnsi="Arial" w:cs="Times New Roman"/>
          <w:sz w:val="24"/>
          <w:szCs w:val="20"/>
          <w:lang w:eastAsia="es-ES"/>
        </w:rPr>
        <w:t>) 2022 con datos de 2021. Esta encuesta, que forma parte de las estadísticas experimentales del Subsistema</w:t>
      </w:r>
      <w:r w:rsidR="00B32D0E">
        <w:rPr>
          <w:rFonts w:ascii="Arial" w:eastAsia="Times New Roman" w:hAnsi="Arial" w:cs="Times New Roman"/>
          <w:sz w:val="24"/>
          <w:szCs w:val="20"/>
          <w:lang w:eastAsia="es-ES"/>
        </w:rPr>
        <w:t xml:space="preserve"> Nacional</w:t>
      </w:r>
      <w:r w:rsidRPr="00B17143">
        <w:rPr>
          <w:rFonts w:ascii="Arial" w:eastAsia="Times New Roman" w:hAnsi="Arial" w:cs="Times New Roman"/>
          <w:sz w:val="24"/>
          <w:szCs w:val="20"/>
          <w:lang w:eastAsia="es-ES"/>
        </w:rPr>
        <w:t xml:space="preserve"> de Información Económica, permite medir los flujos de ingresos y gastos con el exterior de acuerdo con el Manual de Estadísticas del Comercio Internacional de Servicios </w:t>
      </w:r>
      <w:r w:rsidRPr="00902A81">
        <w:rPr>
          <w:rFonts w:ascii="Arial" w:eastAsia="Times New Roman" w:hAnsi="Arial" w:cs="Times New Roman"/>
          <w:sz w:val="24"/>
          <w:szCs w:val="20"/>
          <w:lang w:eastAsia="es-ES"/>
        </w:rPr>
        <w:t>2010</w:t>
      </w:r>
      <w:r w:rsidR="00342852" w:rsidRPr="00B17143">
        <w:rPr>
          <w:rFonts w:ascii="Arial" w:eastAsia="Times New Roman" w:hAnsi="Arial" w:cs="Times New Roman"/>
          <w:sz w:val="24"/>
          <w:szCs w:val="20"/>
          <w:lang w:eastAsia="es-ES"/>
        </w:rPr>
        <w:t>.</w:t>
      </w:r>
    </w:p>
    <w:p w14:paraId="22563786" w14:textId="77777777" w:rsidR="008303C0" w:rsidRDefault="008303C0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00A55F" w14:textId="32B6C38E" w:rsidR="00AB57A8" w:rsidRPr="00D47EB0" w:rsidRDefault="008303C0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2788">
        <w:rPr>
          <w:rFonts w:ascii="Arial" w:hAnsi="Arial" w:cs="Arial"/>
          <w:sz w:val="24"/>
          <w:szCs w:val="24"/>
        </w:rPr>
        <w:t xml:space="preserve">La población objetivo </w:t>
      </w:r>
      <w:r>
        <w:rPr>
          <w:rFonts w:ascii="Arial" w:hAnsi="Arial" w:cs="Arial"/>
          <w:sz w:val="24"/>
          <w:szCs w:val="24"/>
        </w:rPr>
        <w:t>considera 9</w:t>
      </w:r>
      <w:r w:rsidR="00864F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796 </w:t>
      </w:r>
      <w:r w:rsidRPr="008D2788">
        <w:rPr>
          <w:rFonts w:ascii="Arial" w:hAnsi="Arial" w:cs="Arial"/>
          <w:sz w:val="24"/>
          <w:szCs w:val="24"/>
        </w:rPr>
        <w:t xml:space="preserve">empresas del país que en los Censos Económicos </w:t>
      </w:r>
      <w:r w:rsidRPr="00902A81">
        <w:rPr>
          <w:rFonts w:ascii="Arial" w:hAnsi="Arial" w:cs="Arial"/>
          <w:sz w:val="24"/>
          <w:szCs w:val="24"/>
        </w:rPr>
        <w:t>2019</w:t>
      </w:r>
      <w:r w:rsidRPr="008D2788">
        <w:rPr>
          <w:rFonts w:ascii="Arial" w:hAnsi="Arial" w:cs="Arial"/>
          <w:sz w:val="24"/>
          <w:szCs w:val="24"/>
        </w:rPr>
        <w:t xml:space="preserve"> reportaron realizar alguna actividad de servicios con el extranjero o tener alguna relación de propiedad u operacional con empresas en el exterior. </w:t>
      </w:r>
      <w:r w:rsidR="00342852" w:rsidRPr="00D47EB0">
        <w:rPr>
          <w:rFonts w:ascii="Arial" w:hAnsi="Arial" w:cs="Arial"/>
          <w:sz w:val="24"/>
          <w:szCs w:val="24"/>
        </w:rPr>
        <w:t xml:space="preserve">La </w:t>
      </w:r>
      <w:r w:rsidR="00864FE5" w:rsidRPr="00864FE5">
        <w:rPr>
          <w:rFonts w:ascii="Arial" w:hAnsi="Arial" w:cs="Arial"/>
          <w:smallCaps/>
          <w:sz w:val="24"/>
          <w:szCs w:val="24"/>
        </w:rPr>
        <w:t>ecis 2022</w:t>
      </w:r>
      <w:r w:rsidR="00342852" w:rsidRPr="00D47EB0">
        <w:rPr>
          <w:rFonts w:ascii="Arial" w:hAnsi="Arial" w:cs="Arial"/>
          <w:sz w:val="24"/>
          <w:szCs w:val="24"/>
        </w:rPr>
        <w:t xml:space="preserve"> complementa y fortalece la oferta de información del </w:t>
      </w:r>
      <w:r w:rsidR="00864FE5" w:rsidRPr="00864FE5">
        <w:rPr>
          <w:rFonts w:ascii="Arial" w:hAnsi="Arial" w:cs="Arial"/>
          <w:smallCaps/>
          <w:sz w:val="24"/>
          <w:szCs w:val="24"/>
        </w:rPr>
        <w:t>inegi</w:t>
      </w:r>
      <w:r w:rsidR="00342852" w:rsidRPr="00D47EB0">
        <w:rPr>
          <w:rFonts w:ascii="Arial" w:hAnsi="Arial" w:cs="Arial"/>
          <w:sz w:val="24"/>
          <w:szCs w:val="24"/>
        </w:rPr>
        <w:t xml:space="preserve"> mediante la compilación, generación, procesamiento y publicación de estadísticas referentes al comercio internacional de servicios en México.</w:t>
      </w:r>
    </w:p>
    <w:p w14:paraId="4D282416" w14:textId="17FD2F7E" w:rsidR="00AB57A8" w:rsidRPr="00D47EB0" w:rsidRDefault="00AB57A8" w:rsidP="00864FE5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6713C3E5" w14:textId="7C4F2132" w:rsidR="00AB57A8" w:rsidRPr="00AB57A8" w:rsidRDefault="00AB57A8" w:rsidP="00864FE5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ADDAC5" w14:textId="2878F847" w:rsidR="00342852" w:rsidRPr="002A0561" w:rsidRDefault="00864FE5" w:rsidP="002A0561">
      <w:pPr>
        <w:spacing w:after="0" w:line="240" w:lineRule="auto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t>P</w:t>
      </w:r>
      <w:r w:rsidRPr="002A0561">
        <w:rPr>
          <w:rFonts w:ascii="Arial" w:hAnsi="Arial" w:cs="Arial"/>
          <w:b/>
          <w:bCs/>
          <w:smallCaps/>
          <w:sz w:val="24"/>
          <w:szCs w:val="24"/>
        </w:rPr>
        <w:t>rincipales resultados</w:t>
      </w:r>
    </w:p>
    <w:p w14:paraId="0FAE783C" w14:textId="77777777" w:rsidR="00342852" w:rsidRDefault="00342852" w:rsidP="00864FE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8E295F" w14:textId="77777777" w:rsidR="00864FE5" w:rsidRPr="00342852" w:rsidRDefault="00864FE5" w:rsidP="002A0561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473FE8" w14:textId="34273A1F" w:rsidR="00342852" w:rsidRPr="008D0E59" w:rsidRDefault="00342852" w:rsidP="00864FE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8D0E59">
        <w:rPr>
          <w:rFonts w:ascii="Arial" w:hAnsi="Arial" w:cs="Arial"/>
          <w:b/>
          <w:bCs/>
          <w:smallCaps/>
          <w:sz w:val="24"/>
          <w:szCs w:val="24"/>
        </w:rPr>
        <w:t xml:space="preserve">Empresas que realizaron </w:t>
      </w:r>
      <w:r w:rsidR="00864FE5">
        <w:rPr>
          <w:rFonts w:ascii="Arial" w:hAnsi="Arial" w:cs="Arial"/>
          <w:b/>
          <w:bCs/>
          <w:smallCaps/>
          <w:sz w:val="24"/>
          <w:szCs w:val="24"/>
        </w:rPr>
        <w:t>c</w:t>
      </w:r>
      <w:r w:rsidRPr="008D0E59">
        <w:rPr>
          <w:rFonts w:ascii="Arial" w:hAnsi="Arial" w:cs="Arial"/>
          <w:b/>
          <w:bCs/>
          <w:smallCaps/>
          <w:sz w:val="24"/>
          <w:szCs w:val="24"/>
        </w:rPr>
        <w:t xml:space="preserve">omercio </w:t>
      </w:r>
      <w:r w:rsidR="00864FE5">
        <w:rPr>
          <w:rFonts w:ascii="Arial" w:hAnsi="Arial" w:cs="Arial"/>
          <w:b/>
          <w:bCs/>
          <w:smallCaps/>
          <w:sz w:val="24"/>
          <w:szCs w:val="24"/>
        </w:rPr>
        <w:t>i</w:t>
      </w:r>
      <w:r w:rsidRPr="008D0E59">
        <w:rPr>
          <w:rFonts w:ascii="Arial" w:hAnsi="Arial" w:cs="Arial"/>
          <w:b/>
          <w:bCs/>
          <w:smallCaps/>
          <w:sz w:val="24"/>
          <w:szCs w:val="24"/>
        </w:rPr>
        <w:t xml:space="preserve">nternacional de </w:t>
      </w:r>
      <w:r w:rsidR="00864FE5">
        <w:rPr>
          <w:rFonts w:ascii="Arial" w:hAnsi="Arial" w:cs="Arial"/>
          <w:b/>
          <w:bCs/>
          <w:smallCaps/>
          <w:sz w:val="24"/>
          <w:szCs w:val="24"/>
        </w:rPr>
        <w:t>s</w:t>
      </w:r>
      <w:r w:rsidRPr="008D0E59">
        <w:rPr>
          <w:rFonts w:ascii="Arial" w:hAnsi="Arial" w:cs="Arial"/>
          <w:b/>
          <w:bCs/>
          <w:smallCaps/>
          <w:sz w:val="24"/>
          <w:szCs w:val="24"/>
        </w:rPr>
        <w:t xml:space="preserve">ervicios </w:t>
      </w:r>
      <w:r w:rsidR="00A62AD2">
        <w:rPr>
          <w:rFonts w:ascii="Arial" w:hAnsi="Arial" w:cs="Arial"/>
          <w:b/>
          <w:bCs/>
          <w:smallCaps/>
          <w:sz w:val="24"/>
          <w:szCs w:val="24"/>
        </w:rPr>
        <w:t>(</w:t>
      </w:r>
      <w:r w:rsidR="00864FE5" w:rsidRPr="008D0E59">
        <w:rPr>
          <w:rFonts w:ascii="Arial" w:hAnsi="Arial" w:cs="Arial"/>
          <w:b/>
          <w:bCs/>
          <w:smallCaps/>
          <w:sz w:val="24"/>
          <w:szCs w:val="24"/>
        </w:rPr>
        <w:t>cis</w:t>
      </w:r>
      <w:r w:rsidRPr="008D0E59">
        <w:rPr>
          <w:rFonts w:ascii="Arial" w:hAnsi="Arial" w:cs="Arial"/>
          <w:b/>
          <w:bCs/>
          <w:smallCaps/>
          <w:sz w:val="24"/>
          <w:szCs w:val="24"/>
        </w:rPr>
        <w:t>)</w:t>
      </w:r>
    </w:p>
    <w:p w14:paraId="02B988C8" w14:textId="22C11FD3" w:rsidR="00AB57A8" w:rsidRPr="007401ED" w:rsidRDefault="00AB57A8" w:rsidP="00864FE5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65EE99D9" w14:textId="2F039FA0" w:rsidR="00AB57A8" w:rsidRPr="007401ED" w:rsidRDefault="00342852" w:rsidP="00864FE5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7401ED">
        <w:rPr>
          <w:rFonts w:ascii="Arial" w:hAnsi="Arial" w:cs="Arial"/>
          <w:sz w:val="24"/>
          <w:szCs w:val="24"/>
        </w:rPr>
        <w:t>En 2021, se identificaron 5</w:t>
      </w:r>
      <w:r w:rsidR="00864FE5">
        <w:rPr>
          <w:rFonts w:ascii="Arial" w:hAnsi="Arial" w:cs="Arial"/>
          <w:sz w:val="24"/>
          <w:szCs w:val="24"/>
        </w:rPr>
        <w:t xml:space="preserve"> </w:t>
      </w:r>
      <w:r w:rsidRPr="007401ED">
        <w:rPr>
          <w:rFonts w:ascii="Arial" w:hAnsi="Arial" w:cs="Arial"/>
          <w:sz w:val="24"/>
          <w:szCs w:val="24"/>
        </w:rPr>
        <w:t xml:space="preserve">221 empresas que realizaron </w:t>
      </w:r>
      <w:r w:rsidR="00864FE5" w:rsidRPr="002A0561">
        <w:rPr>
          <w:rFonts w:ascii="Arial" w:hAnsi="Arial" w:cs="Arial"/>
          <w:smallCaps/>
          <w:sz w:val="24"/>
          <w:szCs w:val="24"/>
        </w:rPr>
        <w:t>cis</w:t>
      </w:r>
      <w:r w:rsidRPr="007401ED">
        <w:rPr>
          <w:rFonts w:ascii="Arial" w:hAnsi="Arial" w:cs="Arial"/>
          <w:sz w:val="24"/>
          <w:szCs w:val="24"/>
        </w:rPr>
        <w:t xml:space="preserve"> en al menos un servicio</w:t>
      </w:r>
      <w:r w:rsidR="003037B4">
        <w:rPr>
          <w:rFonts w:ascii="Arial" w:hAnsi="Arial" w:cs="Arial"/>
          <w:sz w:val="24"/>
          <w:szCs w:val="24"/>
        </w:rPr>
        <w:t xml:space="preserve">. Lo anterior </w:t>
      </w:r>
      <w:r w:rsidRPr="007401ED">
        <w:rPr>
          <w:rFonts w:ascii="Arial" w:hAnsi="Arial" w:cs="Arial"/>
          <w:sz w:val="24"/>
          <w:szCs w:val="24"/>
        </w:rPr>
        <w:t>representó 53.3 % del total de empresas a nivel nacional</w:t>
      </w:r>
      <w:r w:rsidR="00864FE5">
        <w:rPr>
          <w:rFonts w:ascii="Arial" w:hAnsi="Arial" w:cs="Arial"/>
          <w:sz w:val="24"/>
          <w:szCs w:val="24"/>
        </w:rPr>
        <w:t xml:space="preserve"> y </w:t>
      </w:r>
      <w:r w:rsidRPr="007401ED">
        <w:rPr>
          <w:rFonts w:ascii="Arial" w:hAnsi="Arial" w:cs="Arial"/>
          <w:sz w:val="24"/>
          <w:szCs w:val="24"/>
        </w:rPr>
        <w:t>1.5 puntos porcentuales de empresas más que las registradas en 2020</w:t>
      </w:r>
      <w:r w:rsidR="00BB27B9">
        <w:rPr>
          <w:rFonts w:ascii="Arial" w:hAnsi="Arial" w:cs="Arial"/>
          <w:sz w:val="24"/>
          <w:szCs w:val="24"/>
        </w:rPr>
        <w:t>, tal como se puede apreciar en la gráfica 1.</w:t>
      </w:r>
    </w:p>
    <w:p w14:paraId="11A68832" w14:textId="096A07B7" w:rsidR="007401ED" w:rsidRDefault="007401E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E53B753" w14:textId="77777777" w:rsidR="00251ECD" w:rsidRDefault="00251ECD" w:rsidP="002A0561">
      <w:pPr>
        <w:spacing w:after="0" w:line="240" w:lineRule="auto"/>
        <w:ind w:right="21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9CD13AF" w14:textId="543E1FB8" w:rsidR="007401ED" w:rsidRPr="007401ED" w:rsidRDefault="007401ED" w:rsidP="002A0561">
      <w:pPr>
        <w:spacing w:after="0" w:line="240" w:lineRule="auto"/>
        <w:ind w:right="21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401ED">
        <w:rPr>
          <w:rFonts w:ascii="Arial" w:hAnsi="Arial" w:cs="Arial"/>
          <w:bCs/>
          <w:color w:val="000000" w:themeColor="text1"/>
          <w:sz w:val="20"/>
          <w:szCs w:val="20"/>
        </w:rPr>
        <w:t>Gráfica 1</w:t>
      </w:r>
    </w:p>
    <w:p w14:paraId="0B790668" w14:textId="77777777" w:rsidR="007401ED" w:rsidRPr="007401ED" w:rsidRDefault="007401ED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  <w:color w:val="000000" w:themeColor="text1"/>
        </w:rPr>
      </w:pPr>
      <w:r w:rsidRPr="007401ED">
        <w:rPr>
          <w:rFonts w:ascii="Arial" w:hAnsi="Arial" w:cs="Arial"/>
          <w:b/>
          <w:bCs/>
          <w:smallCaps/>
          <w:color w:val="000000" w:themeColor="text1"/>
        </w:rPr>
        <w:t>Empresas que realizaron comercio internacional de servicios en 2020 y 2021</w:t>
      </w:r>
    </w:p>
    <w:p w14:paraId="3CF7717D" w14:textId="390F9218" w:rsidR="007401ED" w:rsidRPr="007401ED" w:rsidRDefault="007401ED" w:rsidP="002A0561">
      <w:pPr>
        <w:spacing w:after="0" w:line="240" w:lineRule="auto"/>
        <w:jc w:val="center"/>
        <w:rPr>
          <w:rFonts w:ascii="Arial" w:hAnsi="Arial" w:cs="Arial"/>
          <w:bCs/>
          <w:smallCaps/>
          <w:color w:val="000000" w:themeColor="text1"/>
          <w:sz w:val="14"/>
        </w:rPr>
      </w:pPr>
      <w:r w:rsidRPr="007401ED">
        <w:rPr>
          <w:rFonts w:ascii="Arial" w:hAnsi="Arial" w:cs="Arial"/>
          <w:color w:val="000000" w:themeColor="text1"/>
          <w:sz w:val="18"/>
          <w:szCs w:val="24"/>
        </w:rPr>
        <w:t>(</w:t>
      </w:r>
      <w:r w:rsidR="00864FE5">
        <w:rPr>
          <w:rFonts w:ascii="Arial" w:hAnsi="Arial" w:cs="Arial"/>
          <w:color w:val="000000" w:themeColor="text1"/>
          <w:sz w:val="18"/>
          <w:szCs w:val="24"/>
        </w:rPr>
        <w:t>a</w:t>
      </w:r>
      <w:r w:rsidRPr="007401ED">
        <w:rPr>
          <w:rFonts w:ascii="Arial" w:hAnsi="Arial" w:cs="Arial"/>
          <w:color w:val="000000" w:themeColor="text1"/>
          <w:sz w:val="18"/>
          <w:szCs w:val="24"/>
        </w:rPr>
        <w:t>bsoluto y porcentaje)</w:t>
      </w:r>
    </w:p>
    <w:p w14:paraId="7BC99A9A" w14:textId="77777777" w:rsidR="007401ED" w:rsidRDefault="007401ED" w:rsidP="002A0561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572DB1">
        <w:rPr>
          <w:rFonts w:ascii="Arial" w:hAnsi="Arial" w:cs="Arial"/>
          <w:noProof/>
          <w:color w:val="404040" w:themeColor="text1" w:themeTint="BF"/>
          <w:sz w:val="24"/>
          <w:szCs w:val="24"/>
        </w:rPr>
        <w:drawing>
          <wp:inline distT="0" distB="0" distL="0" distR="0" wp14:anchorId="41A00047" wp14:editId="31881364">
            <wp:extent cx="4045297" cy="2246400"/>
            <wp:effectExtent l="0" t="0" r="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8533"/>
                    <a:stretch/>
                  </pic:blipFill>
                  <pic:spPr bwMode="auto">
                    <a:xfrm>
                      <a:off x="0" y="0"/>
                      <a:ext cx="4045297" cy="224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D101E" w14:textId="3DC4E395" w:rsidR="007401ED" w:rsidRDefault="007401ED" w:rsidP="00902A81">
      <w:pPr>
        <w:spacing w:before="120" w:after="0" w:line="240" w:lineRule="auto"/>
        <w:ind w:firstLine="1418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7401ED">
        <w:rPr>
          <w:rFonts w:ascii="Arial" w:hAnsi="Arial" w:cs="Arial"/>
          <w:bCs/>
          <w:color w:val="000000" w:themeColor="text1"/>
          <w:sz w:val="16"/>
          <w:szCs w:val="16"/>
        </w:rPr>
        <w:t xml:space="preserve">Nota: </w:t>
      </w:r>
      <w:r w:rsidR="00864FE5">
        <w:rPr>
          <w:rFonts w:ascii="Arial" w:hAnsi="Arial" w:cs="Arial"/>
          <w:bCs/>
          <w:color w:val="000000" w:themeColor="text1"/>
          <w:sz w:val="16"/>
          <w:szCs w:val="16"/>
        </w:rPr>
        <w:t xml:space="preserve">   </w:t>
      </w:r>
      <w:r w:rsidRPr="007401ED">
        <w:rPr>
          <w:rFonts w:ascii="Arial" w:hAnsi="Arial" w:cs="Arial"/>
          <w:bCs/>
          <w:color w:val="000000" w:themeColor="text1"/>
          <w:sz w:val="16"/>
          <w:szCs w:val="16"/>
        </w:rPr>
        <w:t>Porcentajes obtenidos respecto del total de empresas.</w:t>
      </w:r>
    </w:p>
    <w:p w14:paraId="739D9AD7" w14:textId="588A5993" w:rsidR="00864FE5" w:rsidRPr="007401ED" w:rsidRDefault="00864FE5" w:rsidP="00902A81">
      <w:pPr>
        <w:spacing w:after="0" w:line="240" w:lineRule="auto"/>
        <w:ind w:firstLine="1418"/>
        <w:jc w:val="both"/>
        <w:rPr>
          <w:rFonts w:ascii="Arial" w:hAnsi="Arial" w:cs="Arial"/>
          <w:color w:val="000000" w:themeColor="text1"/>
          <w:sz w:val="10"/>
          <w:szCs w:val="10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FE35E8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43B6B4B3" w14:textId="77777777" w:rsidR="00AB57A8" w:rsidRPr="00AB57A8" w:rsidRDefault="00AB57A8" w:rsidP="00AB57A8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B95B08" w14:textId="5EFF7951" w:rsidR="007401ED" w:rsidRPr="008D0E59" w:rsidRDefault="007401ED" w:rsidP="00BB27B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8D0E59">
        <w:rPr>
          <w:rFonts w:ascii="Arial" w:hAnsi="Arial" w:cs="Arial"/>
          <w:b/>
          <w:bCs/>
          <w:smallCaps/>
          <w:sz w:val="24"/>
          <w:szCs w:val="24"/>
        </w:rPr>
        <w:t xml:space="preserve">Ingresos </w:t>
      </w:r>
      <w:r w:rsidR="00864FE5">
        <w:rPr>
          <w:rFonts w:ascii="Arial" w:hAnsi="Arial" w:cs="Arial"/>
          <w:b/>
          <w:bCs/>
          <w:smallCaps/>
          <w:sz w:val="24"/>
          <w:szCs w:val="24"/>
        </w:rPr>
        <w:t xml:space="preserve">de </w:t>
      </w:r>
      <w:r w:rsidR="00864FE5" w:rsidRPr="008D0E59">
        <w:rPr>
          <w:rFonts w:ascii="Arial" w:hAnsi="Arial" w:cs="Arial"/>
          <w:b/>
          <w:bCs/>
          <w:smallCaps/>
          <w:sz w:val="24"/>
          <w:szCs w:val="24"/>
        </w:rPr>
        <w:t>cis</w:t>
      </w:r>
    </w:p>
    <w:p w14:paraId="38D58423" w14:textId="723AFDF1" w:rsidR="00AB57A8" w:rsidRPr="00AB57A8" w:rsidRDefault="00AB57A8" w:rsidP="00BB27B9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2CEE7A" w14:textId="45FE37F2" w:rsidR="00AB57A8" w:rsidRPr="00AB57A8" w:rsidRDefault="00BB27B9" w:rsidP="00BB27B9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</w:t>
      </w:r>
      <w:r w:rsidR="00E05EDC" w:rsidRPr="00E05EDC">
        <w:rPr>
          <w:rFonts w:ascii="Arial" w:hAnsi="Arial" w:cs="Arial"/>
          <w:color w:val="000000" w:themeColor="text1"/>
          <w:sz w:val="24"/>
          <w:szCs w:val="24"/>
        </w:rPr>
        <w:t xml:space="preserve">as empresas reportaron </w:t>
      </w:r>
      <w:r w:rsidRPr="00E05EDC">
        <w:rPr>
          <w:rFonts w:ascii="Arial" w:hAnsi="Arial" w:cs="Arial"/>
          <w:color w:val="000000" w:themeColor="text1"/>
          <w:sz w:val="24"/>
          <w:szCs w:val="24"/>
        </w:rPr>
        <w:t xml:space="preserve">ingresos a precios constantes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por </w:t>
      </w:r>
      <w:r w:rsidR="00E05EDC" w:rsidRPr="00E05EDC">
        <w:rPr>
          <w:rFonts w:ascii="Arial" w:hAnsi="Arial" w:cs="Arial"/>
          <w:color w:val="000000" w:themeColor="text1"/>
          <w:sz w:val="24"/>
          <w:szCs w:val="24"/>
        </w:rPr>
        <w:t>791</w:t>
      </w:r>
      <w:r w:rsidR="00864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5EDC" w:rsidRPr="00E05EDC">
        <w:rPr>
          <w:rFonts w:ascii="Arial" w:hAnsi="Arial" w:cs="Arial"/>
          <w:color w:val="000000" w:themeColor="text1"/>
          <w:sz w:val="24"/>
          <w:szCs w:val="24"/>
        </w:rPr>
        <w:t>541.8 millones de pesos (</w:t>
      </w:r>
      <w:r w:rsidR="00E05EDC" w:rsidRPr="002A0561">
        <w:rPr>
          <w:rFonts w:ascii="Arial" w:hAnsi="Arial" w:cs="Arial"/>
          <w:smallCaps/>
          <w:color w:val="000000" w:themeColor="text1"/>
          <w:sz w:val="24"/>
          <w:szCs w:val="24"/>
        </w:rPr>
        <w:t>mdp</w:t>
      </w:r>
      <w:r w:rsidR="00E05EDC" w:rsidRPr="00E05EDC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</w:rPr>
        <w:t>por concepto de</w:t>
      </w:r>
      <w:r w:rsidRPr="00E05E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FE5">
        <w:rPr>
          <w:rFonts w:ascii="Arial" w:hAnsi="Arial" w:cs="Arial"/>
          <w:smallCaps/>
          <w:color w:val="000000" w:themeColor="text1"/>
          <w:sz w:val="24"/>
          <w:szCs w:val="24"/>
        </w:rPr>
        <w:t>cis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5EDC" w:rsidRPr="00E05EDC">
        <w:rPr>
          <w:rFonts w:ascii="Arial" w:hAnsi="Arial" w:cs="Arial"/>
          <w:color w:val="000000" w:themeColor="text1"/>
          <w:sz w:val="24"/>
          <w:szCs w:val="24"/>
        </w:rPr>
        <w:t>para 2021 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E05EDC" w:rsidRPr="00E05EDC">
        <w:rPr>
          <w:rFonts w:ascii="Arial" w:hAnsi="Arial" w:cs="Arial"/>
          <w:color w:val="000000" w:themeColor="text1"/>
          <w:sz w:val="24"/>
          <w:szCs w:val="24"/>
        </w:rPr>
        <w:t>826</w:t>
      </w:r>
      <w:r w:rsidR="00864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5EDC" w:rsidRPr="00E05EDC">
        <w:rPr>
          <w:rFonts w:ascii="Arial" w:hAnsi="Arial" w:cs="Arial"/>
          <w:color w:val="000000" w:themeColor="text1"/>
          <w:sz w:val="24"/>
          <w:szCs w:val="24"/>
        </w:rPr>
        <w:t xml:space="preserve">489.5 </w:t>
      </w:r>
      <w:r w:rsidR="00E05EDC" w:rsidRPr="002A0561">
        <w:rPr>
          <w:rFonts w:ascii="Arial" w:hAnsi="Arial" w:cs="Arial"/>
          <w:smallCaps/>
          <w:color w:val="000000" w:themeColor="text1"/>
          <w:sz w:val="24"/>
          <w:szCs w:val="24"/>
        </w:rPr>
        <w:t>mdp</w:t>
      </w:r>
      <w:r w:rsidR="00E05EDC" w:rsidRPr="00E05EDC">
        <w:rPr>
          <w:rFonts w:ascii="Arial" w:hAnsi="Arial" w:cs="Arial"/>
          <w:color w:val="000000" w:themeColor="text1"/>
          <w:sz w:val="24"/>
          <w:szCs w:val="24"/>
        </w:rPr>
        <w:t xml:space="preserve"> para 2020. Lo anterior indica una disminución de los ingresos de 4.2 puntos porcentuales para 2021, en comparación con 2020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(ver gráfica 2).</w:t>
      </w:r>
    </w:p>
    <w:p w14:paraId="310F32B5" w14:textId="77777777" w:rsidR="00AB57A8" w:rsidRPr="00AB57A8" w:rsidRDefault="00AB57A8" w:rsidP="00BB27B9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711BD0" w14:textId="02B5527F" w:rsidR="00E05EDC" w:rsidRPr="00902A81" w:rsidRDefault="00E05EDC" w:rsidP="002A0561">
      <w:pPr>
        <w:spacing w:after="0" w:line="240" w:lineRule="auto"/>
        <w:ind w:right="21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02A81">
        <w:rPr>
          <w:rFonts w:ascii="Arial" w:hAnsi="Arial" w:cs="Arial"/>
          <w:bCs/>
          <w:color w:val="000000" w:themeColor="text1"/>
          <w:sz w:val="20"/>
          <w:szCs w:val="20"/>
        </w:rPr>
        <w:t>Gráfica 2</w:t>
      </w:r>
    </w:p>
    <w:p w14:paraId="034500B0" w14:textId="40B083E4" w:rsidR="00E05EDC" w:rsidRPr="00E05EDC" w:rsidRDefault="00E05EDC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E05EDC">
        <w:rPr>
          <w:rFonts w:ascii="Arial" w:hAnsi="Arial" w:cs="Arial"/>
          <w:b/>
          <w:bCs/>
          <w:smallCaps/>
        </w:rPr>
        <w:t>Ingresos</w:t>
      </w:r>
      <w:r w:rsidR="00034F8D">
        <w:rPr>
          <w:rFonts w:ascii="Arial" w:hAnsi="Arial" w:cs="Arial"/>
          <w:b/>
          <w:bCs/>
          <w:smallCaps/>
        </w:rPr>
        <w:t xml:space="preserve"> </w:t>
      </w:r>
      <w:r w:rsidRPr="00E05EDC">
        <w:rPr>
          <w:rFonts w:ascii="Arial" w:hAnsi="Arial" w:cs="Arial"/>
          <w:b/>
          <w:bCs/>
          <w:smallCaps/>
        </w:rPr>
        <w:t>de comercio internacional de servicios en 2020 y 2021</w:t>
      </w:r>
    </w:p>
    <w:p w14:paraId="093818D0" w14:textId="6FB4D61D" w:rsidR="00E05EDC" w:rsidRPr="00E05EDC" w:rsidRDefault="00E05EDC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E05EDC">
        <w:rPr>
          <w:rFonts w:ascii="Arial" w:hAnsi="Arial" w:cs="Arial"/>
          <w:sz w:val="18"/>
          <w:szCs w:val="24"/>
        </w:rPr>
        <w:t>(</w:t>
      </w:r>
      <w:r w:rsidR="00BB27B9">
        <w:rPr>
          <w:rFonts w:ascii="Arial" w:hAnsi="Arial" w:cs="Arial"/>
          <w:sz w:val="18"/>
          <w:szCs w:val="24"/>
        </w:rPr>
        <w:t>m</w:t>
      </w:r>
      <w:r w:rsidRPr="00E05EDC">
        <w:rPr>
          <w:rFonts w:ascii="Arial" w:hAnsi="Arial" w:cs="Arial"/>
          <w:sz w:val="18"/>
          <w:szCs w:val="24"/>
        </w:rPr>
        <w:t>illones de pesos)</w:t>
      </w:r>
    </w:p>
    <w:p w14:paraId="481C91DF" w14:textId="77777777" w:rsidR="00E05EDC" w:rsidRDefault="00E05EDC" w:rsidP="002A0561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572DB1">
        <w:rPr>
          <w:rFonts w:ascii="Arial" w:hAnsi="Arial" w:cs="Arial"/>
          <w:noProof/>
          <w:color w:val="404040" w:themeColor="text1" w:themeTint="BF"/>
          <w:sz w:val="24"/>
          <w:szCs w:val="24"/>
        </w:rPr>
        <w:drawing>
          <wp:inline distT="0" distB="0" distL="0" distR="0" wp14:anchorId="0816D3EB" wp14:editId="31511E93">
            <wp:extent cx="2980266" cy="236410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8532"/>
                    <a:stretch/>
                  </pic:blipFill>
                  <pic:spPr bwMode="auto">
                    <a:xfrm>
                      <a:off x="0" y="0"/>
                      <a:ext cx="2988025" cy="2370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6AFF57" w14:textId="1274912F" w:rsidR="00BB27B9" w:rsidRDefault="00E05EDC" w:rsidP="00BB27B9">
      <w:pPr>
        <w:tabs>
          <w:tab w:val="left" w:pos="5245"/>
        </w:tabs>
        <w:spacing w:after="0" w:line="240" w:lineRule="auto"/>
        <w:ind w:left="2694" w:right="2550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Nota: </w:t>
      </w:r>
      <w:r w:rsidR="00BB27B9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</w:t>
      </w:r>
      <w:r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Montos en millones de pesos a precios constantes Índice </w:t>
      </w:r>
    </w:p>
    <w:p w14:paraId="549FC501" w14:textId="52DA4CD4" w:rsidR="00BB27B9" w:rsidRDefault="00BB27B9" w:rsidP="00BB27B9">
      <w:pPr>
        <w:tabs>
          <w:tab w:val="left" w:pos="5245"/>
        </w:tabs>
        <w:spacing w:after="0" w:line="240" w:lineRule="auto"/>
        <w:ind w:left="2694" w:right="2550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</w:t>
      </w:r>
      <w:r w:rsidR="00E05EDC"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Nacional de Precios al Productor (</w:t>
      </w:r>
      <w:r w:rsidRPr="00BB27B9">
        <w:rPr>
          <w:rFonts w:ascii="Arial" w:eastAsia="+mn-ea" w:hAnsi="Arial" w:cs="Arial"/>
          <w:bCs/>
          <w:smallCaps/>
          <w:kern w:val="24"/>
          <w:sz w:val="16"/>
          <w:szCs w:val="16"/>
          <w:lang w:eastAsia="es-MX"/>
        </w:rPr>
        <w:t>inpp</w:t>
      </w:r>
      <w:r w:rsidR="00E05EDC"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) promedio anual </w:t>
      </w: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</w:p>
    <w:p w14:paraId="3CB7178E" w14:textId="527A6401" w:rsidR="00E05EDC" w:rsidRPr="00E05EDC" w:rsidRDefault="00BB27B9" w:rsidP="002A0561">
      <w:pPr>
        <w:tabs>
          <w:tab w:val="left" w:pos="5245"/>
        </w:tabs>
        <w:spacing w:after="0" w:line="240" w:lineRule="auto"/>
        <w:ind w:left="2694" w:right="2550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</w:t>
      </w:r>
      <w:r w:rsidR="00E05EDC"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2021 por clase de actividad económica.</w:t>
      </w:r>
    </w:p>
    <w:p w14:paraId="570F7C0D" w14:textId="078710BF" w:rsidR="00E05EDC" w:rsidRDefault="00E05EDC" w:rsidP="00BB27B9">
      <w:pPr>
        <w:tabs>
          <w:tab w:val="left" w:pos="5245"/>
        </w:tabs>
        <w:spacing w:after="0" w:line="240" w:lineRule="auto"/>
        <w:ind w:left="3261" w:right="3117" w:hanging="709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* </w:t>
      </w:r>
      <w:r w:rsidR="00BB27B9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</w:t>
      </w:r>
      <w:r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Variación porcentual de 2021 respecto de 2020.</w:t>
      </w:r>
    </w:p>
    <w:p w14:paraId="522FABD4" w14:textId="3D62BD48" w:rsidR="00BB27B9" w:rsidRDefault="00BB27B9" w:rsidP="00902A81">
      <w:pPr>
        <w:spacing w:after="0" w:line="240" w:lineRule="auto"/>
        <w:ind w:firstLine="269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>,</w:t>
      </w:r>
      <w:r w:rsidR="002C42EE">
        <w:rPr>
          <w:rFonts w:ascii="Arial" w:hAnsi="Arial" w:cs="Arial"/>
          <w:bCs/>
          <w:color w:val="000000" w:themeColor="text1"/>
          <w:sz w:val="16"/>
          <w:szCs w:val="16"/>
        </w:rPr>
        <w:t xml:space="preserve"> 2021 y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2022.</w:t>
      </w:r>
    </w:p>
    <w:p w14:paraId="10043F49" w14:textId="77777777" w:rsidR="008160BB" w:rsidRDefault="008160BB" w:rsidP="00902A81">
      <w:pPr>
        <w:spacing w:after="0" w:line="240" w:lineRule="auto"/>
        <w:ind w:firstLine="269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1FE804FE" w14:textId="77777777" w:rsidR="002C42EE" w:rsidRPr="00902A81" w:rsidRDefault="002C42EE" w:rsidP="002A0561">
      <w:pPr>
        <w:spacing w:after="0" w:line="240" w:lineRule="auto"/>
        <w:ind w:firstLine="2694"/>
        <w:rPr>
          <w:rFonts w:ascii="Arial" w:hAnsi="Arial" w:cs="Arial"/>
          <w:color w:val="000000" w:themeColor="text1"/>
          <w:sz w:val="20"/>
          <w:szCs w:val="10"/>
        </w:rPr>
      </w:pPr>
    </w:p>
    <w:p w14:paraId="5829FD5B" w14:textId="68990753" w:rsidR="00E05EDC" w:rsidRPr="008D0E59" w:rsidRDefault="00E05EDC" w:rsidP="00BB27B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8D0E59">
        <w:rPr>
          <w:rFonts w:ascii="Arial" w:hAnsi="Arial" w:cs="Arial"/>
          <w:b/>
          <w:bCs/>
          <w:smallCaps/>
          <w:sz w:val="24"/>
          <w:szCs w:val="24"/>
        </w:rPr>
        <w:t xml:space="preserve">Gastos de </w:t>
      </w:r>
      <w:r w:rsidR="00BB27B9" w:rsidRPr="008D0E59">
        <w:rPr>
          <w:rFonts w:ascii="Arial" w:hAnsi="Arial" w:cs="Arial"/>
          <w:b/>
          <w:bCs/>
          <w:smallCaps/>
          <w:sz w:val="24"/>
          <w:szCs w:val="24"/>
        </w:rPr>
        <w:t>cis</w:t>
      </w:r>
    </w:p>
    <w:p w14:paraId="692F5703" w14:textId="77777777" w:rsidR="00E05EDC" w:rsidRPr="00AB57A8" w:rsidRDefault="00E05EDC" w:rsidP="00BB27B9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9813AC" w14:textId="45278E44" w:rsidR="00E05EDC" w:rsidRDefault="00E05EDC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5EDC">
        <w:rPr>
          <w:rFonts w:ascii="Arial" w:hAnsi="Arial" w:cs="Arial"/>
          <w:sz w:val="24"/>
          <w:szCs w:val="24"/>
        </w:rPr>
        <w:t xml:space="preserve">Respecto </w:t>
      </w:r>
      <w:r w:rsidR="003037B4">
        <w:rPr>
          <w:rFonts w:ascii="Arial" w:hAnsi="Arial" w:cs="Arial"/>
          <w:sz w:val="24"/>
          <w:szCs w:val="24"/>
        </w:rPr>
        <w:t>a</w:t>
      </w:r>
      <w:r w:rsidRPr="00E05EDC">
        <w:rPr>
          <w:rFonts w:ascii="Arial" w:hAnsi="Arial" w:cs="Arial"/>
          <w:sz w:val="24"/>
          <w:szCs w:val="24"/>
        </w:rPr>
        <w:t xml:space="preserve"> los gastos a precios constantes de </w:t>
      </w:r>
      <w:r w:rsidR="00BB27B9" w:rsidRPr="00BB27B9">
        <w:rPr>
          <w:rFonts w:ascii="Arial" w:hAnsi="Arial" w:cs="Arial"/>
          <w:smallCaps/>
          <w:sz w:val="24"/>
          <w:szCs w:val="24"/>
        </w:rPr>
        <w:t>cis</w:t>
      </w:r>
      <w:r w:rsidRPr="00E05EDC">
        <w:rPr>
          <w:rFonts w:ascii="Arial" w:hAnsi="Arial" w:cs="Arial"/>
          <w:sz w:val="24"/>
          <w:szCs w:val="24"/>
        </w:rPr>
        <w:t xml:space="preserve">, las empresas reportaron un total de </w:t>
      </w:r>
      <w:r w:rsidR="00BB27B9">
        <w:rPr>
          <w:rFonts w:ascii="Arial" w:hAnsi="Arial" w:cs="Arial"/>
          <w:sz w:val="24"/>
          <w:szCs w:val="24"/>
        </w:rPr>
        <w:br/>
      </w:r>
      <w:r w:rsidRPr="00E05EDC">
        <w:rPr>
          <w:rFonts w:ascii="Arial" w:hAnsi="Arial" w:cs="Arial"/>
          <w:sz w:val="24"/>
          <w:szCs w:val="24"/>
        </w:rPr>
        <w:t>222</w:t>
      </w:r>
      <w:r w:rsidR="00BB27B9">
        <w:rPr>
          <w:rFonts w:ascii="Arial" w:hAnsi="Arial" w:cs="Arial"/>
          <w:sz w:val="24"/>
          <w:szCs w:val="24"/>
        </w:rPr>
        <w:t xml:space="preserve"> </w:t>
      </w:r>
      <w:r w:rsidRPr="00E05EDC">
        <w:rPr>
          <w:rFonts w:ascii="Arial" w:hAnsi="Arial" w:cs="Arial"/>
          <w:sz w:val="24"/>
          <w:szCs w:val="24"/>
        </w:rPr>
        <w:t xml:space="preserve">717.6 </w:t>
      </w:r>
      <w:r w:rsidRPr="002A0561">
        <w:rPr>
          <w:rFonts w:ascii="Arial" w:hAnsi="Arial" w:cs="Arial"/>
          <w:smallCaps/>
          <w:sz w:val="24"/>
          <w:szCs w:val="24"/>
        </w:rPr>
        <w:t>mdp</w:t>
      </w:r>
      <w:r w:rsidRPr="00E05EDC">
        <w:rPr>
          <w:rFonts w:ascii="Arial" w:hAnsi="Arial" w:cs="Arial"/>
          <w:sz w:val="24"/>
          <w:szCs w:val="24"/>
        </w:rPr>
        <w:t xml:space="preserve"> para 2021 y 259</w:t>
      </w:r>
      <w:r w:rsidR="00BB27B9">
        <w:rPr>
          <w:rFonts w:ascii="Arial" w:hAnsi="Arial" w:cs="Arial"/>
          <w:sz w:val="24"/>
          <w:szCs w:val="24"/>
        </w:rPr>
        <w:t xml:space="preserve"> </w:t>
      </w:r>
      <w:r w:rsidRPr="00E05EDC">
        <w:rPr>
          <w:rFonts w:ascii="Arial" w:hAnsi="Arial" w:cs="Arial"/>
          <w:sz w:val="24"/>
          <w:szCs w:val="24"/>
        </w:rPr>
        <w:t xml:space="preserve">140.1 </w:t>
      </w:r>
      <w:r w:rsidRPr="002A0561">
        <w:rPr>
          <w:rFonts w:ascii="Arial" w:hAnsi="Arial" w:cs="Arial"/>
          <w:smallCaps/>
          <w:sz w:val="24"/>
          <w:szCs w:val="24"/>
        </w:rPr>
        <w:t>mdp</w:t>
      </w:r>
      <w:r w:rsidRPr="00E05EDC">
        <w:rPr>
          <w:rFonts w:ascii="Arial" w:hAnsi="Arial" w:cs="Arial"/>
          <w:sz w:val="24"/>
          <w:szCs w:val="24"/>
        </w:rPr>
        <w:t xml:space="preserve"> para 2020</w:t>
      </w:r>
      <w:r w:rsidR="003037B4">
        <w:rPr>
          <w:rFonts w:ascii="Arial" w:hAnsi="Arial" w:cs="Arial"/>
          <w:sz w:val="24"/>
          <w:szCs w:val="24"/>
        </w:rPr>
        <w:t xml:space="preserve">. Esto </w:t>
      </w:r>
      <w:r w:rsidRPr="00E05EDC">
        <w:rPr>
          <w:rFonts w:ascii="Arial" w:hAnsi="Arial" w:cs="Arial"/>
          <w:sz w:val="24"/>
          <w:szCs w:val="24"/>
        </w:rPr>
        <w:t xml:space="preserve">representó un decremento de 14.1 puntos porcentuales en 2021 </w:t>
      </w:r>
      <w:r w:rsidR="003037B4">
        <w:rPr>
          <w:rFonts w:ascii="Arial" w:hAnsi="Arial" w:cs="Arial"/>
          <w:sz w:val="24"/>
          <w:szCs w:val="24"/>
        </w:rPr>
        <w:t>en</w:t>
      </w:r>
      <w:r w:rsidRPr="00E05EDC">
        <w:rPr>
          <w:rFonts w:ascii="Arial" w:hAnsi="Arial" w:cs="Arial"/>
          <w:sz w:val="24"/>
          <w:szCs w:val="24"/>
        </w:rPr>
        <w:t xml:space="preserve"> relación </w:t>
      </w:r>
      <w:r w:rsidR="003037B4">
        <w:rPr>
          <w:rFonts w:ascii="Arial" w:hAnsi="Arial" w:cs="Arial"/>
          <w:sz w:val="24"/>
          <w:szCs w:val="24"/>
        </w:rPr>
        <w:t>con</w:t>
      </w:r>
      <w:r w:rsidRPr="00E05EDC">
        <w:rPr>
          <w:rFonts w:ascii="Arial" w:hAnsi="Arial" w:cs="Arial"/>
          <w:sz w:val="24"/>
          <w:szCs w:val="24"/>
        </w:rPr>
        <w:t xml:space="preserve"> lo registrado en 2020</w:t>
      </w:r>
      <w:r w:rsidR="003037B4">
        <w:rPr>
          <w:rFonts w:ascii="Arial" w:hAnsi="Arial" w:cs="Arial"/>
          <w:sz w:val="24"/>
          <w:szCs w:val="24"/>
        </w:rPr>
        <w:t xml:space="preserve"> (ver </w:t>
      </w:r>
      <w:r w:rsidR="003B3476">
        <w:rPr>
          <w:rFonts w:ascii="Arial" w:hAnsi="Arial" w:cs="Arial"/>
          <w:sz w:val="24"/>
          <w:szCs w:val="24"/>
        </w:rPr>
        <w:t>gráfica 3</w:t>
      </w:r>
      <w:r w:rsidR="003037B4">
        <w:rPr>
          <w:rFonts w:ascii="Arial" w:hAnsi="Arial" w:cs="Arial"/>
          <w:sz w:val="24"/>
          <w:szCs w:val="24"/>
        </w:rPr>
        <w:t>)</w:t>
      </w:r>
      <w:r w:rsidR="003B3476">
        <w:rPr>
          <w:rFonts w:ascii="Arial" w:hAnsi="Arial" w:cs="Arial"/>
          <w:sz w:val="24"/>
          <w:szCs w:val="24"/>
        </w:rPr>
        <w:t>.</w:t>
      </w:r>
    </w:p>
    <w:p w14:paraId="377EDBB6" w14:textId="77777777" w:rsidR="00E05EDC" w:rsidRPr="00E05EDC" w:rsidRDefault="00E05EDC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F6A8A4" w14:textId="42150F24" w:rsidR="00E05EDC" w:rsidRPr="00E05EDC" w:rsidRDefault="00E05EDC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E05EDC">
        <w:rPr>
          <w:rFonts w:ascii="Arial" w:hAnsi="Arial" w:cs="Arial"/>
          <w:bCs/>
          <w:sz w:val="20"/>
          <w:szCs w:val="20"/>
        </w:rPr>
        <w:t xml:space="preserve">Gráfica </w:t>
      </w:r>
      <w:r>
        <w:rPr>
          <w:rFonts w:ascii="Arial" w:hAnsi="Arial" w:cs="Arial"/>
          <w:bCs/>
          <w:sz w:val="20"/>
          <w:szCs w:val="20"/>
        </w:rPr>
        <w:t>3</w:t>
      </w:r>
    </w:p>
    <w:p w14:paraId="1EB08874" w14:textId="4EA21AF9" w:rsidR="00E05EDC" w:rsidRPr="00E05EDC" w:rsidRDefault="00E05EDC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E05EDC">
        <w:rPr>
          <w:rFonts w:ascii="Arial" w:hAnsi="Arial" w:cs="Arial"/>
          <w:b/>
          <w:bCs/>
          <w:smallCaps/>
        </w:rPr>
        <w:t>Gastos</w:t>
      </w:r>
      <w:r w:rsidR="00A56FF2">
        <w:rPr>
          <w:rFonts w:ascii="Arial" w:hAnsi="Arial" w:cs="Arial"/>
          <w:b/>
          <w:bCs/>
          <w:smallCaps/>
        </w:rPr>
        <w:t xml:space="preserve"> </w:t>
      </w:r>
      <w:r w:rsidRPr="00E05EDC">
        <w:rPr>
          <w:rFonts w:ascii="Arial" w:hAnsi="Arial" w:cs="Arial"/>
          <w:b/>
          <w:bCs/>
          <w:smallCaps/>
        </w:rPr>
        <w:t>de comercio internacional de servicios en 2020 y 2021</w:t>
      </w:r>
    </w:p>
    <w:p w14:paraId="756F7AC4" w14:textId="4F7F0A90" w:rsidR="00E05EDC" w:rsidRPr="00E05EDC" w:rsidRDefault="00E05EDC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E05EDC">
        <w:rPr>
          <w:rFonts w:ascii="Arial" w:hAnsi="Arial" w:cs="Arial"/>
          <w:sz w:val="18"/>
          <w:szCs w:val="24"/>
        </w:rPr>
        <w:t>(</w:t>
      </w:r>
      <w:r w:rsidR="00BB27B9">
        <w:rPr>
          <w:rFonts w:ascii="Arial" w:hAnsi="Arial" w:cs="Arial"/>
          <w:sz w:val="18"/>
          <w:szCs w:val="24"/>
        </w:rPr>
        <w:t>m</w:t>
      </w:r>
      <w:r w:rsidRPr="00E05EDC">
        <w:rPr>
          <w:rFonts w:ascii="Arial" w:hAnsi="Arial" w:cs="Arial"/>
          <w:sz w:val="18"/>
          <w:szCs w:val="24"/>
        </w:rPr>
        <w:t>illones de pesos)</w:t>
      </w:r>
    </w:p>
    <w:p w14:paraId="50C5ACFC" w14:textId="77777777" w:rsidR="00E05EDC" w:rsidRDefault="00E05EDC" w:rsidP="002A0561">
      <w:pPr>
        <w:spacing w:after="120" w:line="240" w:lineRule="auto"/>
        <w:jc w:val="center"/>
        <w:rPr>
          <w:color w:val="404040" w:themeColor="text1" w:themeTint="BF"/>
        </w:rPr>
      </w:pPr>
      <w:r w:rsidRPr="00572DB1">
        <w:rPr>
          <w:noProof/>
          <w:color w:val="404040" w:themeColor="text1" w:themeTint="BF"/>
        </w:rPr>
        <w:drawing>
          <wp:inline distT="0" distB="0" distL="0" distR="0" wp14:anchorId="32C476AB" wp14:editId="360959D6">
            <wp:extent cx="2837365" cy="2246400"/>
            <wp:effectExtent l="0" t="0" r="127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5604"/>
                    <a:stretch/>
                  </pic:blipFill>
                  <pic:spPr bwMode="auto">
                    <a:xfrm>
                      <a:off x="0" y="0"/>
                      <a:ext cx="2837365" cy="224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CB046" w14:textId="77777777" w:rsidR="003B3476" w:rsidRDefault="00E05EDC" w:rsidP="00BB27B9">
      <w:pPr>
        <w:spacing w:after="0" w:line="240" w:lineRule="auto"/>
        <w:ind w:left="2835" w:right="2691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Nota: </w:t>
      </w:r>
      <w:r w:rsidR="003B347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</w:t>
      </w:r>
      <w:r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Montos en millones de pesos a precios constantes </w:t>
      </w:r>
    </w:p>
    <w:p w14:paraId="1D30FD33" w14:textId="77777777" w:rsidR="003B3476" w:rsidRDefault="003B3476" w:rsidP="00BB27B9">
      <w:pPr>
        <w:spacing w:after="0" w:line="240" w:lineRule="auto"/>
        <w:ind w:left="2835" w:right="2691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 </w:t>
      </w:r>
      <w:r w:rsidRPr="003B3476">
        <w:rPr>
          <w:rFonts w:ascii="Arial" w:eastAsia="+mn-ea" w:hAnsi="Arial" w:cs="Arial"/>
          <w:bCs/>
          <w:smallCaps/>
          <w:kern w:val="24"/>
          <w:sz w:val="16"/>
          <w:szCs w:val="16"/>
          <w:lang w:eastAsia="es-MX"/>
        </w:rPr>
        <w:t>inpp</w:t>
      </w:r>
      <w:r w:rsidR="00E05EDC"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promedio anual 2021 por clase de actividad </w:t>
      </w:r>
    </w:p>
    <w:p w14:paraId="4A8A1C15" w14:textId="47191FEA" w:rsidR="00E05EDC" w:rsidRPr="00E05EDC" w:rsidRDefault="003B3476" w:rsidP="002A0561">
      <w:pPr>
        <w:spacing w:after="0" w:line="240" w:lineRule="auto"/>
        <w:ind w:left="2835" w:right="2691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 </w:t>
      </w:r>
      <w:r w:rsidR="00E05EDC"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económica.</w:t>
      </w:r>
    </w:p>
    <w:p w14:paraId="2F6437FB" w14:textId="57C528BA" w:rsidR="00E05EDC" w:rsidRDefault="00E05EDC" w:rsidP="00BB27B9">
      <w:pPr>
        <w:spacing w:after="0" w:line="240" w:lineRule="auto"/>
        <w:ind w:left="2835" w:right="2691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* </w:t>
      </w:r>
      <w:r w:rsidR="003B347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</w:t>
      </w:r>
      <w:r w:rsidRPr="00E05EDC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Variación porcentual de 2021 </w:t>
      </w:r>
      <w:r w:rsidRPr="003037B4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respecto de 2020.</w:t>
      </w:r>
    </w:p>
    <w:p w14:paraId="1511D6F6" w14:textId="52DEE1A8" w:rsidR="00BB27B9" w:rsidRPr="007401ED" w:rsidRDefault="00BB27B9" w:rsidP="00902A81">
      <w:pPr>
        <w:spacing w:after="0" w:line="240" w:lineRule="auto"/>
        <w:ind w:firstLine="2835"/>
        <w:jc w:val="both"/>
        <w:rPr>
          <w:rFonts w:ascii="Arial" w:hAnsi="Arial" w:cs="Arial"/>
          <w:color w:val="000000" w:themeColor="text1"/>
          <w:sz w:val="10"/>
          <w:szCs w:val="10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>,</w:t>
      </w:r>
      <w:r w:rsidR="002C42EE">
        <w:rPr>
          <w:rFonts w:ascii="Arial" w:hAnsi="Arial" w:cs="Arial"/>
          <w:bCs/>
          <w:color w:val="000000" w:themeColor="text1"/>
          <w:sz w:val="16"/>
          <w:szCs w:val="16"/>
        </w:rPr>
        <w:t xml:space="preserve"> 2021 y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2022.</w:t>
      </w:r>
    </w:p>
    <w:p w14:paraId="200A4A20" w14:textId="77777777" w:rsidR="00BB27B9" w:rsidRPr="00E05EDC" w:rsidRDefault="00BB27B9" w:rsidP="002A0561">
      <w:pPr>
        <w:spacing w:after="0" w:line="240" w:lineRule="auto"/>
        <w:ind w:left="2835" w:right="2691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</w:p>
    <w:p w14:paraId="34A6D886" w14:textId="7FCD5FC6" w:rsidR="00AB57A8" w:rsidRPr="00AB57A8" w:rsidRDefault="00AB57A8" w:rsidP="00AB57A8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ECD534" w14:textId="502A2091" w:rsidR="00AE43A0" w:rsidRPr="008D0E59" w:rsidRDefault="00AE43A0" w:rsidP="008D0E5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8D0E59">
        <w:rPr>
          <w:rFonts w:ascii="Arial" w:hAnsi="Arial" w:cs="Arial"/>
          <w:b/>
          <w:bCs/>
          <w:smallCaps/>
          <w:sz w:val="24"/>
          <w:szCs w:val="24"/>
        </w:rPr>
        <w:t xml:space="preserve">Ingresos de </w:t>
      </w:r>
      <w:r w:rsidR="003B3476" w:rsidRPr="008D0E59">
        <w:rPr>
          <w:rFonts w:ascii="Arial" w:hAnsi="Arial" w:cs="Arial"/>
          <w:b/>
          <w:bCs/>
          <w:smallCaps/>
          <w:sz w:val="24"/>
          <w:szCs w:val="24"/>
        </w:rPr>
        <w:t>cis</w:t>
      </w:r>
      <w:r w:rsidR="003B3476"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  <w:r w:rsidRPr="008D0E59">
        <w:rPr>
          <w:rFonts w:ascii="Arial" w:hAnsi="Arial" w:cs="Arial"/>
          <w:b/>
          <w:bCs/>
          <w:smallCaps/>
          <w:sz w:val="24"/>
          <w:szCs w:val="24"/>
        </w:rPr>
        <w:t>por tipo de servicio</w:t>
      </w:r>
    </w:p>
    <w:p w14:paraId="04E019A2" w14:textId="24440224" w:rsidR="00AB57A8" w:rsidRPr="00AB57A8" w:rsidRDefault="00AB57A8" w:rsidP="00AB57A8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7BCC93" w14:textId="3BF1A237" w:rsidR="00AE43A0" w:rsidRPr="00AE43A0" w:rsidRDefault="00AE43A0" w:rsidP="00AE43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43A0">
        <w:rPr>
          <w:rFonts w:ascii="Arial" w:hAnsi="Arial" w:cs="Arial"/>
          <w:sz w:val="24"/>
          <w:szCs w:val="24"/>
        </w:rPr>
        <w:t xml:space="preserve">Al desglosar los ingresos de </w:t>
      </w:r>
      <w:r w:rsidR="003B3476" w:rsidRPr="003B3476">
        <w:rPr>
          <w:rFonts w:ascii="Arial" w:hAnsi="Arial" w:cs="Arial"/>
          <w:smallCaps/>
          <w:sz w:val="24"/>
          <w:szCs w:val="24"/>
        </w:rPr>
        <w:t>cis</w:t>
      </w:r>
      <w:r w:rsidRPr="00AE43A0">
        <w:rPr>
          <w:rFonts w:ascii="Arial" w:hAnsi="Arial" w:cs="Arial"/>
          <w:sz w:val="24"/>
          <w:szCs w:val="24"/>
        </w:rPr>
        <w:t xml:space="preserve"> de las empresas</w:t>
      </w:r>
      <w:r w:rsidR="004509B0">
        <w:rPr>
          <w:rFonts w:ascii="Arial" w:hAnsi="Arial" w:cs="Arial"/>
          <w:sz w:val="24"/>
          <w:szCs w:val="24"/>
        </w:rPr>
        <w:t xml:space="preserve"> por tipo de servicio</w:t>
      </w:r>
      <w:r w:rsidRPr="00AE43A0">
        <w:rPr>
          <w:rFonts w:ascii="Arial" w:hAnsi="Arial" w:cs="Arial"/>
          <w:sz w:val="24"/>
          <w:szCs w:val="24"/>
        </w:rPr>
        <w:t xml:space="preserve">, los de </w:t>
      </w:r>
      <w:r w:rsidR="003037B4">
        <w:rPr>
          <w:rFonts w:ascii="Arial" w:hAnsi="Arial" w:cs="Arial"/>
          <w:sz w:val="24"/>
          <w:szCs w:val="24"/>
        </w:rPr>
        <w:t>«</w:t>
      </w:r>
      <w:r w:rsidRPr="00AE43A0">
        <w:rPr>
          <w:rFonts w:ascii="Arial" w:hAnsi="Arial" w:cs="Arial"/>
          <w:sz w:val="24"/>
          <w:szCs w:val="24"/>
        </w:rPr>
        <w:t>manufactura en insumos físicos que son propiedad de otros</w:t>
      </w:r>
      <w:r w:rsidR="003037B4">
        <w:rPr>
          <w:rFonts w:ascii="Arial" w:hAnsi="Arial" w:cs="Arial"/>
          <w:sz w:val="24"/>
          <w:szCs w:val="24"/>
        </w:rPr>
        <w:t>»</w:t>
      </w:r>
      <w:r w:rsidRPr="00AE43A0">
        <w:rPr>
          <w:rFonts w:ascii="Arial" w:hAnsi="Arial" w:cs="Arial"/>
          <w:sz w:val="24"/>
          <w:szCs w:val="24"/>
        </w:rPr>
        <w:t xml:space="preserve"> generaron 80.5 % del total de ingresos, tanto en 2020 como en 2021</w:t>
      </w:r>
      <w:r w:rsidR="003037B4">
        <w:rPr>
          <w:rFonts w:ascii="Arial" w:hAnsi="Arial" w:cs="Arial"/>
          <w:sz w:val="24"/>
          <w:szCs w:val="24"/>
        </w:rPr>
        <w:t xml:space="preserve">. Así, </w:t>
      </w:r>
      <w:r w:rsidRPr="00AE43A0">
        <w:rPr>
          <w:rFonts w:ascii="Arial" w:hAnsi="Arial" w:cs="Arial"/>
          <w:sz w:val="24"/>
          <w:szCs w:val="24"/>
        </w:rPr>
        <w:t xml:space="preserve">este tipo de servicio </w:t>
      </w:r>
      <w:r w:rsidR="003B3476">
        <w:rPr>
          <w:rFonts w:ascii="Arial" w:hAnsi="Arial" w:cs="Arial"/>
          <w:sz w:val="24"/>
          <w:szCs w:val="24"/>
        </w:rPr>
        <w:t>fue</w:t>
      </w:r>
      <w:r w:rsidRPr="00AE43A0">
        <w:rPr>
          <w:rFonts w:ascii="Arial" w:hAnsi="Arial" w:cs="Arial"/>
          <w:sz w:val="24"/>
          <w:szCs w:val="24"/>
        </w:rPr>
        <w:t xml:space="preserve"> la principal fuente de ingresos por </w:t>
      </w:r>
      <w:r w:rsidR="003B3476" w:rsidRPr="003B3476">
        <w:rPr>
          <w:rFonts w:ascii="Arial" w:hAnsi="Arial" w:cs="Arial"/>
          <w:smallCaps/>
          <w:sz w:val="24"/>
          <w:szCs w:val="24"/>
        </w:rPr>
        <w:t>cis</w:t>
      </w:r>
      <w:r w:rsidRPr="00AE43A0">
        <w:rPr>
          <w:rFonts w:ascii="Arial" w:hAnsi="Arial" w:cs="Arial"/>
          <w:sz w:val="24"/>
          <w:szCs w:val="24"/>
        </w:rPr>
        <w:t xml:space="preserve">. </w:t>
      </w:r>
      <w:r w:rsidR="003B3476">
        <w:rPr>
          <w:rFonts w:ascii="Arial" w:hAnsi="Arial" w:cs="Arial"/>
          <w:sz w:val="24"/>
          <w:szCs w:val="24"/>
        </w:rPr>
        <w:t>L</w:t>
      </w:r>
      <w:r w:rsidRPr="00AE43A0">
        <w:rPr>
          <w:rFonts w:ascii="Arial" w:hAnsi="Arial" w:cs="Arial"/>
          <w:sz w:val="24"/>
          <w:szCs w:val="24"/>
        </w:rPr>
        <w:t xml:space="preserve">os servicios de </w:t>
      </w:r>
      <w:r w:rsidR="00860C17">
        <w:rPr>
          <w:rFonts w:ascii="Arial" w:hAnsi="Arial" w:cs="Arial"/>
          <w:sz w:val="24"/>
          <w:szCs w:val="24"/>
        </w:rPr>
        <w:t>«</w:t>
      </w:r>
      <w:r w:rsidRPr="00AE43A0">
        <w:rPr>
          <w:rFonts w:ascii="Arial" w:hAnsi="Arial" w:cs="Arial"/>
          <w:sz w:val="24"/>
          <w:szCs w:val="24"/>
        </w:rPr>
        <w:t>transporte</w:t>
      </w:r>
      <w:r w:rsidR="008F171A">
        <w:rPr>
          <w:rFonts w:ascii="Arial" w:hAnsi="Arial" w:cs="Arial"/>
          <w:sz w:val="24"/>
          <w:szCs w:val="24"/>
        </w:rPr>
        <w:t>»</w:t>
      </w:r>
      <w:r w:rsidRPr="00AE43A0">
        <w:rPr>
          <w:rFonts w:ascii="Arial" w:hAnsi="Arial" w:cs="Arial"/>
          <w:sz w:val="24"/>
          <w:szCs w:val="24"/>
        </w:rPr>
        <w:t xml:space="preserve"> aportaron 8.9 % en 2021, lo que representó un incremento de 0.5 puntos porcentuales respecto de 2020 (8.4 %). </w:t>
      </w:r>
      <w:r w:rsidR="008F171A">
        <w:rPr>
          <w:rFonts w:ascii="Arial" w:hAnsi="Arial" w:cs="Arial"/>
          <w:sz w:val="24"/>
          <w:szCs w:val="24"/>
        </w:rPr>
        <w:t>«</w:t>
      </w:r>
      <w:r w:rsidRPr="00AE43A0">
        <w:rPr>
          <w:rFonts w:ascii="Arial" w:hAnsi="Arial" w:cs="Arial"/>
          <w:sz w:val="24"/>
          <w:szCs w:val="24"/>
        </w:rPr>
        <w:t>Otros servicios empresariales</w:t>
      </w:r>
      <w:r w:rsidR="008F171A">
        <w:rPr>
          <w:rFonts w:ascii="Arial" w:hAnsi="Arial" w:cs="Arial"/>
          <w:sz w:val="24"/>
          <w:szCs w:val="24"/>
        </w:rPr>
        <w:t>»</w:t>
      </w:r>
      <w:r w:rsidRPr="00AE43A0">
        <w:rPr>
          <w:rFonts w:ascii="Arial" w:hAnsi="Arial" w:cs="Arial"/>
          <w:sz w:val="24"/>
          <w:szCs w:val="24"/>
        </w:rPr>
        <w:t xml:space="preserve"> </w:t>
      </w:r>
      <w:r w:rsidR="003B3476">
        <w:rPr>
          <w:rFonts w:ascii="Arial" w:hAnsi="Arial" w:cs="Arial"/>
          <w:sz w:val="24"/>
          <w:szCs w:val="24"/>
        </w:rPr>
        <w:t>aportaron</w:t>
      </w:r>
      <w:r w:rsidRPr="00AE43A0">
        <w:rPr>
          <w:rFonts w:ascii="Arial" w:hAnsi="Arial" w:cs="Arial"/>
          <w:sz w:val="24"/>
          <w:szCs w:val="24"/>
        </w:rPr>
        <w:t xml:space="preserve"> </w:t>
      </w:r>
      <w:r w:rsidR="00AF7CCB">
        <w:rPr>
          <w:rFonts w:ascii="Arial" w:hAnsi="Arial" w:cs="Arial"/>
          <w:sz w:val="24"/>
          <w:szCs w:val="24"/>
        </w:rPr>
        <w:t xml:space="preserve">    </w:t>
      </w:r>
      <w:r w:rsidRPr="00AE43A0">
        <w:rPr>
          <w:rFonts w:ascii="Arial" w:hAnsi="Arial" w:cs="Arial"/>
          <w:sz w:val="24"/>
          <w:szCs w:val="24"/>
        </w:rPr>
        <w:t xml:space="preserve">6.4 </w:t>
      </w:r>
      <w:r w:rsidR="003B3476">
        <w:rPr>
          <w:rFonts w:ascii="Arial" w:hAnsi="Arial" w:cs="Arial"/>
          <w:sz w:val="24"/>
          <w:szCs w:val="24"/>
        </w:rPr>
        <w:t xml:space="preserve">por ciento. Este servicio </w:t>
      </w:r>
      <w:r w:rsidRPr="00AE43A0">
        <w:rPr>
          <w:rFonts w:ascii="Arial" w:hAnsi="Arial" w:cs="Arial"/>
          <w:sz w:val="24"/>
          <w:szCs w:val="24"/>
        </w:rPr>
        <w:t xml:space="preserve">tuvo un decremento de 0.8 puntos porcentuales respecto de 2020. Por el contrario, los </w:t>
      </w:r>
      <w:r w:rsidR="008F171A">
        <w:rPr>
          <w:rFonts w:ascii="Arial" w:hAnsi="Arial" w:cs="Arial"/>
          <w:sz w:val="24"/>
          <w:szCs w:val="24"/>
        </w:rPr>
        <w:t>«</w:t>
      </w:r>
      <w:r w:rsidRPr="00AE43A0">
        <w:rPr>
          <w:rFonts w:ascii="Arial" w:hAnsi="Arial" w:cs="Arial"/>
          <w:sz w:val="24"/>
          <w:szCs w:val="24"/>
        </w:rPr>
        <w:t>servicios personales, culturales y recreativos</w:t>
      </w:r>
      <w:r w:rsidR="008F171A">
        <w:rPr>
          <w:rFonts w:ascii="Arial" w:hAnsi="Arial" w:cs="Arial"/>
          <w:sz w:val="24"/>
          <w:szCs w:val="24"/>
        </w:rPr>
        <w:t>»</w:t>
      </w:r>
      <w:r w:rsidRPr="00AE43A0">
        <w:rPr>
          <w:rFonts w:ascii="Arial" w:hAnsi="Arial" w:cs="Arial"/>
          <w:sz w:val="24"/>
          <w:szCs w:val="24"/>
        </w:rPr>
        <w:t xml:space="preserve"> registra</w:t>
      </w:r>
      <w:r w:rsidR="003B3476">
        <w:rPr>
          <w:rFonts w:ascii="Arial" w:hAnsi="Arial" w:cs="Arial"/>
          <w:sz w:val="24"/>
          <w:szCs w:val="24"/>
        </w:rPr>
        <w:t>ro</w:t>
      </w:r>
      <w:r w:rsidRPr="00AE43A0">
        <w:rPr>
          <w:rFonts w:ascii="Arial" w:hAnsi="Arial" w:cs="Arial"/>
          <w:sz w:val="24"/>
          <w:szCs w:val="24"/>
        </w:rPr>
        <w:t>n un menor aporte</w:t>
      </w:r>
      <w:r w:rsidR="003037B4">
        <w:rPr>
          <w:rFonts w:ascii="Arial" w:hAnsi="Arial" w:cs="Arial"/>
          <w:sz w:val="24"/>
          <w:szCs w:val="24"/>
        </w:rPr>
        <w:t>,</w:t>
      </w:r>
      <w:r w:rsidRPr="00AE43A0">
        <w:rPr>
          <w:rFonts w:ascii="Arial" w:hAnsi="Arial" w:cs="Arial"/>
          <w:sz w:val="24"/>
          <w:szCs w:val="24"/>
        </w:rPr>
        <w:t xml:space="preserve"> con 0.02 % en 2021 y 0.03 % en 2020</w:t>
      </w:r>
      <w:r w:rsidR="003037B4">
        <w:rPr>
          <w:rFonts w:ascii="Arial" w:hAnsi="Arial" w:cs="Arial"/>
          <w:sz w:val="24"/>
          <w:szCs w:val="24"/>
        </w:rPr>
        <w:t xml:space="preserve">. Esto </w:t>
      </w:r>
      <w:r w:rsidR="003B3476">
        <w:rPr>
          <w:rFonts w:ascii="Arial" w:hAnsi="Arial" w:cs="Arial"/>
          <w:sz w:val="24"/>
          <w:szCs w:val="24"/>
        </w:rPr>
        <w:t xml:space="preserve">significó una </w:t>
      </w:r>
      <w:r w:rsidRPr="00AE43A0">
        <w:rPr>
          <w:rFonts w:ascii="Arial" w:hAnsi="Arial" w:cs="Arial"/>
          <w:sz w:val="24"/>
          <w:szCs w:val="24"/>
        </w:rPr>
        <w:t>disminu</w:t>
      </w:r>
      <w:r w:rsidR="003B3476">
        <w:rPr>
          <w:rFonts w:ascii="Arial" w:hAnsi="Arial" w:cs="Arial"/>
          <w:sz w:val="24"/>
          <w:szCs w:val="24"/>
        </w:rPr>
        <w:t>ción de</w:t>
      </w:r>
      <w:r w:rsidRPr="00AE43A0">
        <w:rPr>
          <w:rFonts w:ascii="Arial" w:hAnsi="Arial" w:cs="Arial"/>
          <w:sz w:val="24"/>
          <w:szCs w:val="24"/>
        </w:rPr>
        <w:t xml:space="preserve"> 0.01 puntos porcentuales</w:t>
      </w:r>
      <w:r w:rsidR="003B3476">
        <w:rPr>
          <w:rFonts w:ascii="Arial" w:hAnsi="Arial" w:cs="Arial"/>
          <w:sz w:val="24"/>
          <w:szCs w:val="24"/>
        </w:rPr>
        <w:t xml:space="preserve"> (ver gráfica 4).</w:t>
      </w:r>
    </w:p>
    <w:p w14:paraId="0163EDA9" w14:textId="77777777" w:rsidR="00AE43A0" w:rsidRPr="00300A11" w:rsidRDefault="00AE43A0" w:rsidP="00AE43A0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6442CE42" w14:textId="77777777" w:rsidR="002C42EE" w:rsidRDefault="002C42EE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</w:p>
    <w:p w14:paraId="4D591F4C" w14:textId="584EDB60" w:rsidR="00AE43A0" w:rsidRPr="00AE43A0" w:rsidRDefault="00AE43A0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AE43A0">
        <w:rPr>
          <w:rFonts w:ascii="Arial" w:hAnsi="Arial" w:cs="Arial"/>
          <w:bCs/>
          <w:sz w:val="20"/>
          <w:szCs w:val="20"/>
        </w:rPr>
        <w:t xml:space="preserve">Gráfica </w:t>
      </w:r>
      <w:r>
        <w:rPr>
          <w:rFonts w:ascii="Arial" w:hAnsi="Arial" w:cs="Arial"/>
          <w:bCs/>
          <w:sz w:val="20"/>
          <w:szCs w:val="20"/>
        </w:rPr>
        <w:t>4</w:t>
      </w:r>
    </w:p>
    <w:p w14:paraId="6F127F3F" w14:textId="2A081CF9" w:rsidR="00AE43A0" w:rsidRPr="00AE43A0" w:rsidRDefault="00C37033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Participación de los i</w:t>
      </w:r>
      <w:r w:rsidR="00AE43A0" w:rsidRPr="00AE43A0">
        <w:rPr>
          <w:rFonts w:ascii="Arial" w:hAnsi="Arial" w:cs="Arial"/>
          <w:b/>
          <w:bCs/>
          <w:smallCaps/>
        </w:rPr>
        <w:t>ngresos</w:t>
      </w:r>
      <w:r w:rsidR="003F2B9A">
        <w:rPr>
          <w:rFonts w:ascii="Arial" w:hAnsi="Arial" w:cs="Arial"/>
          <w:b/>
          <w:bCs/>
          <w:smallCaps/>
        </w:rPr>
        <w:t xml:space="preserve"> </w:t>
      </w:r>
      <w:r w:rsidR="00AE43A0" w:rsidRPr="00AE43A0">
        <w:rPr>
          <w:rFonts w:ascii="Arial" w:hAnsi="Arial" w:cs="Arial"/>
          <w:b/>
          <w:bCs/>
          <w:smallCaps/>
        </w:rPr>
        <w:t>de empresas que realizaron comercio internacional de servicios, según tipo de servicio en 2020 y 2021</w:t>
      </w:r>
    </w:p>
    <w:p w14:paraId="33A88F85" w14:textId="5CE7F7FE" w:rsidR="00AE43A0" w:rsidRPr="00AE43A0" w:rsidRDefault="00AE43A0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AE43A0">
        <w:rPr>
          <w:rFonts w:ascii="Arial" w:hAnsi="Arial" w:cs="Arial"/>
          <w:sz w:val="18"/>
          <w:szCs w:val="24"/>
        </w:rPr>
        <w:t>(</w:t>
      </w:r>
      <w:r w:rsidR="003B3476">
        <w:rPr>
          <w:rFonts w:ascii="Arial" w:hAnsi="Arial" w:cs="Arial"/>
          <w:sz w:val="18"/>
          <w:szCs w:val="24"/>
        </w:rPr>
        <w:t>p</w:t>
      </w:r>
      <w:r w:rsidRPr="00AE43A0">
        <w:rPr>
          <w:rFonts w:ascii="Arial" w:hAnsi="Arial" w:cs="Arial"/>
          <w:sz w:val="18"/>
          <w:szCs w:val="24"/>
        </w:rPr>
        <w:t>orcentaje)</w:t>
      </w:r>
    </w:p>
    <w:p w14:paraId="6496B010" w14:textId="62CEFB9F" w:rsidR="00AE43A0" w:rsidRPr="00572DB1" w:rsidRDefault="00860C17" w:rsidP="00AE43A0">
      <w:pPr>
        <w:jc w:val="center"/>
        <w:rPr>
          <w:color w:val="404040" w:themeColor="text1" w:themeTint="BF"/>
        </w:rPr>
      </w:pPr>
      <w:r>
        <w:rPr>
          <w:noProof/>
        </w:rPr>
        <w:drawing>
          <wp:inline distT="0" distB="0" distL="0" distR="0" wp14:anchorId="3997E897" wp14:editId="5144DFCF">
            <wp:extent cx="5120987" cy="2246400"/>
            <wp:effectExtent l="0" t="0" r="3810" b="190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20987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013E" w14:textId="2EEB693C" w:rsidR="003B3476" w:rsidRDefault="00AE43A0" w:rsidP="003B3476">
      <w:pPr>
        <w:pStyle w:val="NormalWeb"/>
        <w:spacing w:before="0" w:beforeAutospacing="0" w:after="0" w:afterAutospacing="0"/>
        <w:ind w:left="993" w:right="990"/>
        <w:jc w:val="both"/>
        <w:rPr>
          <w:rFonts w:ascii="Arial" w:hAnsi="Arial" w:cs="Arial"/>
          <w:bCs/>
          <w:sz w:val="16"/>
          <w:szCs w:val="16"/>
        </w:rPr>
      </w:pPr>
      <w:r w:rsidRPr="00AE43A0">
        <w:rPr>
          <w:rFonts w:ascii="Arial" w:eastAsia="+mn-ea" w:hAnsi="Arial" w:cs="Arial"/>
          <w:bCs/>
          <w:kern w:val="24"/>
          <w:sz w:val="16"/>
          <w:szCs w:val="16"/>
        </w:rPr>
        <w:t xml:space="preserve">Nota: </w:t>
      </w:r>
      <w:r w:rsidR="003B3476">
        <w:rPr>
          <w:rFonts w:ascii="Arial" w:eastAsia="+mn-ea" w:hAnsi="Arial" w:cs="Arial"/>
          <w:bCs/>
          <w:kern w:val="24"/>
          <w:sz w:val="16"/>
          <w:szCs w:val="16"/>
        </w:rPr>
        <w:t xml:space="preserve">   </w:t>
      </w:r>
      <w:r w:rsidRPr="00AE43A0">
        <w:rPr>
          <w:rFonts w:ascii="Arial" w:hAnsi="Arial" w:cs="Arial"/>
          <w:bCs/>
          <w:sz w:val="16"/>
          <w:szCs w:val="16"/>
        </w:rPr>
        <w:t xml:space="preserve">Porcentajes obtenidos respecto del total de ingresos a precios constantes </w:t>
      </w:r>
      <w:r w:rsidR="003B3476" w:rsidRPr="003B3476">
        <w:rPr>
          <w:rFonts w:ascii="Arial" w:hAnsi="Arial" w:cs="Arial"/>
          <w:bCs/>
          <w:smallCaps/>
          <w:sz w:val="16"/>
          <w:szCs w:val="16"/>
        </w:rPr>
        <w:t>inpp</w:t>
      </w:r>
      <w:r w:rsidRPr="00AE43A0">
        <w:rPr>
          <w:rFonts w:ascii="Arial" w:hAnsi="Arial" w:cs="Arial"/>
          <w:bCs/>
          <w:sz w:val="16"/>
          <w:szCs w:val="16"/>
        </w:rPr>
        <w:t xml:space="preserve"> promedio anual 2021 </w:t>
      </w:r>
    </w:p>
    <w:p w14:paraId="03ED5259" w14:textId="56A78C01" w:rsidR="00AE43A0" w:rsidRPr="00AE43A0" w:rsidRDefault="003B3476" w:rsidP="002A0561">
      <w:pPr>
        <w:pStyle w:val="NormalWeb"/>
        <w:spacing w:before="0" w:beforeAutospacing="0" w:after="0" w:afterAutospacing="0"/>
        <w:ind w:left="993" w:right="99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eastAsia="+mn-ea" w:hAnsi="Arial" w:cs="Arial"/>
          <w:bCs/>
          <w:kern w:val="24"/>
          <w:sz w:val="16"/>
          <w:szCs w:val="16"/>
        </w:rPr>
        <w:t xml:space="preserve">             </w:t>
      </w:r>
      <w:r w:rsidR="00AE43A0" w:rsidRPr="00AE43A0">
        <w:rPr>
          <w:rFonts w:ascii="Arial" w:hAnsi="Arial" w:cs="Arial"/>
          <w:bCs/>
          <w:sz w:val="16"/>
          <w:szCs w:val="16"/>
        </w:rPr>
        <w:t>por clase de actividad económica.</w:t>
      </w:r>
      <w:r w:rsidR="00AE43A0" w:rsidRPr="00AE43A0">
        <w:rPr>
          <w:rFonts w:ascii="Arial" w:eastAsia="+mn-ea" w:hAnsi="Arial" w:cs="Arial"/>
          <w:bCs/>
          <w:kern w:val="24"/>
          <w:sz w:val="16"/>
          <w:szCs w:val="16"/>
        </w:rPr>
        <w:t xml:space="preserve">          </w:t>
      </w:r>
    </w:p>
    <w:p w14:paraId="427CCF76" w14:textId="2B94F8EA" w:rsidR="00AE43A0" w:rsidRPr="00572DB1" w:rsidRDefault="003B3476" w:rsidP="002A0561">
      <w:pPr>
        <w:pStyle w:val="NormalWeb"/>
        <w:spacing w:before="0" w:beforeAutospacing="0" w:after="0" w:afterAutospacing="0"/>
        <w:ind w:left="993" w:right="99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eastAsia="+mn-ea" w:hAnsi="Arial" w:cs="Arial"/>
          <w:bCs/>
          <w:kern w:val="24"/>
          <w:sz w:val="16"/>
          <w:szCs w:val="16"/>
        </w:rPr>
        <w:t xml:space="preserve">             </w:t>
      </w:r>
      <w:r w:rsidR="00AE43A0" w:rsidRPr="00AE43A0">
        <w:rPr>
          <w:rFonts w:ascii="Arial" w:eastAsia="+mn-ea" w:hAnsi="Arial" w:cs="Arial"/>
          <w:bCs/>
          <w:kern w:val="24"/>
          <w:sz w:val="16"/>
          <w:szCs w:val="16"/>
        </w:rPr>
        <w:t xml:space="preserve">La suma de los porcentajes puede no </w:t>
      </w:r>
      <w:r w:rsidR="002C46BD">
        <w:rPr>
          <w:rFonts w:ascii="Arial" w:eastAsia="+mn-ea" w:hAnsi="Arial" w:cs="Arial"/>
          <w:bCs/>
          <w:kern w:val="24"/>
          <w:sz w:val="16"/>
          <w:szCs w:val="16"/>
        </w:rPr>
        <w:t xml:space="preserve">corresponder al </w:t>
      </w:r>
      <w:r w:rsidR="00AE43A0" w:rsidRPr="00AE43A0">
        <w:rPr>
          <w:rFonts w:ascii="Arial" w:eastAsia="+mn-ea" w:hAnsi="Arial" w:cs="Arial"/>
          <w:bCs/>
          <w:kern w:val="24"/>
          <w:sz w:val="16"/>
          <w:szCs w:val="16"/>
        </w:rPr>
        <w:t>100</w:t>
      </w:r>
      <w:r w:rsidR="002C46BD">
        <w:rPr>
          <w:rFonts w:ascii="Arial" w:eastAsia="+mn-ea" w:hAnsi="Arial" w:cs="Arial"/>
          <w:bCs/>
          <w:kern w:val="24"/>
          <w:sz w:val="16"/>
          <w:szCs w:val="16"/>
        </w:rPr>
        <w:t>.0 %</w:t>
      </w:r>
      <w:r w:rsidR="00AE43A0" w:rsidRPr="00AE43A0">
        <w:rPr>
          <w:rFonts w:ascii="Arial" w:eastAsia="+mn-ea" w:hAnsi="Arial" w:cs="Arial"/>
          <w:bCs/>
          <w:kern w:val="24"/>
          <w:sz w:val="16"/>
          <w:szCs w:val="16"/>
        </w:rPr>
        <w:t xml:space="preserve"> debido al redondeo.</w:t>
      </w:r>
    </w:p>
    <w:p w14:paraId="04A86D13" w14:textId="597E2B2C" w:rsidR="003B3476" w:rsidRPr="007401ED" w:rsidRDefault="003B3476" w:rsidP="00902A81">
      <w:pPr>
        <w:spacing w:after="0" w:line="240" w:lineRule="auto"/>
        <w:ind w:firstLine="993"/>
        <w:jc w:val="both"/>
        <w:rPr>
          <w:rFonts w:ascii="Arial" w:hAnsi="Arial" w:cs="Arial"/>
          <w:color w:val="000000" w:themeColor="text1"/>
          <w:sz w:val="10"/>
          <w:szCs w:val="10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2C42EE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6012F1F2" w14:textId="47E879B5" w:rsidR="00AB57A8" w:rsidRDefault="00AB57A8" w:rsidP="00AB57A8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91EA9F" w14:textId="77777777" w:rsidR="0026544A" w:rsidRDefault="0026544A" w:rsidP="003B3476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A82F71" w14:textId="4EE803FA" w:rsidR="00AE43A0" w:rsidRPr="008D0E59" w:rsidRDefault="00351CEE" w:rsidP="003B347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8D0E59">
        <w:rPr>
          <w:rFonts w:ascii="Arial" w:hAnsi="Arial" w:cs="Arial"/>
          <w:b/>
          <w:bCs/>
          <w:smallCaps/>
          <w:sz w:val="24"/>
          <w:szCs w:val="24"/>
        </w:rPr>
        <w:t>Gastos</w:t>
      </w:r>
      <w:r w:rsidR="00AE43A0" w:rsidRPr="008D0E59">
        <w:rPr>
          <w:rFonts w:ascii="Arial" w:hAnsi="Arial" w:cs="Arial"/>
          <w:b/>
          <w:bCs/>
          <w:smallCaps/>
          <w:sz w:val="24"/>
          <w:szCs w:val="24"/>
        </w:rPr>
        <w:t xml:space="preserve"> de</w:t>
      </w:r>
      <w:r w:rsidR="00860C17"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  <w:r w:rsidR="00860C17" w:rsidRPr="008D0E59">
        <w:rPr>
          <w:rFonts w:ascii="Arial" w:hAnsi="Arial" w:cs="Arial"/>
          <w:b/>
          <w:bCs/>
          <w:smallCaps/>
          <w:sz w:val="24"/>
          <w:szCs w:val="24"/>
        </w:rPr>
        <w:t>cis</w:t>
      </w:r>
      <w:r w:rsidR="00AE43A0" w:rsidRPr="008D0E59">
        <w:rPr>
          <w:rFonts w:ascii="Arial" w:hAnsi="Arial" w:cs="Arial"/>
          <w:b/>
          <w:bCs/>
          <w:smallCaps/>
          <w:sz w:val="24"/>
          <w:szCs w:val="24"/>
        </w:rPr>
        <w:t xml:space="preserve"> por tipo de servicio</w:t>
      </w:r>
    </w:p>
    <w:p w14:paraId="660C3B7C" w14:textId="77777777" w:rsidR="00AE43A0" w:rsidRPr="00AB57A8" w:rsidRDefault="00AE43A0" w:rsidP="003B3476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57BEF2" w14:textId="0742EDFC" w:rsidR="008B5150" w:rsidRDefault="00422B53" w:rsidP="003B34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AD6">
        <w:rPr>
          <w:rFonts w:ascii="Arial" w:hAnsi="Arial" w:cs="Arial"/>
          <w:sz w:val="24"/>
          <w:szCs w:val="24"/>
        </w:rPr>
        <w:t xml:space="preserve">Del total de gastos a precios constantes realizados por importaciones de </w:t>
      </w:r>
      <w:r w:rsidR="003B3476" w:rsidRPr="003B3476">
        <w:rPr>
          <w:rFonts w:ascii="Arial" w:hAnsi="Arial" w:cs="Arial"/>
          <w:smallCaps/>
          <w:sz w:val="24"/>
          <w:szCs w:val="24"/>
        </w:rPr>
        <w:t>cis</w:t>
      </w:r>
      <w:r w:rsidRPr="009A5AD6">
        <w:rPr>
          <w:rFonts w:ascii="Arial" w:hAnsi="Arial" w:cs="Arial"/>
          <w:sz w:val="24"/>
          <w:szCs w:val="24"/>
        </w:rPr>
        <w:t xml:space="preserve"> en 2021, 26.9 % correspond</w:t>
      </w:r>
      <w:r w:rsidR="003B3476">
        <w:rPr>
          <w:rFonts w:ascii="Arial" w:hAnsi="Arial" w:cs="Arial"/>
          <w:sz w:val="24"/>
          <w:szCs w:val="24"/>
        </w:rPr>
        <w:t>ió</w:t>
      </w:r>
      <w:r w:rsidRPr="009A5AD6">
        <w:rPr>
          <w:rFonts w:ascii="Arial" w:hAnsi="Arial" w:cs="Arial"/>
          <w:sz w:val="24"/>
          <w:szCs w:val="24"/>
        </w:rPr>
        <w:t xml:space="preserve"> a</w:t>
      </w:r>
      <w:r w:rsidR="003B3476">
        <w:rPr>
          <w:rFonts w:ascii="Arial" w:hAnsi="Arial" w:cs="Arial"/>
          <w:sz w:val="24"/>
          <w:szCs w:val="24"/>
        </w:rPr>
        <w:t xml:space="preserve">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cargos por el uso de la propiedad intelectual</w:t>
      </w:r>
      <w:r w:rsidR="008F171A">
        <w:rPr>
          <w:rFonts w:ascii="Arial" w:hAnsi="Arial" w:cs="Arial"/>
          <w:sz w:val="24"/>
          <w:szCs w:val="24"/>
        </w:rPr>
        <w:t>»</w:t>
      </w:r>
      <w:r w:rsidR="003B3476">
        <w:rPr>
          <w:rFonts w:ascii="Arial" w:hAnsi="Arial" w:cs="Arial"/>
          <w:sz w:val="24"/>
          <w:szCs w:val="24"/>
        </w:rPr>
        <w:t>. Siguieron</w:t>
      </w:r>
      <w:r w:rsidRPr="009A5AD6">
        <w:rPr>
          <w:rFonts w:ascii="Arial" w:hAnsi="Arial" w:cs="Arial"/>
          <w:sz w:val="24"/>
          <w:szCs w:val="24"/>
        </w:rPr>
        <w:t xml:space="preserve">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otros servicios empresariales</w:t>
      </w:r>
      <w:r w:rsidR="008F171A">
        <w:rPr>
          <w:rFonts w:ascii="Arial" w:hAnsi="Arial" w:cs="Arial"/>
          <w:sz w:val="24"/>
          <w:szCs w:val="24"/>
        </w:rPr>
        <w:t>»</w:t>
      </w:r>
      <w:r w:rsidR="003B3476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con 23.2 % y</w:t>
      </w:r>
      <w:r w:rsidR="003B3476">
        <w:rPr>
          <w:rFonts w:ascii="Arial" w:hAnsi="Arial" w:cs="Arial"/>
          <w:sz w:val="24"/>
          <w:szCs w:val="24"/>
        </w:rPr>
        <w:t xml:space="preserve">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de manufactura en insumos físicos que son propiedad de otros</w:t>
      </w:r>
      <w:r w:rsidR="008F171A">
        <w:rPr>
          <w:rFonts w:ascii="Arial" w:hAnsi="Arial" w:cs="Arial"/>
          <w:sz w:val="24"/>
          <w:szCs w:val="24"/>
        </w:rPr>
        <w:t>»</w:t>
      </w:r>
      <w:r w:rsidR="003B3476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con 19.3 por ciento. </w:t>
      </w:r>
      <w:r w:rsidR="003B3476">
        <w:rPr>
          <w:rFonts w:ascii="Arial" w:hAnsi="Arial" w:cs="Arial"/>
          <w:sz w:val="24"/>
          <w:szCs w:val="24"/>
        </w:rPr>
        <w:t>L</w:t>
      </w:r>
      <w:r w:rsidRPr="009A5AD6">
        <w:rPr>
          <w:rFonts w:ascii="Arial" w:hAnsi="Arial" w:cs="Arial"/>
          <w:sz w:val="24"/>
          <w:szCs w:val="24"/>
        </w:rPr>
        <w:t xml:space="preserve">os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personales, culturales y recreativos</w:t>
      </w:r>
      <w:r w:rsidR="008F171A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representa</w:t>
      </w:r>
      <w:r w:rsidR="003B3476">
        <w:rPr>
          <w:rFonts w:ascii="Arial" w:hAnsi="Arial" w:cs="Arial"/>
          <w:sz w:val="24"/>
          <w:szCs w:val="24"/>
        </w:rPr>
        <w:t>ro</w:t>
      </w:r>
      <w:r w:rsidRPr="009A5AD6">
        <w:rPr>
          <w:rFonts w:ascii="Arial" w:hAnsi="Arial" w:cs="Arial"/>
          <w:sz w:val="24"/>
          <w:szCs w:val="24"/>
        </w:rPr>
        <w:t xml:space="preserve">n </w:t>
      </w:r>
      <w:r w:rsidR="0094216D">
        <w:rPr>
          <w:rFonts w:ascii="Arial" w:hAnsi="Arial" w:cs="Arial"/>
          <w:sz w:val="24"/>
          <w:szCs w:val="24"/>
        </w:rPr>
        <w:t>el menor porcentaje,</w:t>
      </w:r>
      <w:r w:rsidRPr="009A5AD6">
        <w:rPr>
          <w:rFonts w:ascii="Arial" w:hAnsi="Arial" w:cs="Arial"/>
          <w:sz w:val="24"/>
          <w:szCs w:val="24"/>
        </w:rPr>
        <w:t xml:space="preserve"> con 0.1 por ciento. Para 2020, del total de gastos reportados, 27.4 % correspond</w:t>
      </w:r>
      <w:r w:rsidR="003B3476">
        <w:rPr>
          <w:rFonts w:ascii="Arial" w:hAnsi="Arial" w:cs="Arial"/>
          <w:sz w:val="24"/>
          <w:szCs w:val="24"/>
        </w:rPr>
        <w:t>ió</w:t>
      </w:r>
      <w:r w:rsidRPr="009A5AD6">
        <w:rPr>
          <w:rFonts w:ascii="Arial" w:hAnsi="Arial" w:cs="Arial"/>
          <w:sz w:val="24"/>
          <w:szCs w:val="24"/>
        </w:rPr>
        <w:t xml:space="preserve"> a l</w:t>
      </w:r>
      <w:r w:rsidR="003B3476">
        <w:rPr>
          <w:rFonts w:ascii="Arial" w:hAnsi="Arial" w:cs="Arial"/>
          <w:sz w:val="24"/>
          <w:szCs w:val="24"/>
        </w:rPr>
        <w:t>os</w:t>
      </w:r>
      <w:r w:rsidRPr="009A5AD6">
        <w:rPr>
          <w:rFonts w:ascii="Arial" w:hAnsi="Arial" w:cs="Arial"/>
          <w:sz w:val="24"/>
          <w:szCs w:val="24"/>
        </w:rPr>
        <w:t xml:space="preserve">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de manufactura en insumos físicos que son propiedad de otros</w:t>
      </w:r>
      <w:r w:rsidR="008F171A">
        <w:rPr>
          <w:rFonts w:ascii="Arial" w:hAnsi="Arial" w:cs="Arial"/>
          <w:sz w:val="24"/>
          <w:szCs w:val="24"/>
        </w:rPr>
        <w:t>»</w:t>
      </w:r>
      <w:r w:rsidR="0094216D">
        <w:rPr>
          <w:rFonts w:ascii="Arial" w:hAnsi="Arial" w:cs="Arial"/>
          <w:sz w:val="24"/>
          <w:szCs w:val="24"/>
        </w:rPr>
        <w:t>;</w:t>
      </w:r>
      <w:r w:rsidRPr="009A5AD6">
        <w:rPr>
          <w:rFonts w:ascii="Arial" w:hAnsi="Arial" w:cs="Arial"/>
          <w:sz w:val="24"/>
          <w:szCs w:val="24"/>
        </w:rPr>
        <w:t xml:space="preserve"> 24.9 %</w:t>
      </w:r>
      <w:r w:rsidR="0094216D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a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otros servicios empresariales</w:t>
      </w:r>
      <w:r w:rsidR="008F171A">
        <w:rPr>
          <w:rFonts w:ascii="Arial" w:hAnsi="Arial" w:cs="Arial"/>
          <w:sz w:val="24"/>
          <w:szCs w:val="24"/>
        </w:rPr>
        <w:t>»</w:t>
      </w:r>
      <w:r w:rsidR="0094216D">
        <w:rPr>
          <w:rFonts w:ascii="Arial" w:hAnsi="Arial" w:cs="Arial"/>
          <w:sz w:val="24"/>
          <w:szCs w:val="24"/>
        </w:rPr>
        <w:t>;</w:t>
      </w:r>
      <w:r w:rsidRPr="009A5AD6">
        <w:rPr>
          <w:rFonts w:ascii="Arial" w:hAnsi="Arial" w:cs="Arial"/>
          <w:sz w:val="24"/>
          <w:szCs w:val="24"/>
        </w:rPr>
        <w:t xml:space="preserve"> 22.4 %</w:t>
      </w:r>
      <w:r w:rsidR="0094216D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a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 xml:space="preserve">cargos por </w:t>
      </w:r>
      <w:r w:rsidR="004941D2">
        <w:rPr>
          <w:rFonts w:ascii="Arial" w:hAnsi="Arial" w:cs="Arial"/>
          <w:sz w:val="24"/>
          <w:szCs w:val="24"/>
        </w:rPr>
        <w:t xml:space="preserve">el </w:t>
      </w:r>
      <w:r w:rsidRPr="009A5AD6">
        <w:rPr>
          <w:rFonts w:ascii="Arial" w:hAnsi="Arial" w:cs="Arial"/>
          <w:sz w:val="24"/>
          <w:szCs w:val="24"/>
        </w:rPr>
        <w:t xml:space="preserve">uso de </w:t>
      </w:r>
      <w:r w:rsidR="004941D2">
        <w:rPr>
          <w:rFonts w:ascii="Arial" w:hAnsi="Arial" w:cs="Arial"/>
          <w:sz w:val="24"/>
          <w:szCs w:val="24"/>
        </w:rPr>
        <w:t xml:space="preserve">la </w:t>
      </w:r>
      <w:r w:rsidRPr="009A5AD6">
        <w:rPr>
          <w:rFonts w:ascii="Arial" w:hAnsi="Arial" w:cs="Arial"/>
          <w:sz w:val="24"/>
          <w:szCs w:val="24"/>
        </w:rPr>
        <w:t>propiedad intelectual</w:t>
      </w:r>
      <w:r w:rsidR="008F171A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y </w:t>
      </w:r>
      <w:r w:rsidR="008B5150">
        <w:rPr>
          <w:rFonts w:ascii="Arial" w:hAnsi="Arial" w:cs="Arial"/>
          <w:sz w:val="24"/>
          <w:szCs w:val="24"/>
        </w:rPr>
        <w:t>0.2 %</w:t>
      </w:r>
      <w:r w:rsidRPr="009A5AD6">
        <w:rPr>
          <w:rFonts w:ascii="Arial" w:hAnsi="Arial" w:cs="Arial"/>
          <w:sz w:val="24"/>
          <w:szCs w:val="24"/>
        </w:rPr>
        <w:t xml:space="preserve"> a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personales, culturales y recreativos</w:t>
      </w:r>
      <w:r w:rsidR="008F171A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. </w:t>
      </w:r>
    </w:p>
    <w:p w14:paraId="26D572A3" w14:textId="77777777" w:rsidR="008B5150" w:rsidRDefault="008B5150" w:rsidP="003B34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EC9560" w14:textId="35ED5DC5" w:rsidR="00422B53" w:rsidRPr="009A5AD6" w:rsidRDefault="00422B53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AD6">
        <w:rPr>
          <w:rFonts w:ascii="Arial" w:hAnsi="Arial" w:cs="Arial"/>
          <w:sz w:val="24"/>
          <w:szCs w:val="24"/>
        </w:rPr>
        <w:t>De 2020 a 2021, se registró un decremento</w:t>
      </w:r>
      <w:r w:rsidR="008B5150">
        <w:rPr>
          <w:rFonts w:ascii="Arial" w:hAnsi="Arial" w:cs="Arial"/>
          <w:sz w:val="24"/>
          <w:szCs w:val="24"/>
        </w:rPr>
        <w:t xml:space="preserve"> </w:t>
      </w:r>
      <w:r w:rsidR="008B5150" w:rsidRPr="009A5AD6">
        <w:rPr>
          <w:rFonts w:ascii="Arial" w:hAnsi="Arial" w:cs="Arial"/>
          <w:sz w:val="24"/>
          <w:szCs w:val="24"/>
        </w:rPr>
        <w:t>de 8.1 puntos porcentuales</w:t>
      </w:r>
      <w:r w:rsidRPr="009A5AD6">
        <w:rPr>
          <w:rFonts w:ascii="Arial" w:hAnsi="Arial" w:cs="Arial"/>
          <w:sz w:val="24"/>
          <w:szCs w:val="24"/>
        </w:rPr>
        <w:t xml:space="preserve"> para los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de manufactura en insumos físicos que son propiedad de otros</w:t>
      </w:r>
      <w:r w:rsidR="008F171A">
        <w:rPr>
          <w:rFonts w:ascii="Arial" w:hAnsi="Arial" w:cs="Arial"/>
          <w:sz w:val="24"/>
          <w:szCs w:val="24"/>
        </w:rPr>
        <w:t>»</w:t>
      </w:r>
      <w:r w:rsidR="008B5150">
        <w:rPr>
          <w:rFonts w:ascii="Arial" w:hAnsi="Arial" w:cs="Arial"/>
          <w:sz w:val="24"/>
          <w:szCs w:val="24"/>
        </w:rPr>
        <w:t xml:space="preserve"> y</w:t>
      </w:r>
      <w:r w:rsidRPr="009A5AD6">
        <w:rPr>
          <w:rFonts w:ascii="Arial" w:hAnsi="Arial" w:cs="Arial"/>
          <w:sz w:val="24"/>
          <w:szCs w:val="24"/>
        </w:rPr>
        <w:t xml:space="preserve"> de 1.7 puntos porcentuales para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otros servicios empresariales</w:t>
      </w:r>
      <w:r w:rsidR="008F171A">
        <w:rPr>
          <w:rFonts w:ascii="Arial" w:hAnsi="Arial" w:cs="Arial"/>
          <w:sz w:val="24"/>
          <w:szCs w:val="24"/>
        </w:rPr>
        <w:t>»</w:t>
      </w:r>
      <w:r w:rsidR="008B5150">
        <w:rPr>
          <w:rFonts w:ascii="Arial" w:hAnsi="Arial" w:cs="Arial"/>
          <w:sz w:val="24"/>
          <w:szCs w:val="24"/>
        </w:rPr>
        <w:t>. I</w:t>
      </w:r>
      <w:r w:rsidRPr="009A5AD6">
        <w:rPr>
          <w:rFonts w:ascii="Arial" w:hAnsi="Arial" w:cs="Arial"/>
          <w:sz w:val="24"/>
          <w:szCs w:val="24"/>
        </w:rPr>
        <w:t>ncrement</w:t>
      </w:r>
      <w:r w:rsidR="008B5150">
        <w:rPr>
          <w:rFonts w:ascii="Arial" w:hAnsi="Arial" w:cs="Arial"/>
          <w:sz w:val="24"/>
          <w:szCs w:val="24"/>
        </w:rPr>
        <w:t>aron</w:t>
      </w:r>
      <w:r w:rsidRPr="009A5AD6">
        <w:rPr>
          <w:rFonts w:ascii="Arial" w:hAnsi="Arial" w:cs="Arial"/>
          <w:sz w:val="24"/>
          <w:szCs w:val="24"/>
        </w:rPr>
        <w:t xml:space="preserve"> 4.5 puntos porcentuales los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 xml:space="preserve">cargos por </w:t>
      </w:r>
      <w:r w:rsidR="004941D2">
        <w:rPr>
          <w:rFonts w:ascii="Arial" w:hAnsi="Arial" w:cs="Arial"/>
          <w:sz w:val="24"/>
          <w:szCs w:val="24"/>
        </w:rPr>
        <w:t xml:space="preserve">el </w:t>
      </w:r>
      <w:r w:rsidRPr="009A5AD6">
        <w:rPr>
          <w:rFonts w:ascii="Arial" w:hAnsi="Arial" w:cs="Arial"/>
          <w:sz w:val="24"/>
          <w:szCs w:val="24"/>
        </w:rPr>
        <w:t xml:space="preserve">uso de </w:t>
      </w:r>
      <w:r w:rsidR="004941D2">
        <w:rPr>
          <w:rFonts w:ascii="Arial" w:hAnsi="Arial" w:cs="Arial"/>
          <w:sz w:val="24"/>
          <w:szCs w:val="24"/>
        </w:rPr>
        <w:t xml:space="preserve">la </w:t>
      </w:r>
      <w:r w:rsidRPr="009A5AD6">
        <w:rPr>
          <w:rFonts w:ascii="Arial" w:hAnsi="Arial" w:cs="Arial"/>
          <w:sz w:val="24"/>
          <w:szCs w:val="24"/>
        </w:rPr>
        <w:t xml:space="preserve">propiedad </w:t>
      </w:r>
      <w:r w:rsidR="008B5150">
        <w:rPr>
          <w:rFonts w:ascii="Arial" w:hAnsi="Arial" w:cs="Arial"/>
          <w:sz w:val="24"/>
          <w:szCs w:val="24"/>
        </w:rPr>
        <w:t>intelectual</w:t>
      </w:r>
      <w:r w:rsidR="008F171A">
        <w:rPr>
          <w:rFonts w:ascii="Arial" w:hAnsi="Arial" w:cs="Arial"/>
          <w:sz w:val="24"/>
          <w:szCs w:val="24"/>
        </w:rPr>
        <w:t>»</w:t>
      </w:r>
      <w:r w:rsidR="008B5150">
        <w:rPr>
          <w:rFonts w:ascii="Arial" w:hAnsi="Arial" w:cs="Arial"/>
          <w:sz w:val="24"/>
          <w:szCs w:val="24"/>
        </w:rPr>
        <w:t xml:space="preserve"> y los</w:t>
      </w:r>
      <w:r w:rsidRPr="009A5AD6">
        <w:rPr>
          <w:rFonts w:ascii="Arial" w:hAnsi="Arial" w:cs="Arial"/>
          <w:sz w:val="24"/>
          <w:szCs w:val="24"/>
        </w:rPr>
        <w:t xml:space="preserve"> </w:t>
      </w:r>
      <w:r w:rsidR="008F171A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personales, culturales y recreativos</w:t>
      </w:r>
      <w:r w:rsidR="008F171A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presenta</w:t>
      </w:r>
      <w:r w:rsidR="008B5150">
        <w:rPr>
          <w:rFonts w:ascii="Arial" w:hAnsi="Arial" w:cs="Arial"/>
          <w:sz w:val="24"/>
          <w:szCs w:val="24"/>
        </w:rPr>
        <w:t>ro</w:t>
      </w:r>
      <w:r w:rsidRPr="009A5AD6">
        <w:rPr>
          <w:rFonts w:ascii="Arial" w:hAnsi="Arial" w:cs="Arial"/>
          <w:sz w:val="24"/>
          <w:szCs w:val="24"/>
        </w:rPr>
        <w:t>n una disminución de 0.1 puntos porcentuales</w:t>
      </w:r>
      <w:r w:rsidR="0094216D">
        <w:rPr>
          <w:rFonts w:ascii="Arial" w:hAnsi="Arial" w:cs="Arial"/>
          <w:sz w:val="24"/>
          <w:szCs w:val="24"/>
        </w:rPr>
        <w:t xml:space="preserve">. Así, se </w:t>
      </w:r>
      <w:r w:rsidRPr="009A5AD6">
        <w:rPr>
          <w:rFonts w:ascii="Arial" w:hAnsi="Arial" w:cs="Arial"/>
          <w:sz w:val="24"/>
          <w:szCs w:val="24"/>
        </w:rPr>
        <w:t>mantiene como el componente con menor participación</w:t>
      </w:r>
      <w:r w:rsidR="008B5150">
        <w:rPr>
          <w:rFonts w:ascii="Arial" w:hAnsi="Arial" w:cs="Arial"/>
          <w:sz w:val="24"/>
          <w:szCs w:val="24"/>
        </w:rPr>
        <w:t>, como se puede ver en la gráfica 5.</w:t>
      </w:r>
    </w:p>
    <w:p w14:paraId="38C40E62" w14:textId="77777777" w:rsidR="00351CEE" w:rsidRPr="00300A11" w:rsidRDefault="00351CEE" w:rsidP="00351CEE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47F70E6A" w14:textId="6A47013D" w:rsidR="00422B53" w:rsidRPr="009A5AD6" w:rsidRDefault="00351CEE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351CEE">
        <w:rPr>
          <w:rFonts w:ascii="Arial" w:hAnsi="Arial" w:cs="Arial"/>
          <w:bCs/>
          <w:sz w:val="20"/>
          <w:szCs w:val="20"/>
        </w:rPr>
        <w:lastRenderedPageBreak/>
        <w:t xml:space="preserve">Gráfica </w:t>
      </w:r>
      <w:r>
        <w:rPr>
          <w:rFonts w:ascii="Arial" w:hAnsi="Arial" w:cs="Arial"/>
          <w:bCs/>
          <w:sz w:val="20"/>
          <w:szCs w:val="20"/>
        </w:rPr>
        <w:t>5</w:t>
      </w:r>
    </w:p>
    <w:p w14:paraId="6BF0C5C2" w14:textId="3A8B1C00" w:rsidR="00422B53" w:rsidRPr="009A5AD6" w:rsidRDefault="0036667C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Participación de los g</w:t>
      </w:r>
      <w:r w:rsidR="00422B53" w:rsidRPr="009A5AD6">
        <w:rPr>
          <w:rFonts w:ascii="Arial" w:hAnsi="Arial" w:cs="Arial"/>
          <w:b/>
          <w:bCs/>
          <w:smallCaps/>
        </w:rPr>
        <w:t>astos de empresas que realizaron comercio internacional de servicios, según tipo de servicio en 2020 y 2021</w:t>
      </w:r>
    </w:p>
    <w:p w14:paraId="0EDF87BC" w14:textId="55E8FE52" w:rsidR="00422B53" w:rsidRPr="009A5AD6" w:rsidRDefault="00422B53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</w:t>
      </w:r>
      <w:r w:rsidR="0094216D">
        <w:rPr>
          <w:rFonts w:ascii="Arial" w:hAnsi="Arial" w:cs="Arial"/>
          <w:sz w:val="18"/>
          <w:szCs w:val="24"/>
        </w:rPr>
        <w:t>p</w:t>
      </w:r>
      <w:r w:rsidRPr="009A5AD6">
        <w:rPr>
          <w:rFonts w:ascii="Arial" w:hAnsi="Arial" w:cs="Arial"/>
          <w:sz w:val="18"/>
          <w:szCs w:val="24"/>
        </w:rPr>
        <w:t>orcentaje)</w:t>
      </w:r>
    </w:p>
    <w:p w14:paraId="3066EC46" w14:textId="37201295" w:rsidR="00422B53" w:rsidRPr="00572DB1" w:rsidRDefault="0036667C" w:rsidP="00422B53">
      <w:pPr>
        <w:spacing w:line="240" w:lineRule="auto"/>
        <w:jc w:val="center"/>
        <w:rPr>
          <w:color w:val="404040" w:themeColor="text1" w:themeTint="BF"/>
        </w:rPr>
      </w:pPr>
      <w:r w:rsidRPr="0036667C">
        <w:rPr>
          <w:noProof/>
        </w:rPr>
        <w:t xml:space="preserve"> </w:t>
      </w:r>
      <w:r>
        <w:rPr>
          <w:noProof/>
        </w:rPr>
        <w:drawing>
          <wp:inline distT="0" distB="0" distL="0" distR="0" wp14:anchorId="64C49ECD" wp14:editId="6033B3F8">
            <wp:extent cx="5112763" cy="2246400"/>
            <wp:effectExtent l="0" t="0" r="0" b="190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12763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3532" w14:textId="77777777" w:rsidR="008B5150" w:rsidRDefault="00422B53" w:rsidP="008B5150">
      <w:pPr>
        <w:pStyle w:val="NormalWeb"/>
        <w:spacing w:before="0" w:beforeAutospacing="0" w:after="0" w:afterAutospacing="0"/>
        <w:ind w:left="851" w:right="990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hAnsi="Arial" w:cs="Arial"/>
          <w:bCs/>
          <w:kern w:val="24"/>
          <w:sz w:val="16"/>
          <w:szCs w:val="16"/>
        </w:rPr>
        <w:t xml:space="preserve">Nota: </w:t>
      </w:r>
      <w:r w:rsidR="008B5150">
        <w:rPr>
          <w:rFonts w:ascii="Arial" w:hAnsi="Arial" w:cs="Arial"/>
          <w:bCs/>
          <w:kern w:val="24"/>
          <w:sz w:val="16"/>
          <w:szCs w:val="16"/>
        </w:rPr>
        <w:t xml:space="preserve">   </w:t>
      </w:r>
      <w:r w:rsidRPr="009A5AD6">
        <w:rPr>
          <w:rFonts w:ascii="Arial" w:hAnsi="Arial" w:cs="Arial"/>
          <w:bCs/>
          <w:sz w:val="16"/>
          <w:szCs w:val="16"/>
        </w:rPr>
        <w:t xml:space="preserve">Porcentajes obtenidos respecto del total de gastos a precios constantes </w:t>
      </w:r>
      <w:r w:rsidR="008B5150" w:rsidRPr="008B5150">
        <w:rPr>
          <w:rFonts w:ascii="Arial" w:hAnsi="Arial" w:cs="Arial"/>
          <w:bCs/>
          <w:smallCaps/>
          <w:sz w:val="16"/>
          <w:szCs w:val="16"/>
        </w:rPr>
        <w:t>inpp</w:t>
      </w:r>
      <w:r w:rsidRPr="009A5AD6">
        <w:rPr>
          <w:rFonts w:ascii="Arial" w:hAnsi="Arial" w:cs="Arial"/>
          <w:bCs/>
          <w:sz w:val="16"/>
          <w:szCs w:val="16"/>
        </w:rPr>
        <w:t xml:space="preserve"> promedio anual 2021 por </w:t>
      </w:r>
    </w:p>
    <w:p w14:paraId="7782FD03" w14:textId="28A494D0" w:rsidR="00422B53" w:rsidRPr="009A5AD6" w:rsidRDefault="008B5150" w:rsidP="002A0561">
      <w:pPr>
        <w:pStyle w:val="NormalWeb"/>
        <w:spacing w:before="0" w:beforeAutospacing="0" w:after="0" w:afterAutospacing="0"/>
        <w:ind w:left="851" w:right="990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092C3" wp14:editId="2B5B3511">
                <wp:simplePos x="0" y="0"/>
                <wp:positionH relativeFrom="margin">
                  <wp:posOffset>560070</wp:posOffset>
                </wp:positionH>
                <wp:positionV relativeFrom="paragraph">
                  <wp:posOffset>135255</wp:posOffset>
                </wp:positionV>
                <wp:extent cx="109855" cy="95250"/>
                <wp:effectExtent l="0" t="0" r="4445" b="0"/>
                <wp:wrapNone/>
                <wp:docPr id="36" name="Triángulo isósce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9525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5B6F3D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9" o:spid="_x0000_s1026" type="#_x0000_t5" style="position:absolute;margin-left:44.1pt;margin-top:10.65pt;width:8.6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" fillcolor="#00b050" stroked="f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422B53" w:rsidRPr="009A5AD6">
        <w:rPr>
          <w:rFonts w:ascii="Arial" w:hAnsi="Arial" w:cs="Arial"/>
          <w:bCs/>
          <w:sz w:val="16"/>
          <w:szCs w:val="16"/>
        </w:rPr>
        <w:t>clase de actividad económica.</w:t>
      </w:r>
    </w:p>
    <w:p w14:paraId="352E576D" w14:textId="66717311" w:rsidR="008B5150" w:rsidRDefault="00422B53" w:rsidP="008B5150">
      <w:pPr>
        <w:pStyle w:val="NormalWeb"/>
        <w:spacing w:before="0" w:beforeAutospacing="0" w:after="0" w:afterAutospacing="0"/>
        <w:ind w:left="851" w:right="990"/>
        <w:jc w:val="both"/>
        <w:rPr>
          <w:rFonts w:ascii="Arial" w:hAnsi="Arial" w:cs="Arial"/>
          <w:bCs/>
          <w:kern w:val="24"/>
          <w:sz w:val="16"/>
          <w:szCs w:val="16"/>
        </w:rPr>
      </w:pPr>
      <w:r w:rsidRPr="009A5AD6">
        <w:rPr>
          <w:rFonts w:ascii="Arial" w:hAnsi="Arial" w:cs="Arial"/>
          <w:bCs/>
          <w:kern w:val="24"/>
          <w:sz w:val="16"/>
          <w:szCs w:val="16"/>
        </w:rPr>
        <w:t xml:space="preserve">             Cambio positivo estadísticamente significativo.     </w:t>
      </w:r>
    </w:p>
    <w:p w14:paraId="77315625" w14:textId="1068F0E1" w:rsidR="00422B53" w:rsidRPr="009A5AD6" w:rsidRDefault="008B5150" w:rsidP="002A0561">
      <w:pPr>
        <w:pStyle w:val="NormalWeb"/>
        <w:spacing w:before="0" w:beforeAutospacing="0" w:after="0" w:afterAutospacing="0"/>
        <w:ind w:left="851" w:right="990"/>
        <w:jc w:val="both"/>
        <w:rPr>
          <w:rFonts w:ascii="Arial" w:hAnsi="Arial" w:cs="Arial"/>
          <w:sz w:val="16"/>
          <w:szCs w:val="16"/>
        </w:rPr>
      </w:pPr>
      <w:r w:rsidRPr="009A5AD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FA892F" wp14:editId="17A80EDD">
                <wp:simplePos x="0" y="0"/>
                <wp:positionH relativeFrom="column">
                  <wp:posOffset>554990</wp:posOffset>
                </wp:positionH>
                <wp:positionV relativeFrom="paragraph">
                  <wp:posOffset>42546</wp:posOffset>
                </wp:positionV>
                <wp:extent cx="114899" cy="76598"/>
                <wp:effectExtent l="0" t="0" r="0" b="0"/>
                <wp:wrapNone/>
                <wp:docPr id="37" name="Triángulo isósce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899" cy="76598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C2E5BAF" id="Triángulo isósceles 10" o:spid="_x0000_s1026" type="#_x0000_t5" style="position:absolute;margin-left:43.7pt;margin-top:3.35pt;width:9.05pt;height:6.0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" fillcolor="red" stroked="f" strokeweight="1pt"/>
            </w:pict>
          </mc:Fallback>
        </mc:AlternateContent>
      </w:r>
      <w:r>
        <w:rPr>
          <w:rFonts w:ascii="Arial" w:hAnsi="Arial" w:cs="Arial"/>
          <w:bCs/>
          <w:kern w:val="24"/>
          <w:sz w:val="16"/>
          <w:szCs w:val="16"/>
        </w:rPr>
        <w:t xml:space="preserve">         </w:t>
      </w:r>
      <w:r w:rsidR="00422B53" w:rsidRPr="009A5AD6">
        <w:rPr>
          <w:rFonts w:ascii="Arial" w:hAnsi="Arial" w:cs="Arial"/>
          <w:bCs/>
          <w:kern w:val="24"/>
          <w:sz w:val="16"/>
          <w:szCs w:val="16"/>
        </w:rPr>
        <w:t xml:space="preserve"> </w:t>
      </w:r>
      <w:r>
        <w:rPr>
          <w:rFonts w:ascii="Arial" w:hAnsi="Arial" w:cs="Arial"/>
          <w:bCs/>
          <w:kern w:val="24"/>
          <w:sz w:val="16"/>
          <w:szCs w:val="16"/>
        </w:rPr>
        <w:t xml:space="preserve">   </w:t>
      </w:r>
      <w:r w:rsidR="00422B53" w:rsidRPr="009A5AD6">
        <w:rPr>
          <w:rFonts w:ascii="Arial" w:hAnsi="Arial" w:cs="Arial"/>
          <w:kern w:val="24"/>
          <w:sz w:val="16"/>
          <w:szCs w:val="16"/>
        </w:rPr>
        <w:t>Cambio negativo estadísticamente significativo.</w:t>
      </w:r>
    </w:p>
    <w:p w14:paraId="1AEAE62F" w14:textId="662E9E18" w:rsidR="008B5150" w:rsidRPr="007401ED" w:rsidRDefault="008B5150" w:rsidP="00902A81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10"/>
          <w:szCs w:val="10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4941D2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3AC2C599" w14:textId="4E3C75BF" w:rsidR="00422B53" w:rsidRPr="009A5AD6" w:rsidRDefault="00422B53" w:rsidP="00422B53">
      <w:pPr>
        <w:spacing w:line="240" w:lineRule="auto"/>
        <w:rPr>
          <w:rFonts w:ascii="Arial" w:hAnsi="Arial" w:cs="Arial"/>
          <w:sz w:val="24"/>
          <w:szCs w:val="24"/>
        </w:rPr>
      </w:pPr>
    </w:p>
    <w:p w14:paraId="6469D63C" w14:textId="4F2BBCA0" w:rsidR="00AB57A8" w:rsidRPr="00AB57A8" w:rsidRDefault="00AB57A8" w:rsidP="00AB57A8">
      <w:pPr>
        <w:spacing w:after="0" w:line="240" w:lineRule="auto"/>
        <w:ind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7978D4" w14:textId="25184741" w:rsidR="00AB57A8" w:rsidRDefault="008B5150" w:rsidP="008B5150">
      <w:pPr>
        <w:spacing w:after="0" w:line="240" w:lineRule="auto"/>
        <w:ind w:right="-2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 anexa Nota técnica</w:t>
      </w:r>
    </w:p>
    <w:p w14:paraId="18DD8A48" w14:textId="77777777" w:rsidR="008B5150" w:rsidRDefault="008B5150" w:rsidP="008B5150">
      <w:pPr>
        <w:spacing w:after="0" w:line="240" w:lineRule="auto"/>
        <w:ind w:right="-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FE0501A" w14:textId="77777777" w:rsidR="008B5150" w:rsidRDefault="008B5150" w:rsidP="008B5150">
      <w:pPr>
        <w:spacing w:after="0" w:line="240" w:lineRule="auto"/>
        <w:ind w:right="-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12D8A67" w14:textId="77777777" w:rsidR="008B5150" w:rsidRDefault="008B5150" w:rsidP="008B5150">
      <w:pPr>
        <w:spacing w:after="0" w:line="240" w:lineRule="auto"/>
        <w:ind w:right="-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F1E3625" w14:textId="77777777" w:rsidR="008B5150" w:rsidRDefault="008B5150" w:rsidP="008B5150">
      <w:pPr>
        <w:spacing w:after="0" w:line="240" w:lineRule="auto"/>
        <w:ind w:right="-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05F7517" w14:textId="77777777" w:rsidR="008B5150" w:rsidRDefault="008B5150" w:rsidP="008B5150">
      <w:pPr>
        <w:spacing w:after="0" w:line="240" w:lineRule="auto"/>
        <w:ind w:right="-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ED16D2A" w14:textId="77777777" w:rsidR="008B5150" w:rsidRPr="00AB57A8" w:rsidRDefault="008B5150" w:rsidP="002A0561">
      <w:pPr>
        <w:spacing w:after="0" w:line="240" w:lineRule="auto"/>
        <w:ind w:right="-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1D0844F" w14:textId="52E31428" w:rsidR="00351CEE" w:rsidRPr="00351CEE" w:rsidRDefault="00351CEE" w:rsidP="00351CEE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351CEE">
        <w:rPr>
          <w:rFonts w:ascii="Arial" w:hAnsi="Arial" w:cs="Arial"/>
          <w:lang w:val="es-ES_tradnl"/>
        </w:rPr>
        <w:t xml:space="preserve">Para consultas de medios y periodistas, escribir a: </w:t>
      </w:r>
      <w:hyperlink r:id="rId16" w:history="1">
        <w:r w:rsidRPr="00351CEE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351CEE">
        <w:rPr>
          <w:rFonts w:ascii="Arial" w:hAnsi="Arial" w:cs="Arial"/>
          <w:lang w:val="es-ES_tradnl"/>
        </w:rPr>
        <w:t xml:space="preserve">    </w:t>
      </w:r>
    </w:p>
    <w:p w14:paraId="377072DD" w14:textId="77777777" w:rsidR="00351CEE" w:rsidRPr="00351CEE" w:rsidRDefault="00351CEE" w:rsidP="00351CE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351CEE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6FF3498C" w14:textId="77777777" w:rsidR="00351CEE" w:rsidRPr="00351CEE" w:rsidRDefault="00351CEE" w:rsidP="00351CE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351CEE">
        <w:rPr>
          <w:rFonts w:ascii="Arial" w:hAnsi="Arial" w:cs="Arial"/>
        </w:rPr>
        <w:t>Dirección de Atención a Medios/ Dirección General Adjunta de Comunicación</w:t>
      </w:r>
    </w:p>
    <w:p w14:paraId="635978B8" w14:textId="77777777" w:rsidR="00351CEE" w:rsidRPr="00351CEE" w:rsidRDefault="00351CEE" w:rsidP="00351CE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7A79043B" w14:textId="77777777" w:rsidR="00351CEE" w:rsidRPr="00351CEE" w:rsidRDefault="00351CEE" w:rsidP="00351CEE">
      <w:pPr>
        <w:pStyle w:val="Piedepgina"/>
        <w:jc w:val="center"/>
        <w:rPr>
          <w:rFonts w:ascii="Arial" w:hAnsi="Arial" w:cs="Arial"/>
          <w:b/>
          <w:szCs w:val="24"/>
        </w:rPr>
      </w:pPr>
      <w:r w:rsidRPr="00351CEE">
        <w:rPr>
          <w:rFonts w:ascii="Arial" w:hAnsi="Arial" w:cs="Arial"/>
          <w:noProof/>
          <w:szCs w:val="24"/>
          <w:lang w:eastAsia="es-MX"/>
        </w:rPr>
        <w:drawing>
          <wp:inline distT="0" distB="0" distL="0" distR="0" wp14:anchorId="7B9E7E5A" wp14:editId="37918EE8">
            <wp:extent cx="372725" cy="360438"/>
            <wp:effectExtent l="0" t="0" r="0" b="0"/>
            <wp:docPr id="28" name="Imagen 28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51CEE">
        <w:rPr>
          <w:rFonts w:ascii="Arial" w:hAnsi="Arial" w:cs="Arial"/>
          <w:noProof/>
          <w:szCs w:val="24"/>
          <w:lang w:eastAsia="es-MX"/>
        </w:rPr>
        <w:t xml:space="preserve"> </w:t>
      </w:r>
      <w:r w:rsidRPr="00351CEE">
        <w:rPr>
          <w:rFonts w:ascii="Arial" w:hAnsi="Arial" w:cs="Arial"/>
          <w:noProof/>
          <w:szCs w:val="24"/>
          <w:lang w:eastAsia="es-MX"/>
        </w:rPr>
        <w:drawing>
          <wp:inline distT="0" distB="0" distL="0" distR="0" wp14:anchorId="75E12C68" wp14:editId="7E30F770">
            <wp:extent cx="365760" cy="365760"/>
            <wp:effectExtent l="0" t="0" r="2540" b="2540"/>
            <wp:docPr id="31" name="Imagen 31" descr="Icon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CEE">
        <w:rPr>
          <w:rFonts w:ascii="Arial" w:hAnsi="Arial" w:cs="Arial"/>
          <w:noProof/>
          <w:szCs w:val="24"/>
          <w:lang w:eastAsia="es-MX"/>
        </w:rPr>
        <w:t xml:space="preserve"> </w:t>
      </w:r>
      <w:r w:rsidRPr="00351CEE">
        <w:rPr>
          <w:rFonts w:ascii="Arial" w:hAnsi="Arial" w:cs="Arial"/>
          <w:noProof/>
          <w:szCs w:val="24"/>
          <w:lang w:eastAsia="es-MX"/>
        </w:rPr>
        <w:drawing>
          <wp:inline distT="0" distB="0" distL="0" distR="0" wp14:anchorId="4FC3FBD8" wp14:editId="2B69355D">
            <wp:extent cx="365760" cy="365760"/>
            <wp:effectExtent l="0" t="0" r="2540" b="2540"/>
            <wp:docPr id="34" name="Imagen 34" descr="Imagen que contiene objeto, reloj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CEE">
        <w:rPr>
          <w:rFonts w:ascii="Arial" w:hAnsi="Arial" w:cs="Arial"/>
          <w:noProof/>
          <w:szCs w:val="24"/>
          <w:lang w:eastAsia="es-MX"/>
        </w:rPr>
        <w:t xml:space="preserve"> </w:t>
      </w:r>
      <w:r w:rsidRPr="00351CEE">
        <w:rPr>
          <w:rFonts w:ascii="Arial" w:hAnsi="Arial" w:cs="Arial"/>
          <w:noProof/>
          <w:szCs w:val="24"/>
          <w:lang w:eastAsia="es-MX"/>
        </w:rPr>
        <w:drawing>
          <wp:inline distT="0" distB="0" distL="0" distR="0" wp14:anchorId="49F9115C" wp14:editId="71ECFB14">
            <wp:extent cx="365760" cy="365760"/>
            <wp:effectExtent l="0" t="0" r="2540" b="2540"/>
            <wp:docPr id="35" name="Imagen 35" descr="Logotip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CEE">
        <w:rPr>
          <w:rFonts w:ascii="Arial" w:hAnsi="Arial" w:cs="Arial"/>
          <w:noProof/>
          <w:szCs w:val="24"/>
          <w:lang w:eastAsia="es-MX"/>
        </w:rPr>
        <w:t xml:space="preserve">  </w:t>
      </w:r>
      <w:r w:rsidRPr="00351CEE">
        <w:rPr>
          <w:rFonts w:ascii="Arial" w:hAnsi="Arial" w:cs="Arial"/>
          <w:noProof/>
          <w:szCs w:val="24"/>
          <w:lang w:eastAsia="es-MX"/>
        </w:rPr>
        <w:drawing>
          <wp:inline distT="0" distB="0" distL="0" distR="0" wp14:anchorId="0B8D5D79" wp14:editId="0E9E81FA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44006" w14:textId="77777777" w:rsidR="00351CEE" w:rsidRPr="00511745" w:rsidRDefault="00351CEE" w:rsidP="00351CEE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652EA1DE" w14:textId="77777777" w:rsidR="00351CEE" w:rsidRDefault="00351CEE">
      <w:p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br w:type="page"/>
      </w:r>
    </w:p>
    <w:p w14:paraId="5562A751" w14:textId="77777777" w:rsidR="00351CEE" w:rsidRDefault="00351CEE" w:rsidP="00351CEE">
      <w:pPr>
        <w:spacing w:after="0" w:line="240" w:lineRule="auto"/>
        <w:ind w:left="-567" w:right="-658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642315BF" w14:textId="4904BA0F" w:rsidR="00274A2D" w:rsidRPr="00351CEE" w:rsidRDefault="00024007" w:rsidP="00031D78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  <w:r w:rsidRPr="00351CEE">
        <w:rPr>
          <w:rFonts w:ascii="Arial" w:hAnsi="Arial" w:cs="Arial"/>
          <w:b/>
          <w:sz w:val="24"/>
          <w:szCs w:val="24"/>
        </w:rPr>
        <w:t>NOTA TÉCNICA</w:t>
      </w:r>
    </w:p>
    <w:p w14:paraId="51346AD8" w14:textId="77777777" w:rsidR="00031D78" w:rsidRPr="00031D78" w:rsidRDefault="00031D78" w:rsidP="00031D78">
      <w:pPr>
        <w:spacing w:after="0" w:line="240" w:lineRule="auto"/>
        <w:ind w:left="-567" w:right="-658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69E75E91" w14:textId="4E81378F" w:rsidR="0047365A" w:rsidRPr="00351CEE" w:rsidRDefault="00D72274" w:rsidP="00351CEE">
      <w:pPr>
        <w:spacing w:afterLines="160" w:after="384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CEE">
        <w:rPr>
          <w:rFonts w:ascii="Arial" w:hAnsi="Arial" w:cs="Arial"/>
          <w:bCs/>
          <w:sz w:val="24"/>
          <w:szCs w:val="24"/>
        </w:rPr>
        <w:t>El Instituto Nacional de Estadística y Geografía (</w:t>
      </w:r>
      <w:r w:rsidR="008B5150" w:rsidRPr="008B5150">
        <w:rPr>
          <w:rFonts w:ascii="Arial" w:hAnsi="Arial" w:cs="Arial"/>
          <w:bCs/>
          <w:smallCaps/>
          <w:sz w:val="24"/>
          <w:szCs w:val="24"/>
        </w:rPr>
        <w:t>inegi</w:t>
      </w:r>
      <w:r w:rsidRPr="00351CEE">
        <w:rPr>
          <w:rFonts w:ascii="Arial" w:hAnsi="Arial" w:cs="Arial"/>
          <w:bCs/>
          <w:sz w:val="24"/>
          <w:szCs w:val="24"/>
        </w:rPr>
        <w:t xml:space="preserve">) </w:t>
      </w:r>
      <w:r w:rsidR="0047365A" w:rsidRPr="00351CEE">
        <w:rPr>
          <w:rFonts w:ascii="Arial" w:hAnsi="Arial" w:cs="Arial"/>
          <w:bCs/>
          <w:sz w:val="24"/>
          <w:szCs w:val="24"/>
        </w:rPr>
        <w:t xml:space="preserve">presenta </w:t>
      </w:r>
      <w:r w:rsidRPr="00351CEE">
        <w:rPr>
          <w:rFonts w:ascii="Arial" w:hAnsi="Arial" w:cs="Arial"/>
          <w:bCs/>
          <w:sz w:val="24"/>
          <w:szCs w:val="24"/>
        </w:rPr>
        <w:t>l</w:t>
      </w:r>
      <w:r w:rsidR="0047365A" w:rsidRPr="00351CEE">
        <w:rPr>
          <w:rFonts w:ascii="Arial" w:hAnsi="Arial" w:cs="Arial"/>
          <w:bCs/>
          <w:sz w:val="24"/>
          <w:szCs w:val="24"/>
        </w:rPr>
        <w:t xml:space="preserve">a </w:t>
      </w:r>
      <w:r w:rsidR="000E04B2">
        <w:rPr>
          <w:rFonts w:ascii="Arial" w:hAnsi="Arial" w:cs="Arial"/>
          <w:bCs/>
          <w:sz w:val="24"/>
          <w:szCs w:val="24"/>
        </w:rPr>
        <w:t>E</w:t>
      </w:r>
      <w:r w:rsidR="0047365A" w:rsidRPr="00351CEE">
        <w:rPr>
          <w:rFonts w:ascii="Arial" w:hAnsi="Arial" w:cs="Arial"/>
          <w:bCs/>
          <w:sz w:val="24"/>
          <w:szCs w:val="24"/>
        </w:rPr>
        <w:t xml:space="preserve">ncuesta de </w:t>
      </w:r>
      <w:r w:rsidR="003D72FD" w:rsidRPr="00351CEE">
        <w:rPr>
          <w:rFonts w:ascii="Arial" w:hAnsi="Arial" w:cs="Arial"/>
          <w:bCs/>
          <w:sz w:val="24"/>
          <w:szCs w:val="24"/>
        </w:rPr>
        <w:t>Comercio Internacional de Servicios (</w:t>
      </w:r>
      <w:r w:rsidR="008B5150" w:rsidRPr="008B5150">
        <w:rPr>
          <w:rFonts w:ascii="Arial" w:hAnsi="Arial" w:cs="Arial"/>
          <w:bCs/>
          <w:smallCaps/>
          <w:sz w:val="24"/>
          <w:szCs w:val="24"/>
        </w:rPr>
        <w:t>ecis</w:t>
      </w:r>
      <w:r w:rsidR="003D72FD" w:rsidRPr="00351CEE">
        <w:rPr>
          <w:rFonts w:ascii="Arial" w:hAnsi="Arial" w:cs="Arial"/>
          <w:bCs/>
          <w:sz w:val="24"/>
          <w:szCs w:val="24"/>
        </w:rPr>
        <w:t>)</w:t>
      </w:r>
      <w:r w:rsidR="0047365A" w:rsidRPr="00351CEE">
        <w:rPr>
          <w:rFonts w:ascii="Arial" w:hAnsi="Arial" w:cs="Arial"/>
          <w:bCs/>
          <w:sz w:val="24"/>
          <w:szCs w:val="24"/>
        </w:rPr>
        <w:t xml:space="preserve"> 2022</w:t>
      </w:r>
      <w:r w:rsidR="008B5150">
        <w:rPr>
          <w:rFonts w:ascii="Arial" w:hAnsi="Arial" w:cs="Arial"/>
          <w:bCs/>
          <w:sz w:val="24"/>
          <w:szCs w:val="24"/>
        </w:rPr>
        <w:t>,</w:t>
      </w:r>
      <w:r w:rsidR="0047365A" w:rsidRPr="00351CEE">
        <w:rPr>
          <w:rFonts w:ascii="Arial" w:hAnsi="Arial" w:cs="Arial"/>
          <w:bCs/>
          <w:sz w:val="24"/>
          <w:szCs w:val="24"/>
        </w:rPr>
        <w:t xml:space="preserve"> con </w:t>
      </w:r>
      <w:r w:rsidR="00D470E7" w:rsidRPr="00351CEE">
        <w:rPr>
          <w:rFonts w:ascii="Arial" w:hAnsi="Arial" w:cs="Arial"/>
          <w:bCs/>
          <w:sz w:val="24"/>
          <w:szCs w:val="24"/>
        </w:rPr>
        <w:t>datos</w:t>
      </w:r>
      <w:r w:rsidR="0047365A" w:rsidRPr="00351CEE">
        <w:rPr>
          <w:rFonts w:ascii="Arial" w:hAnsi="Arial" w:cs="Arial"/>
          <w:bCs/>
          <w:sz w:val="24"/>
          <w:szCs w:val="24"/>
        </w:rPr>
        <w:t xml:space="preserve"> de referencia de 2021. Est</w:t>
      </w:r>
      <w:r w:rsidR="00D470E7" w:rsidRPr="00351CEE">
        <w:rPr>
          <w:rFonts w:ascii="Arial" w:hAnsi="Arial" w:cs="Arial"/>
          <w:bCs/>
          <w:sz w:val="24"/>
          <w:szCs w:val="24"/>
        </w:rPr>
        <w:t>a encuesta</w:t>
      </w:r>
      <w:r w:rsidR="0047365A" w:rsidRPr="00351CEE">
        <w:rPr>
          <w:rFonts w:ascii="Arial" w:hAnsi="Arial" w:cs="Arial"/>
          <w:bCs/>
          <w:sz w:val="24"/>
          <w:szCs w:val="24"/>
        </w:rPr>
        <w:t>, que forma parte de las estadísticas experimentales del Subsistema</w:t>
      </w:r>
      <w:r w:rsidR="008D79F6">
        <w:rPr>
          <w:rFonts w:ascii="Arial" w:hAnsi="Arial" w:cs="Arial"/>
          <w:bCs/>
          <w:sz w:val="24"/>
          <w:szCs w:val="24"/>
        </w:rPr>
        <w:t xml:space="preserve"> Nacional</w:t>
      </w:r>
      <w:r w:rsidR="0047365A" w:rsidRPr="00351CEE">
        <w:rPr>
          <w:rFonts w:ascii="Arial" w:hAnsi="Arial" w:cs="Arial"/>
          <w:bCs/>
          <w:sz w:val="24"/>
          <w:szCs w:val="24"/>
        </w:rPr>
        <w:t xml:space="preserve"> de Información Económica, </w:t>
      </w:r>
      <w:r w:rsidR="00D470E7" w:rsidRPr="00351CEE">
        <w:rPr>
          <w:rFonts w:ascii="Arial" w:hAnsi="Arial" w:cs="Arial"/>
          <w:bCs/>
          <w:sz w:val="24"/>
          <w:szCs w:val="24"/>
        </w:rPr>
        <w:t>permite medir los flujos de ingresos y gastos con el exterior</w:t>
      </w:r>
      <w:r w:rsidR="000E04B2">
        <w:rPr>
          <w:rFonts w:ascii="Arial" w:hAnsi="Arial" w:cs="Arial"/>
          <w:bCs/>
          <w:sz w:val="24"/>
          <w:szCs w:val="24"/>
        </w:rPr>
        <w:t>,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 de acuerdo con el </w:t>
      </w:r>
      <w:r w:rsidR="00D470E7" w:rsidRPr="008F659B">
        <w:rPr>
          <w:rFonts w:ascii="Arial" w:hAnsi="Arial" w:cs="Arial"/>
          <w:bCs/>
          <w:sz w:val="24"/>
          <w:szCs w:val="24"/>
        </w:rPr>
        <w:t>Manual de Estadísticas del Comercio Internacional de Servicios</w:t>
      </w:r>
      <w:r w:rsidR="008B5150" w:rsidRPr="008F659B">
        <w:rPr>
          <w:rFonts w:ascii="Arial" w:hAnsi="Arial" w:cs="Arial"/>
          <w:bCs/>
          <w:sz w:val="24"/>
          <w:szCs w:val="24"/>
        </w:rPr>
        <w:t xml:space="preserve"> (</w:t>
      </w:r>
      <w:r w:rsidR="008B5150" w:rsidRPr="008F659B">
        <w:rPr>
          <w:rFonts w:ascii="Arial" w:hAnsi="Arial" w:cs="Arial"/>
          <w:bCs/>
          <w:smallCaps/>
          <w:sz w:val="24"/>
          <w:szCs w:val="24"/>
        </w:rPr>
        <w:t>mecis)</w:t>
      </w:r>
      <w:r w:rsidR="008F659B">
        <w:rPr>
          <w:rFonts w:ascii="Arial" w:hAnsi="Arial" w:cs="Arial"/>
          <w:bCs/>
          <w:smallCaps/>
          <w:sz w:val="24"/>
          <w:szCs w:val="24"/>
        </w:rPr>
        <w:t>,</w:t>
      </w:r>
      <w:r w:rsidR="008B5150" w:rsidRPr="008F659B">
        <w:rPr>
          <w:rFonts w:ascii="Arial" w:hAnsi="Arial" w:cs="Arial"/>
          <w:bCs/>
          <w:smallCaps/>
          <w:sz w:val="24"/>
          <w:szCs w:val="24"/>
        </w:rPr>
        <w:t xml:space="preserve"> </w:t>
      </w:r>
      <w:r w:rsidR="00D470E7" w:rsidRPr="008F659B">
        <w:rPr>
          <w:rFonts w:ascii="Arial" w:hAnsi="Arial" w:cs="Arial"/>
          <w:bCs/>
          <w:sz w:val="24"/>
          <w:szCs w:val="24"/>
        </w:rPr>
        <w:t>2010.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 </w:t>
      </w:r>
    </w:p>
    <w:p w14:paraId="2FF22615" w14:textId="5446ED24" w:rsidR="0047365A" w:rsidRPr="008B5150" w:rsidRDefault="008B5150" w:rsidP="00351CEE">
      <w:pPr>
        <w:spacing w:afterLines="160" w:after="384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 segunda edición de la</w:t>
      </w:r>
      <w:r w:rsidR="0047365A" w:rsidRPr="00351CEE">
        <w:rPr>
          <w:rFonts w:ascii="Arial" w:hAnsi="Arial" w:cs="Arial"/>
          <w:bCs/>
          <w:sz w:val="24"/>
          <w:szCs w:val="24"/>
        </w:rPr>
        <w:t xml:space="preserve"> </w:t>
      </w:r>
      <w:r w:rsidRPr="008B5150">
        <w:rPr>
          <w:rFonts w:ascii="Arial" w:hAnsi="Arial" w:cs="Arial"/>
          <w:bCs/>
          <w:smallCaps/>
          <w:sz w:val="24"/>
          <w:szCs w:val="24"/>
        </w:rPr>
        <w:t>ecis</w:t>
      </w:r>
      <w:r w:rsidR="0047365A" w:rsidRPr="00351CEE">
        <w:rPr>
          <w:rFonts w:ascii="Arial" w:hAnsi="Arial" w:cs="Arial"/>
          <w:bCs/>
          <w:sz w:val="24"/>
          <w:szCs w:val="24"/>
        </w:rPr>
        <w:t xml:space="preserve"> considera las </w:t>
      </w:r>
      <w:r w:rsidR="0047365A" w:rsidRPr="008F659B">
        <w:rPr>
          <w:rFonts w:ascii="Arial" w:hAnsi="Arial" w:cs="Arial"/>
          <w:bCs/>
          <w:sz w:val="24"/>
          <w:szCs w:val="24"/>
        </w:rPr>
        <w:t>siguientes categorías de servicio</w:t>
      </w:r>
      <w:r w:rsidR="0094216D" w:rsidRPr="008F659B">
        <w:rPr>
          <w:rFonts w:ascii="Arial" w:hAnsi="Arial" w:cs="Arial"/>
          <w:bCs/>
          <w:sz w:val="24"/>
          <w:szCs w:val="24"/>
        </w:rPr>
        <w:t>:</w:t>
      </w:r>
      <w:r w:rsidR="0047365A" w:rsidRPr="008F659B">
        <w:rPr>
          <w:rStyle w:val="Refdenotaalpie"/>
          <w:rFonts w:ascii="Arial" w:hAnsi="Arial" w:cs="Arial"/>
          <w:bCs/>
          <w:sz w:val="24"/>
          <w:szCs w:val="24"/>
        </w:rPr>
        <w:footnoteReference w:id="1"/>
      </w:r>
      <w:r w:rsidR="0047365A" w:rsidRPr="008F659B">
        <w:rPr>
          <w:rFonts w:ascii="Arial" w:hAnsi="Arial" w:cs="Arial"/>
          <w:bCs/>
          <w:sz w:val="24"/>
          <w:szCs w:val="24"/>
        </w:rPr>
        <w:t xml:space="preserve"> </w:t>
      </w:r>
      <w:r w:rsidR="00951CB8" w:rsidRPr="008F659B">
        <w:rPr>
          <w:rFonts w:ascii="Arial" w:hAnsi="Arial" w:cs="Arial"/>
          <w:bCs/>
          <w:sz w:val="24"/>
          <w:szCs w:val="24"/>
        </w:rPr>
        <w:t>«</w:t>
      </w:r>
      <w:r w:rsidRPr="008F659B">
        <w:rPr>
          <w:rFonts w:ascii="Arial" w:hAnsi="Arial" w:cs="Arial"/>
          <w:bCs/>
          <w:sz w:val="24"/>
          <w:szCs w:val="24"/>
        </w:rPr>
        <w:t>s</w:t>
      </w:r>
      <w:r w:rsidR="0047365A" w:rsidRPr="008F659B">
        <w:rPr>
          <w:rFonts w:ascii="Arial" w:hAnsi="Arial" w:cs="Arial"/>
          <w:bCs/>
          <w:sz w:val="24"/>
          <w:szCs w:val="24"/>
        </w:rPr>
        <w:t>ervicios de manufactura en insumos físicos que son propiedad de otros</w:t>
      </w:r>
      <w:r w:rsidR="00951CB8" w:rsidRPr="00902A81">
        <w:rPr>
          <w:rFonts w:ascii="Arial" w:hAnsi="Arial" w:cs="Arial"/>
          <w:bCs/>
          <w:sz w:val="24"/>
          <w:szCs w:val="24"/>
        </w:rPr>
        <w:t>»</w:t>
      </w:r>
      <w:r w:rsidR="0047365A" w:rsidRPr="00902A81">
        <w:rPr>
          <w:rFonts w:ascii="Arial" w:hAnsi="Arial" w:cs="Arial"/>
          <w:bCs/>
          <w:sz w:val="24"/>
          <w:szCs w:val="24"/>
        </w:rPr>
        <w:t xml:space="preserve">; </w:t>
      </w:r>
      <w:r w:rsidR="00951CB8" w:rsidRPr="00902A81">
        <w:rPr>
          <w:rFonts w:ascii="Arial" w:hAnsi="Arial" w:cs="Arial"/>
          <w:bCs/>
          <w:sz w:val="24"/>
          <w:szCs w:val="24"/>
        </w:rPr>
        <w:t>«</w:t>
      </w:r>
      <w:r w:rsidRPr="00902A81">
        <w:rPr>
          <w:rFonts w:ascii="Arial" w:hAnsi="Arial" w:cs="Arial"/>
          <w:bCs/>
          <w:sz w:val="24"/>
          <w:szCs w:val="24"/>
        </w:rPr>
        <w:t>s</w:t>
      </w:r>
      <w:r w:rsidR="0047365A" w:rsidRPr="00902A81">
        <w:rPr>
          <w:rFonts w:ascii="Arial" w:hAnsi="Arial" w:cs="Arial"/>
          <w:bCs/>
          <w:sz w:val="24"/>
          <w:szCs w:val="24"/>
        </w:rPr>
        <w:t>ervicios de mantenimiento y reparación</w:t>
      </w:r>
      <w:r w:rsidR="000E04B2" w:rsidRPr="00902A81">
        <w:rPr>
          <w:rFonts w:ascii="Arial" w:hAnsi="Arial" w:cs="Arial"/>
          <w:bCs/>
          <w:sz w:val="24"/>
          <w:szCs w:val="24"/>
        </w:rPr>
        <w:t>»</w:t>
      </w:r>
      <w:r w:rsidR="0047365A" w:rsidRPr="00902A81">
        <w:rPr>
          <w:rFonts w:ascii="Arial" w:hAnsi="Arial" w:cs="Arial"/>
          <w:bCs/>
          <w:sz w:val="24"/>
          <w:szCs w:val="24"/>
        </w:rPr>
        <w:t xml:space="preserve"> y </w:t>
      </w:r>
      <w:r w:rsidR="00951CB8" w:rsidRPr="00902A81">
        <w:rPr>
          <w:rFonts w:ascii="Arial" w:hAnsi="Arial" w:cs="Arial"/>
          <w:bCs/>
          <w:sz w:val="24"/>
          <w:szCs w:val="24"/>
        </w:rPr>
        <w:t>«</w:t>
      </w:r>
      <w:r w:rsidRPr="00902A81">
        <w:rPr>
          <w:rFonts w:ascii="Arial" w:hAnsi="Arial" w:cs="Arial"/>
          <w:bCs/>
          <w:sz w:val="24"/>
          <w:szCs w:val="24"/>
        </w:rPr>
        <w:t>t</w:t>
      </w:r>
      <w:r w:rsidR="0047365A" w:rsidRPr="00902A81">
        <w:rPr>
          <w:rFonts w:ascii="Arial" w:hAnsi="Arial" w:cs="Arial"/>
          <w:bCs/>
          <w:sz w:val="24"/>
          <w:szCs w:val="24"/>
        </w:rPr>
        <w:t>ransportes</w:t>
      </w:r>
      <w:r w:rsidR="00951CB8" w:rsidRPr="00902A81">
        <w:rPr>
          <w:rFonts w:ascii="Arial" w:hAnsi="Arial" w:cs="Arial"/>
          <w:bCs/>
          <w:sz w:val="24"/>
          <w:szCs w:val="24"/>
        </w:rPr>
        <w:t>»</w:t>
      </w:r>
      <w:r w:rsidR="0047365A" w:rsidRPr="00902A81">
        <w:rPr>
          <w:rFonts w:ascii="Arial" w:hAnsi="Arial" w:cs="Arial"/>
          <w:bCs/>
          <w:sz w:val="24"/>
          <w:szCs w:val="24"/>
        </w:rPr>
        <w:t>. También se incluyen</w:t>
      </w:r>
      <w:r w:rsidRPr="00902A81">
        <w:rPr>
          <w:rFonts w:ascii="Arial" w:hAnsi="Arial" w:cs="Arial"/>
          <w:bCs/>
          <w:sz w:val="24"/>
          <w:szCs w:val="24"/>
        </w:rPr>
        <w:t xml:space="preserve"> </w:t>
      </w:r>
      <w:r w:rsidR="00951CB8" w:rsidRPr="00902A81">
        <w:rPr>
          <w:rFonts w:ascii="Arial" w:hAnsi="Arial" w:cs="Arial"/>
          <w:bCs/>
          <w:sz w:val="24"/>
          <w:szCs w:val="24"/>
        </w:rPr>
        <w:t>«</w:t>
      </w:r>
      <w:r w:rsidRPr="00902A81">
        <w:rPr>
          <w:rFonts w:ascii="Arial" w:hAnsi="Arial" w:cs="Arial"/>
          <w:bCs/>
          <w:sz w:val="24"/>
          <w:szCs w:val="24"/>
        </w:rPr>
        <w:t>c</w:t>
      </w:r>
      <w:r w:rsidR="0047365A" w:rsidRPr="00902A81">
        <w:rPr>
          <w:rFonts w:ascii="Arial" w:hAnsi="Arial" w:cs="Arial"/>
          <w:bCs/>
          <w:sz w:val="24"/>
          <w:szCs w:val="24"/>
        </w:rPr>
        <w:t>argos por el uso de la propiedad intelectual</w:t>
      </w:r>
      <w:r w:rsidR="00951CB8" w:rsidRPr="00902A81">
        <w:rPr>
          <w:rFonts w:ascii="Arial" w:hAnsi="Arial" w:cs="Arial"/>
          <w:bCs/>
          <w:sz w:val="24"/>
          <w:szCs w:val="24"/>
        </w:rPr>
        <w:t>»</w:t>
      </w:r>
      <w:r w:rsidR="0047365A" w:rsidRPr="00902A81">
        <w:rPr>
          <w:rFonts w:ascii="Arial" w:hAnsi="Arial" w:cs="Arial"/>
          <w:bCs/>
          <w:sz w:val="24"/>
          <w:szCs w:val="24"/>
        </w:rPr>
        <w:t>;</w:t>
      </w:r>
      <w:r w:rsidR="00E54967" w:rsidRPr="00902A81">
        <w:rPr>
          <w:rFonts w:ascii="Arial" w:hAnsi="Arial" w:cs="Arial"/>
          <w:bCs/>
          <w:sz w:val="24"/>
          <w:szCs w:val="24"/>
        </w:rPr>
        <w:t xml:space="preserve"> </w:t>
      </w:r>
      <w:r w:rsidR="00951CB8" w:rsidRPr="00902A81">
        <w:rPr>
          <w:rFonts w:ascii="Arial" w:hAnsi="Arial" w:cs="Arial"/>
          <w:bCs/>
          <w:sz w:val="24"/>
          <w:szCs w:val="24"/>
        </w:rPr>
        <w:t>«</w:t>
      </w:r>
      <w:r w:rsidRPr="00902A81">
        <w:rPr>
          <w:rFonts w:ascii="Arial" w:hAnsi="Arial" w:cs="Arial"/>
          <w:bCs/>
          <w:sz w:val="24"/>
          <w:szCs w:val="24"/>
        </w:rPr>
        <w:t>s</w:t>
      </w:r>
      <w:r w:rsidR="0047365A" w:rsidRPr="00902A81">
        <w:rPr>
          <w:rFonts w:ascii="Arial" w:hAnsi="Arial" w:cs="Arial"/>
          <w:bCs/>
          <w:sz w:val="24"/>
          <w:szCs w:val="24"/>
        </w:rPr>
        <w:t>ervicios de telecomunicaciones, informática e información</w:t>
      </w:r>
      <w:r w:rsidR="00951CB8" w:rsidRPr="00902A81">
        <w:rPr>
          <w:rFonts w:ascii="Arial" w:hAnsi="Arial" w:cs="Arial"/>
          <w:bCs/>
          <w:sz w:val="24"/>
          <w:szCs w:val="24"/>
        </w:rPr>
        <w:t>»</w:t>
      </w:r>
      <w:r w:rsidR="0047365A" w:rsidRPr="00902A81">
        <w:rPr>
          <w:rFonts w:ascii="Arial" w:hAnsi="Arial" w:cs="Arial"/>
          <w:bCs/>
          <w:sz w:val="24"/>
          <w:szCs w:val="24"/>
        </w:rPr>
        <w:t xml:space="preserve">; </w:t>
      </w:r>
      <w:r w:rsidR="00951CB8" w:rsidRPr="00902A81">
        <w:rPr>
          <w:rFonts w:ascii="Arial" w:hAnsi="Arial" w:cs="Arial"/>
          <w:bCs/>
          <w:sz w:val="24"/>
          <w:szCs w:val="24"/>
        </w:rPr>
        <w:t>«</w:t>
      </w:r>
      <w:r w:rsidRPr="00902A81">
        <w:rPr>
          <w:rFonts w:ascii="Arial" w:hAnsi="Arial" w:cs="Arial"/>
          <w:bCs/>
          <w:sz w:val="24"/>
          <w:szCs w:val="24"/>
        </w:rPr>
        <w:t>o</w:t>
      </w:r>
      <w:r w:rsidR="0047365A" w:rsidRPr="00902A81">
        <w:rPr>
          <w:rFonts w:ascii="Arial" w:hAnsi="Arial" w:cs="Arial"/>
          <w:bCs/>
          <w:sz w:val="24"/>
          <w:szCs w:val="24"/>
        </w:rPr>
        <w:t>tros servicios empresariales</w:t>
      </w:r>
      <w:r w:rsidR="00951CB8" w:rsidRPr="00902A81">
        <w:rPr>
          <w:rFonts w:ascii="Arial" w:hAnsi="Arial" w:cs="Arial"/>
          <w:bCs/>
          <w:sz w:val="24"/>
          <w:szCs w:val="24"/>
        </w:rPr>
        <w:t>»</w:t>
      </w:r>
      <w:r w:rsidR="00E54967" w:rsidRPr="00902A81">
        <w:rPr>
          <w:rFonts w:ascii="Arial" w:hAnsi="Arial" w:cs="Arial"/>
          <w:bCs/>
          <w:sz w:val="24"/>
          <w:szCs w:val="24"/>
        </w:rPr>
        <w:t xml:space="preserve"> </w:t>
      </w:r>
      <w:r w:rsidRPr="00902A81">
        <w:rPr>
          <w:rFonts w:ascii="Arial" w:hAnsi="Arial" w:cs="Arial"/>
          <w:bCs/>
          <w:sz w:val="24"/>
          <w:szCs w:val="24"/>
        </w:rPr>
        <w:t xml:space="preserve">y </w:t>
      </w:r>
      <w:r w:rsidR="00951CB8" w:rsidRPr="00902A81">
        <w:rPr>
          <w:rFonts w:ascii="Arial" w:hAnsi="Arial" w:cs="Arial"/>
          <w:bCs/>
          <w:sz w:val="24"/>
          <w:szCs w:val="24"/>
        </w:rPr>
        <w:t>«</w:t>
      </w:r>
      <w:r w:rsidRPr="00902A81">
        <w:rPr>
          <w:rFonts w:ascii="Arial" w:hAnsi="Arial" w:cs="Arial"/>
          <w:bCs/>
          <w:sz w:val="24"/>
          <w:szCs w:val="24"/>
        </w:rPr>
        <w:t>s</w:t>
      </w:r>
      <w:r w:rsidR="0047365A" w:rsidRPr="00902A81">
        <w:rPr>
          <w:rFonts w:ascii="Arial" w:hAnsi="Arial" w:cs="Arial"/>
          <w:bCs/>
          <w:sz w:val="24"/>
          <w:szCs w:val="24"/>
        </w:rPr>
        <w:t>ervicios personales, culturales y recreativos</w:t>
      </w:r>
      <w:r w:rsidR="00951CB8" w:rsidRPr="00902A81">
        <w:rPr>
          <w:rFonts w:ascii="Arial" w:hAnsi="Arial" w:cs="Arial"/>
          <w:bCs/>
          <w:sz w:val="24"/>
          <w:szCs w:val="24"/>
        </w:rPr>
        <w:t>»</w:t>
      </w:r>
      <w:r w:rsidR="0047365A" w:rsidRPr="00902A81">
        <w:rPr>
          <w:rFonts w:ascii="Arial" w:hAnsi="Arial" w:cs="Arial"/>
          <w:bCs/>
          <w:sz w:val="24"/>
          <w:szCs w:val="24"/>
        </w:rPr>
        <w:t>.</w:t>
      </w:r>
    </w:p>
    <w:p w14:paraId="0111D45A" w14:textId="37D9DC82" w:rsidR="004547B7" w:rsidRDefault="008B5150" w:rsidP="00351CEE">
      <w:pPr>
        <w:spacing w:afterLines="160" w:after="384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12830954"/>
      <w:r>
        <w:rPr>
          <w:rFonts w:ascii="Arial" w:hAnsi="Arial" w:cs="Arial"/>
          <w:bCs/>
          <w:sz w:val="24"/>
          <w:szCs w:val="24"/>
        </w:rPr>
        <w:t>La</w:t>
      </w:r>
      <w:bookmarkEnd w:id="2"/>
      <w:r w:rsidR="00D470E7" w:rsidRPr="00351CEE">
        <w:rPr>
          <w:rFonts w:ascii="Arial" w:hAnsi="Arial" w:cs="Arial"/>
          <w:bCs/>
          <w:sz w:val="24"/>
          <w:szCs w:val="24"/>
        </w:rPr>
        <w:t xml:space="preserve"> muestra de 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470E7" w:rsidRPr="00351CEE">
        <w:rPr>
          <w:rFonts w:ascii="Arial" w:hAnsi="Arial" w:cs="Arial"/>
          <w:bCs/>
          <w:sz w:val="24"/>
          <w:szCs w:val="24"/>
        </w:rPr>
        <w:t>609 empresas, calculad</w:t>
      </w:r>
      <w:r>
        <w:rPr>
          <w:rFonts w:ascii="Arial" w:hAnsi="Arial" w:cs="Arial"/>
          <w:bCs/>
          <w:sz w:val="24"/>
          <w:szCs w:val="24"/>
        </w:rPr>
        <w:t>a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 a partir de un diseño probabilístico y estratificado, permite obtener resultados sobre los flujos de</w:t>
      </w:r>
      <w:r w:rsidR="00342822">
        <w:rPr>
          <w:rFonts w:ascii="Arial" w:hAnsi="Arial" w:cs="Arial"/>
          <w:bCs/>
          <w:sz w:val="24"/>
          <w:szCs w:val="24"/>
        </w:rPr>
        <w:t xml:space="preserve"> comercio internacional de servicios </w:t>
      </w:r>
      <w:r w:rsidR="008F659B">
        <w:rPr>
          <w:rFonts w:ascii="Arial" w:hAnsi="Arial" w:cs="Arial"/>
          <w:bCs/>
          <w:sz w:val="24"/>
          <w:szCs w:val="24"/>
        </w:rPr>
        <w:t>(</w:t>
      </w:r>
      <w:r w:rsidR="00342822" w:rsidRPr="00342822">
        <w:rPr>
          <w:rFonts w:ascii="Arial" w:hAnsi="Arial" w:cs="Arial"/>
          <w:bCs/>
          <w:smallCaps/>
          <w:sz w:val="24"/>
          <w:szCs w:val="24"/>
        </w:rPr>
        <w:t>cis</w:t>
      </w:r>
      <w:r w:rsidR="008F659B">
        <w:rPr>
          <w:rFonts w:ascii="Arial" w:hAnsi="Arial" w:cs="Arial"/>
          <w:bCs/>
          <w:smallCaps/>
          <w:sz w:val="24"/>
          <w:szCs w:val="24"/>
        </w:rPr>
        <w:t>)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 por gran sector de actividad económica: </w:t>
      </w:r>
      <w:r w:rsidR="008F659B" w:rsidRPr="003455DE">
        <w:rPr>
          <w:rFonts w:ascii="Arial" w:hAnsi="Arial" w:cs="Arial"/>
          <w:bCs/>
          <w:sz w:val="24"/>
          <w:szCs w:val="24"/>
        </w:rPr>
        <w:t>«</w:t>
      </w:r>
      <w:r w:rsidR="00D470E7" w:rsidRPr="00351CEE">
        <w:rPr>
          <w:rFonts w:ascii="Arial" w:hAnsi="Arial" w:cs="Arial"/>
          <w:bCs/>
          <w:sz w:val="24"/>
          <w:szCs w:val="24"/>
        </w:rPr>
        <w:t>industria</w:t>
      </w:r>
      <w:bookmarkStart w:id="3" w:name="_Ref146268511"/>
      <w:r w:rsidR="008F659B" w:rsidRPr="003455DE">
        <w:rPr>
          <w:rFonts w:ascii="Arial" w:hAnsi="Arial" w:cs="Arial"/>
          <w:bCs/>
          <w:sz w:val="24"/>
          <w:szCs w:val="24"/>
        </w:rPr>
        <w:t>»</w:t>
      </w:r>
      <w:r w:rsidR="00D470E7" w:rsidRPr="00351CEE">
        <w:rPr>
          <w:rFonts w:ascii="Arial" w:hAnsi="Arial" w:cs="Arial"/>
          <w:bCs/>
          <w:sz w:val="24"/>
          <w:szCs w:val="24"/>
          <w:vertAlign w:val="superscript"/>
        </w:rPr>
        <w:footnoteReference w:id="2"/>
      </w:r>
      <w:bookmarkEnd w:id="3"/>
      <w:r w:rsidR="008F659B">
        <w:rPr>
          <w:rFonts w:ascii="Arial" w:hAnsi="Arial" w:cs="Arial"/>
          <w:bCs/>
          <w:sz w:val="24"/>
          <w:szCs w:val="24"/>
        </w:rPr>
        <w:t>,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 </w:t>
      </w:r>
      <w:r w:rsidR="008F659B" w:rsidRPr="003455DE">
        <w:rPr>
          <w:rFonts w:ascii="Arial" w:hAnsi="Arial" w:cs="Arial"/>
          <w:bCs/>
          <w:sz w:val="24"/>
          <w:szCs w:val="24"/>
        </w:rPr>
        <w:t>«</w:t>
      </w:r>
      <w:r w:rsidR="00D470E7" w:rsidRPr="00351CEE">
        <w:rPr>
          <w:rFonts w:ascii="Arial" w:hAnsi="Arial" w:cs="Arial"/>
          <w:bCs/>
          <w:sz w:val="24"/>
          <w:szCs w:val="24"/>
        </w:rPr>
        <w:t>comercio</w:t>
      </w:r>
      <w:r w:rsidR="008F659B" w:rsidRPr="003455DE">
        <w:rPr>
          <w:rFonts w:ascii="Arial" w:hAnsi="Arial" w:cs="Arial"/>
          <w:bCs/>
          <w:sz w:val="24"/>
          <w:szCs w:val="24"/>
        </w:rPr>
        <w:t>»</w:t>
      </w:r>
      <w:r w:rsidR="00D470E7" w:rsidRPr="00351CEE">
        <w:rPr>
          <w:rStyle w:val="Refdenotaalpie"/>
          <w:rFonts w:ascii="Arial" w:hAnsi="Arial" w:cs="Arial"/>
          <w:bCs/>
          <w:sz w:val="24"/>
          <w:szCs w:val="24"/>
        </w:rPr>
        <w:footnoteReference w:id="3"/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 y </w:t>
      </w:r>
      <w:r w:rsidR="008F659B" w:rsidRPr="003455DE">
        <w:rPr>
          <w:rFonts w:ascii="Arial" w:hAnsi="Arial" w:cs="Arial"/>
          <w:bCs/>
          <w:sz w:val="24"/>
          <w:szCs w:val="24"/>
        </w:rPr>
        <w:t>«</w:t>
      </w:r>
      <w:r w:rsidR="00D470E7" w:rsidRPr="00351CEE">
        <w:rPr>
          <w:rFonts w:ascii="Arial" w:hAnsi="Arial" w:cs="Arial"/>
          <w:bCs/>
          <w:sz w:val="24"/>
          <w:szCs w:val="24"/>
        </w:rPr>
        <w:t>servicios</w:t>
      </w:r>
      <w:r w:rsidR="008F659B" w:rsidRPr="003455DE">
        <w:rPr>
          <w:rFonts w:ascii="Arial" w:hAnsi="Arial" w:cs="Arial"/>
          <w:bCs/>
          <w:sz w:val="24"/>
          <w:szCs w:val="24"/>
        </w:rPr>
        <w:t>»</w:t>
      </w:r>
      <w:r w:rsidR="00D828F6">
        <w:rPr>
          <w:rFonts w:ascii="Arial" w:hAnsi="Arial" w:cs="Arial"/>
          <w:bCs/>
          <w:sz w:val="24"/>
          <w:szCs w:val="24"/>
        </w:rPr>
        <w:t xml:space="preserve">. Por </w:t>
      </w:r>
      <w:r w:rsidR="00D470E7" w:rsidRPr="00351CEE">
        <w:rPr>
          <w:rFonts w:ascii="Arial" w:hAnsi="Arial" w:cs="Arial"/>
          <w:bCs/>
          <w:sz w:val="24"/>
          <w:szCs w:val="24"/>
        </w:rPr>
        <w:t>tamaño de empresa</w:t>
      </w:r>
      <w:r w:rsidR="00D470E7" w:rsidRPr="008F659B">
        <w:rPr>
          <w:rStyle w:val="Refdenotaalpie"/>
          <w:rFonts w:ascii="Arial" w:hAnsi="Arial" w:cs="Arial"/>
          <w:bCs/>
          <w:sz w:val="24"/>
          <w:szCs w:val="24"/>
        </w:rPr>
        <w:footnoteReference w:id="4"/>
      </w:r>
      <w:r w:rsidR="008F659B" w:rsidRPr="008F659B">
        <w:rPr>
          <w:rFonts w:ascii="Arial" w:hAnsi="Arial" w:cs="Arial"/>
          <w:bCs/>
          <w:sz w:val="24"/>
          <w:szCs w:val="24"/>
        </w:rPr>
        <w:t>, la división es la siguiente</w:t>
      </w:r>
      <w:r w:rsidR="008F659B" w:rsidRPr="003455DE">
        <w:rPr>
          <w:rFonts w:ascii="Arial" w:hAnsi="Arial" w:cs="Arial"/>
          <w:bCs/>
          <w:sz w:val="24"/>
          <w:szCs w:val="24"/>
        </w:rPr>
        <w:t>: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 </w:t>
      </w:r>
      <w:r w:rsidR="008F659B" w:rsidRPr="003455DE">
        <w:rPr>
          <w:rFonts w:ascii="Arial" w:hAnsi="Arial" w:cs="Arial"/>
          <w:bCs/>
          <w:sz w:val="24"/>
          <w:szCs w:val="24"/>
        </w:rPr>
        <w:t>«</w:t>
      </w:r>
      <w:r w:rsidR="00D470E7" w:rsidRPr="00351CEE">
        <w:rPr>
          <w:rFonts w:ascii="Arial" w:hAnsi="Arial" w:cs="Arial"/>
          <w:bCs/>
          <w:sz w:val="24"/>
          <w:szCs w:val="24"/>
        </w:rPr>
        <w:t>grande</w:t>
      </w:r>
      <w:r w:rsidR="008F659B" w:rsidRPr="003455DE">
        <w:rPr>
          <w:rFonts w:ascii="Arial" w:hAnsi="Arial" w:cs="Arial"/>
          <w:bCs/>
          <w:sz w:val="24"/>
          <w:szCs w:val="24"/>
        </w:rPr>
        <w:t>»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, </w:t>
      </w:r>
      <w:r w:rsidR="008F659B" w:rsidRPr="003455DE">
        <w:rPr>
          <w:rFonts w:ascii="Arial" w:hAnsi="Arial" w:cs="Arial"/>
          <w:bCs/>
          <w:sz w:val="24"/>
          <w:szCs w:val="24"/>
        </w:rPr>
        <w:t>«</w:t>
      </w:r>
      <w:r w:rsidR="00D470E7" w:rsidRPr="00351CEE">
        <w:rPr>
          <w:rFonts w:ascii="Arial" w:hAnsi="Arial" w:cs="Arial"/>
          <w:bCs/>
          <w:sz w:val="24"/>
          <w:szCs w:val="24"/>
        </w:rPr>
        <w:t>mediana</w:t>
      </w:r>
      <w:r w:rsidR="008F659B" w:rsidRPr="003455DE">
        <w:rPr>
          <w:rFonts w:ascii="Arial" w:hAnsi="Arial" w:cs="Arial"/>
          <w:bCs/>
          <w:sz w:val="24"/>
          <w:szCs w:val="24"/>
        </w:rPr>
        <w:t>»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, </w:t>
      </w:r>
      <w:r w:rsidR="008F659B" w:rsidRPr="003455DE">
        <w:rPr>
          <w:rFonts w:ascii="Arial" w:hAnsi="Arial" w:cs="Arial"/>
          <w:bCs/>
          <w:sz w:val="24"/>
          <w:szCs w:val="24"/>
        </w:rPr>
        <w:t>«</w:t>
      </w:r>
      <w:r w:rsidR="00D470E7" w:rsidRPr="00351CEE">
        <w:rPr>
          <w:rFonts w:ascii="Arial" w:hAnsi="Arial" w:cs="Arial"/>
          <w:bCs/>
          <w:sz w:val="24"/>
          <w:szCs w:val="24"/>
        </w:rPr>
        <w:t>pequeña</w:t>
      </w:r>
      <w:r w:rsidR="008F659B" w:rsidRPr="003455DE">
        <w:rPr>
          <w:rFonts w:ascii="Arial" w:hAnsi="Arial" w:cs="Arial"/>
          <w:bCs/>
          <w:sz w:val="24"/>
          <w:szCs w:val="24"/>
        </w:rPr>
        <w:t>»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 y </w:t>
      </w:r>
      <w:r w:rsidR="008F659B" w:rsidRPr="003455DE">
        <w:rPr>
          <w:rFonts w:ascii="Arial" w:hAnsi="Arial" w:cs="Arial"/>
          <w:bCs/>
          <w:sz w:val="24"/>
          <w:szCs w:val="24"/>
        </w:rPr>
        <w:t>«</w:t>
      </w:r>
      <w:r w:rsidR="00D470E7" w:rsidRPr="00351CEE">
        <w:rPr>
          <w:rFonts w:ascii="Arial" w:hAnsi="Arial" w:cs="Arial"/>
          <w:bCs/>
          <w:sz w:val="24"/>
          <w:szCs w:val="24"/>
        </w:rPr>
        <w:t>micro</w:t>
      </w:r>
      <w:r w:rsidR="008F659B" w:rsidRPr="003455DE">
        <w:rPr>
          <w:rFonts w:ascii="Arial" w:hAnsi="Arial" w:cs="Arial"/>
          <w:bCs/>
          <w:sz w:val="24"/>
          <w:szCs w:val="24"/>
        </w:rPr>
        <w:t>»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; por socio comercial: países con los que se realizan las transacciones de servicios y por modo de suministro: forma o medio a través del cual se suministra el servicio. </w:t>
      </w:r>
      <w:r w:rsidR="00D470E7" w:rsidRPr="00351CEE">
        <w:rPr>
          <w:rFonts w:ascii="Arial" w:hAnsi="Arial" w:cs="Arial"/>
          <w:sz w:val="24"/>
          <w:szCs w:val="24"/>
        </w:rPr>
        <w:t>Las unidades económicas se seleccionaron a partir de un marco de</w:t>
      </w:r>
      <w:r w:rsidR="005741F2">
        <w:rPr>
          <w:rFonts w:ascii="Arial" w:hAnsi="Arial" w:cs="Arial"/>
          <w:sz w:val="24"/>
          <w:szCs w:val="24"/>
        </w:rPr>
        <w:t xml:space="preserve"> </w:t>
      </w:r>
      <w:r w:rsidR="004547B7">
        <w:rPr>
          <w:rFonts w:ascii="Arial" w:hAnsi="Arial" w:cs="Arial"/>
          <w:sz w:val="24"/>
          <w:szCs w:val="24"/>
        </w:rPr>
        <w:t>9 796 empresas que cumplen las características de la población objeto de estudio.</w:t>
      </w:r>
    </w:p>
    <w:p w14:paraId="12AA8BA5" w14:textId="669A0662" w:rsidR="00274A2D" w:rsidRPr="00351CEE" w:rsidRDefault="00274A2D" w:rsidP="00351CEE">
      <w:pPr>
        <w:spacing w:afterLines="160" w:after="384" w:line="240" w:lineRule="auto"/>
        <w:jc w:val="both"/>
        <w:rPr>
          <w:rFonts w:ascii="Arial Negrita" w:hAnsi="Arial Negrita" w:cs="Arial"/>
          <w:b/>
          <w:smallCaps/>
          <w:sz w:val="24"/>
          <w:szCs w:val="24"/>
        </w:rPr>
      </w:pPr>
      <w:r w:rsidRPr="00351CEE">
        <w:rPr>
          <w:rFonts w:ascii="Arial" w:hAnsi="Arial" w:cs="Arial"/>
          <w:bCs/>
          <w:sz w:val="24"/>
          <w:szCs w:val="24"/>
        </w:rPr>
        <w:t xml:space="preserve">La </w:t>
      </w:r>
      <w:r w:rsidR="00342822" w:rsidRPr="00342822">
        <w:rPr>
          <w:rFonts w:ascii="Arial" w:hAnsi="Arial" w:cs="Arial"/>
          <w:bCs/>
          <w:smallCaps/>
          <w:sz w:val="24"/>
          <w:szCs w:val="24"/>
        </w:rPr>
        <w:t>ecis</w:t>
      </w:r>
      <w:r w:rsidRPr="00351CEE">
        <w:rPr>
          <w:rFonts w:ascii="Arial" w:hAnsi="Arial" w:cs="Arial"/>
          <w:bCs/>
          <w:sz w:val="24"/>
          <w:szCs w:val="24"/>
        </w:rPr>
        <w:t xml:space="preserve"> 2022 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complementa y fortalece la oferta de información del </w:t>
      </w:r>
      <w:r w:rsidR="00342822" w:rsidRPr="00342822">
        <w:rPr>
          <w:rFonts w:ascii="Arial" w:hAnsi="Arial" w:cs="Arial"/>
          <w:bCs/>
          <w:smallCaps/>
          <w:sz w:val="24"/>
          <w:szCs w:val="24"/>
        </w:rPr>
        <w:t>inegi</w:t>
      </w:r>
      <w:r w:rsidR="00D470E7" w:rsidRPr="00351CEE">
        <w:rPr>
          <w:rFonts w:ascii="Arial" w:hAnsi="Arial" w:cs="Arial"/>
          <w:bCs/>
          <w:sz w:val="24"/>
          <w:szCs w:val="24"/>
        </w:rPr>
        <w:t xml:space="preserve"> mediante la compilación, generación, procesamiento y publicación de estadísticas referentes al comercio internacional de servicios en México.</w:t>
      </w:r>
    </w:p>
    <w:p w14:paraId="78787BE8" w14:textId="556B5BB8" w:rsidR="00405EB5" w:rsidRPr="00351CEE" w:rsidRDefault="001911DC" w:rsidP="00351CEE">
      <w:pPr>
        <w:autoSpaceDE w:val="0"/>
        <w:autoSpaceDN w:val="0"/>
        <w:adjustRightInd w:val="0"/>
        <w:spacing w:after="0" w:line="240" w:lineRule="auto"/>
        <w:ind w:right="-518"/>
        <w:outlineLvl w:val="0"/>
        <w:rPr>
          <w:rFonts w:ascii="Arial Negrita" w:hAnsi="Arial Negrita" w:cs="Arial"/>
          <w:b/>
          <w:smallCaps/>
          <w:sz w:val="24"/>
          <w:szCs w:val="24"/>
        </w:rPr>
      </w:pPr>
      <w:r w:rsidRPr="00351CEE">
        <w:rPr>
          <w:rFonts w:ascii="Arial Negrita" w:hAnsi="Arial Negrita" w:cs="Arial"/>
          <w:b/>
          <w:smallCaps/>
          <w:sz w:val="24"/>
          <w:szCs w:val="24"/>
        </w:rPr>
        <w:t>Principales resultados</w:t>
      </w:r>
    </w:p>
    <w:p w14:paraId="75AD199A" w14:textId="77777777" w:rsidR="00031D78" w:rsidRPr="00F97E35" w:rsidRDefault="00031D78" w:rsidP="004407E2">
      <w:pPr>
        <w:autoSpaceDE w:val="0"/>
        <w:autoSpaceDN w:val="0"/>
        <w:adjustRightInd w:val="0"/>
        <w:spacing w:after="0" w:line="276" w:lineRule="auto"/>
        <w:ind w:right="-518"/>
        <w:outlineLvl w:val="0"/>
        <w:rPr>
          <w:rFonts w:ascii="Arial Negrita" w:hAnsi="Arial Negrita" w:cs="Arial"/>
          <w:b/>
          <w:smallCaps/>
          <w:color w:val="002060"/>
          <w:sz w:val="24"/>
          <w:szCs w:val="24"/>
        </w:rPr>
      </w:pPr>
    </w:p>
    <w:p w14:paraId="0459249F" w14:textId="1FBA308F" w:rsidR="00300A11" w:rsidRPr="00351CEE" w:rsidRDefault="00843C00" w:rsidP="00351CEE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CEE">
        <w:rPr>
          <w:rFonts w:ascii="Arial" w:hAnsi="Arial" w:cs="Arial"/>
          <w:bCs/>
          <w:sz w:val="24"/>
          <w:szCs w:val="24"/>
        </w:rPr>
        <w:t>En</w:t>
      </w:r>
      <w:r w:rsidR="007C1BD7" w:rsidRPr="00351CEE">
        <w:rPr>
          <w:rFonts w:ascii="Arial" w:hAnsi="Arial" w:cs="Arial"/>
          <w:bCs/>
          <w:sz w:val="24"/>
          <w:szCs w:val="24"/>
        </w:rPr>
        <w:t xml:space="preserve"> 2</w:t>
      </w:r>
      <w:r w:rsidR="00AB1262" w:rsidRPr="00351CEE">
        <w:rPr>
          <w:rFonts w:ascii="Arial" w:hAnsi="Arial" w:cs="Arial"/>
          <w:bCs/>
          <w:sz w:val="24"/>
          <w:szCs w:val="24"/>
        </w:rPr>
        <w:t>021,</w:t>
      </w:r>
      <w:r w:rsidR="007C1BD7" w:rsidRPr="00351CEE">
        <w:rPr>
          <w:rFonts w:ascii="Arial" w:hAnsi="Arial" w:cs="Arial"/>
          <w:bCs/>
          <w:sz w:val="24"/>
          <w:szCs w:val="24"/>
        </w:rPr>
        <w:t xml:space="preserve"> </w:t>
      </w:r>
      <w:r w:rsidR="00A225EB" w:rsidRPr="00351CEE">
        <w:rPr>
          <w:rFonts w:ascii="Arial" w:hAnsi="Arial" w:cs="Arial"/>
          <w:bCs/>
          <w:sz w:val="24"/>
          <w:szCs w:val="24"/>
        </w:rPr>
        <w:t>se identificaron 5</w:t>
      </w:r>
      <w:r w:rsidR="00342822">
        <w:rPr>
          <w:rFonts w:ascii="Arial" w:hAnsi="Arial" w:cs="Arial"/>
          <w:bCs/>
          <w:sz w:val="24"/>
          <w:szCs w:val="24"/>
        </w:rPr>
        <w:t xml:space="preserve"> </w:t>
      </w:r>
      <w:r w:rsidR="00A225EB" w:rsidRPr="00351CEE">
        <w:rPr>
          <w:rFonts w:ascii="Arial" w:hAnsi="Arial" w:cs="Arial"/>
          <w:bCs/>
          <w:sz w:val="24"/>
          <w:szCs w:val="24"/>
        </w:rPr>
        <w:t xml:space="preserve">221 empresas que realizaron </w:t>
      </w:r>
      <w:r w:rsidR="00342822" w:rsidRPr="00342822">
        <w:rPr>
          <w:rFonts w:ascii="Arial" w:hAnsi="Arial" w:cs="Arial"/>
          <w:bCs/>
          <w:smallCaps/>
          <w:sz w:val="24"/>
          <w:szCs w:val="24"/>
        </w:rPr>
        <w:t>cis</w:t>
      </w:r>
      <w:r w:rsidR="00A225EB" w:rsidRPr="00351CEE">
        <w:rPr>
          <w:rFonts w:ascii="Arial" w:hAnsi="Arial" w:cs="Arial"/>
          <w:bCs/>
          <w:sz w:val="24"/>
          <w:szCs w:val="24"/>
        </w:rPr>
        <w:t xml:space="preserve"> en al menos un servicio</w:t>
      </w:r>
      <w:r w:rsidR="008A503D">
        <w:rPr>
          <w:rFonts w:ascii="Arial" w:hAnsi="Arial" w:cs="Arial"/>
          <w:bCs/>
          <w:sz w:val="24"/>
          <w:szCs w:val="24"/>
        </w:rPr>
        <w:t xml:space="preserve">. Esto </w:t>
      </w:r>
      <w:r w:rsidR="00A225EB" w:rsidRPr="00351CEE">
        <w:rPr>
          <w:rFonts w:ascii="Arial" w:hAnsi="Arial" w:cs="Arial"/>
          <w:bCs/>
          <w:sz w:val="24"/>
          <w:szCs w:val="24"/>
        </w:rPr>
        <w:t>represent</w:t>
      </w:r>
      <w:r w:rsidRPr="00351CEE">
        <w:rPr>
          <w:rFonts w:ascii="Arial" w:hAnsi="Arial" w:cs="Arial"/>
          <w:bCs/>
          <w:sz w:val="24"/>
          <w:szCs w:val="24"/>
        </w:rPr>
        <w:t>ó</w:t>
      </w:r>
      <w:r w:rsidR="00A6661A" w:rsidRPr="00351CEE">
        <w:rPr>
          <w:rFonts w:ascii="Arial" w:hAnsi="Arial" w:cs="Arial"/>
          <w:bCs/>
          <w:sz w:val="24"/>
          <w:szCs w:val="24"/>
        </w:rPr>
        <w:t xml:space="preserve"> 5</w:t>
      </w:r>
      <w:r w:rsidR="00AB1262" w:rsidRPr="00351CEE">
        <w:rPr>
          <w:rFonts w:ascii="Arial" w:hAnsi="Arial" w:cs="Arial"/>
          <w:bCs/>
          <w:sz w:val="24"/>
          <w:szCs w:val="24"/>
        </w:rPr>
        <w:t>3.3</w:t>
      </w:r>
      <w:r w:rsidR="00741D70" w:rsidRPr="00351CEE">
        <w:rPr>
          <w:rFonts w:ascii="Arial" w:hAnsi="Arial" w:cs="Arial"/>
          <w:bCs/>
          <w:sz w:val="24"/>
          <w:szCs w:val="24"/>
        </w:rPr>
        <w:t xml:space="preserve"> </w:t>
      </w:r>
      <w:r w:rsidR="00A6661A" w:rsidRPr="00351CEE">
        <w:rPr>
          <w:rFonts w:ascii="Arial" w:hAnsi="Arial" w:cs="Arial"/>
          <w:bCs/>
          <w:sz w:val="24"/>
          <w:szCs w:val="24"/>
        </w:rPr>
        <w:t>%</w:t>
      </w:r>
      <w:r w:rsidR="00A225EB" w:rsidRPr="00351CEE">
        <w:rPr>
          <w:rFonts w:ascii="Arial" w:hAnsi="Arial" w:cs="Arial"/>
          <w:bCs/>
          <w:sz w:val="24"/>
          <w:szCs w:val="24"/>
        </w:rPr>
        <w:t xml:space="preserve"> del total de empresas a nivel nacional</w:t>
      </w:r>
      <w:r w:rsidR="00342822">
        <w:rPr>
          <w:rFonts w:ascii="Arial" w:hAnsi="Arial" w:cs="Arial"/>
          <w:bCs/>
          <w:sz w:val="24"/>
          <w:szCs w:val="24"/>
        </w:rPr>
        <w:t xml:space="preserve"> y</w:t>
      </w:r>
      <w:r w:rsidR="00A225EB" w:rsidRPr="00351CEE">
        <w:rPr>
          <w:rFonts w:ascii="Arial" w:hAnsi="Arial" w:cs="Arial"/>
          <w:bCs/>
          <w:sz w:val="24"/>
          <w:szCs w:val="24"/>
        </w:rPr>
        <w:t xml:space="preserve"> </w:t>
      </w:r>
      <w:r w:rsidR="00D91683" w:rsidRPr="00351CEE">
        <w:rPr>
          <w:rFonts w:ascii="Arial" w:hAnsi="Arial" w:cs="Arial"/>
          <w:bCs/>
          <w:sz w:val="24"/>
          <w:szCs w:val="24"/>
        </w:rPr>
        <w:t xml:space="preserve">1.5 </w:t>
      </w:r>
      <w:r w:rsidR="00342852" w:rsidRPr="00351CEE">
        <w:rPr>
          <w:rFonts w:ascii="Arial" w:hAnsi="Arial" w:cs="Arial"/>
          <w:bCs/>
          <w:sz w:val="24"/>
          <w:szCs w:val="24"/>
        </w:rPr>
        <w:t>puntos porcentuales</w:t>
      </w:r>
      <w:r w:rsidR="00D91683" w:rsidRPr="00351CEE">
        <w:rPr>
          <w:rFonts w:ascii="Arial" w:hAnsi="Arial" w:cs="Arial"/>
          <w:bCs/>
          <w:sz w:val="24"/>
          <w:szCs w:val="24"/>
        </w:rPr>
        <w:t xml:space="preserve"> de empresas más que las registradas en 2020</w:t>
      </w:r>
      <w:r w:rsidR="00342822">
        <w:rPr>
          <w:rFonts w:ascii="Arial" w:hAnsi="Arial" w:cs="Arial"/>
          <w:bCs/>
          <w:sz w:val="24"/>
          <w:szCs w:val="24"/>
        </w:rPr>
        <w:t>, como se puede ver en la gráfica 1.</w:t>
      </w:r>
    </w:p>
    <w:p w14:paraId="261D6860" w14:textId="77777777" w:rsidR="00351CEE" w:rsidRDefault="00351CEE">
      <w:pPr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Cs/>
          <w:color w:val="404040" w:themeColor="text1" w:themeTint="BF"/>
          <w:sz w:val="20"/>
          <w:szCs w:val="20"/>
        </w:rPr>
        <w:br w:type="page"/>
      </w:r>
    </w:p>
    <w:p w14:paraId="387D1BBA" w14:textId="77777777" w:rsidR="004941D2" w:rsidRDefault="004941D2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</w:p>
    <w:p w14:paraId="45EBA8AA" w14:textId="0FAE9B00" w:rsidR="009D5334" w:rsidRPr="00351CEE" w:rsidRDefault="00A518D5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4"/>
          <w:szCs w:val="24"/>
        </w:rPr>
      </w:pPr>
      <w:r w:rsidRPr="00351CEE">
        <w:rPr>
          <w:rFonts w:ascii="Arial" w:hAnsi="Arial" w:cs="Arial"/>
          <w:bCs/>
          <w:sz w:val="20"/>
          <w:szCs w:val="20"/>
        </w:rPr>
        <w:t xml:space="preserve">Gráfica </w:t>
      </w:r>
      <w:r w:rsidR="00972151" w:rsidRPr="00351CEE">
        <w:rPr>
          <w:rFonts w:ascii="Arial" w:hAnsi="Arial" w:cs="Arial"/>
          <w:bCs/>
          <w:sz w:val="20"/>
          <w:szCs w:val="20"/>
        </w:rPr>
        <w:t>1</w:t>
      </w:r>
    </w:p>
    <w:p w14:paraId="5A82F47F" w14:textId="1705C4F0" w:rsidR="00A518D5" w:rsidRPr="00351CEE" w:rsidRDefault="0008691F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E</w:t>
      </w:r>
      <w:r w:rsidR="00A518D5" w:rsidRPr="00351CEE">
        <w:rPr>
          <w:rFonts w:ascii="Arial" w:hAnsi="Arial" w:cs="Arial"/>
          <w:b/>
          <w:bCs/>
          <w:smallCaps/>
        </w:rPr>
        <w:t>mpresas que realizaron comercio internacional de servicios</w:t>
      </w:r>
      <w:r w:rsidR="00CE0CE3" w:rsidRPr="00351CEE">
        <w:rPr>
          <w:rFonts w:ascii="Arial" w:hAnsi="Arial" w:cs="Arial"/>
          <w:b/>
          <w:bCs/>
          <w:smallCaps/>
        </w:rPr>
        <w:t xml:space="preserve"> en</w:t>
      </w:r>
      <w:r w:rsidR="00A518D5" w:rsidRPr="00351CEE">
        <w:rPr>
          <w:rFonts w:ascii="Arial" w:hAnsi="Arial" w:cs="Arial"/>
          <w:b/>
          <w:bCs/>
          <w:smallCaps/>
        </w:rPr>
        <w:t xml:space="preserve"> 20</w:t>
      </w:r>
      <w:r w:rsidR="00AB1262" w:rsidRPr="00351CEE">
        <w:rPr>
          <w:rFonts w:ascii="Arial" w:hAnsi="Arial" w:cs="Arial"/>
          <w:b/>
          <w:bCs/>
          <w:smallCaps/>
        </w:rPr>
        <w:t>20</w:t>
      </w:r>
      <w:r w:rsidR="00A518D5" w:rsidRPr="00351CEE">
        <w:rPr>
          <w:rFonts w:ascii="Arial" w:hAnsi="Arial" w:cs="Arial"/>
          <w:b/>
          <w:bCs/>
          <w:smallCaps/>
        </w:rPr>
        <w:t xml:space="preserve"> y 202</w:t>
      </w:r>
      <w:r w:rsidR="00AB1262" w:rsidRPr="00351CEE">
        <w:rPr>
          <w:rFonts w:ascii="Arial" w:hAnsi="Arial" w:cs="Arial"/>
          <w:b/>
          <w:bCs/>
          <w:smallCaps/>
        </w:rPr>
        <w:t>1</w:t>
      </w:r>
    </w:p>
    <w:p w14:paraId="3115CA5B" w14:textId="5A9EAF72" w:rsidR="007D15B7" w:rsidRPr="00351CEE" w:rsidRDefault="007D15B7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351CEE">
        <w:rPr>
          <w:rFonts w:ascii="Arial" w:hAnsi="Arial" w:cs="Arial"/>
          <w:sz w:val="18"/>
          <w:szCs w:val="24"/>
        </w:rPr>
        <w:t>(</w:t>
      </w:r>
      <w:r w:rsidR="00342822">
        <w:rPr>
          <w:rFonts w:ascii="Arial" w:hAnsi="Arial" w:cs="Arial"/>
          <w:sz w:val="18"/>
          <w:szCs w:val="24"/>
        </w:rPr>
        <w:t>a</w:t>
      </w:r>
      <w:r w:rsidRPr="00351CEE">
        <w:rPr>
          <w:rFonts w:ascii="Arial" w:hAnsi="Arial" w:cs="Arial"/>
          <w:sz w:val="18"/>
          <w:szCs w:val="24"/>
        </w:rPr>
        <w:t>bsoluto y porcentaje)</w:t>
      </w:r>
    </w:p>
    <w:p w14:paraId="67558570" w14:textId="1615E904" w:rsidR="008C7FA9" w:rsidRDefault="000C04EA" w:rsidP="002A0561">
      <w:pPr>
        <w:spacing w:after="120"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572DB1">
        <w:rPr>
          <w:rFonts w:ascii="Arial" w:hAnsi="Arial" w:cs="Arial"/>
          <w:noProof/>
          <w:color w:val="404040" w:themeColor="text1" w:themeTint="BF"/>
          <w:sz w:val="24"/>
          <w:szCs w:val="24"/>
        </w:rPr>
        <w:drawing>
          <wp:inline distT="0" distB="0" distL="0" distR="0" wp14:anchorId="734EFCF1" wp14:editId="5C7F81D3">
            <wp:extent cx="4525313" cy="2510790"/>
            <wp:effectExtent l="0" t="0" r="889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8533"/>
                    <a:stretch/>
                  </pic:blipFill>
                  <pic:spPr bwMode="auto">
                    <a:xfrm>
                      <a:off x="0" y="0"/>
                      <a:ext cx="4534893" cy="251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ADCAC" w14:textId="77777777" w:rsidR="00342822" w:rsidRDefault="00342822" w:rsidP="00902A81">
      <w:pPr>
        <w:spacing w:before="120" w:after="0" w:line="240" w:lineRule="auto"/>
        <w:ind w:firstLine="1418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7401ED">
        <w:rPr>
          <w:rFonts w:ascii="Arial" w:hAnsi="Arial" w:cs="Arial"/>
          <w:bCs/>
          <w:color w:val="000000" w:themeColor="text1"/>
          <w:sz w:val="16"/>
          <w:szCs w:val="16"/>
        </w:rPr>
        <w:t xml:space="preserve">Nota: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  </w:t>
      </w:r>
      <w:r w:rsidRPr="007401ED">
        <w:rPr>
          <w:rFonts w:ascii="Arial" w:hAnsi="Arial" w:cs="Arial"/>
          <w:bCs/>
          <w:color w:val="000000" w:themeColor="text1"/>
          <w:sz w:val="16"/>
          <w:szCs w:val="16"/>
        </w:rPr>
        <w:t>Porcentajes obtenidos respecto del total de empresas.</w:t>
      </w:r>
    </w:p>
    <w:p w14:paraId="6E00941D" w14:textId="7F9B7F65" w:rsidR="00342822" w:rsidRPr="007401ED" w:rsidRDefault="00342822" w:rsidP="00902A81">
      <w:pPr>
        <w:spacing w:after="0" w:line="240" w:lineRule="auto"/>
        <w:ind w:firstLine="1418"/>
        <w:jc w:val="both"/>
        <w:rPr>
          <w:rFonts w:ascii="Arial" w:hAnsi="Arial" w:cs="Arial"/>
          <w:color w:val="000000" w:themeColor="text1"/>
          <w:sz w:val="10"/>
          <w:szCs w:val="10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08691F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0915C20C" w14:textId="77777777" w:rsidR="00342822" w:rsidRPr="00351CEE" w:rsidRDefault="00342822" w:rsidP="00274A2D">
      <w:pPr>
        <w:spacing w:line="276" w:lineRule="auto"/>
        <w:rPr>
          <w:rFonts w:ascii="Arial" w:hAnsi="Arial" w:cs="Arial"/>
          <w:sz w:val="10"/>
          <w:szCs w:val="10"/>
        </w:rPr>
      </w:pPr>
    </w:p>
    <w:p w14:paraId="138085FA" w14:textId="36CE494D" w:rsidR="008F5411" w:rsidRPr="00351CEE" w:rsidRDefault="00342822" w:rsidP="00D73F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</w:t>
      </w:r>
      <w:r w:rsidR="003C6D2E" w:rsidRPr="00351CEE">
        <w:rPr>
          <w:rFonts w:ascii="Arial" w:hAnsi="Arial" w:cs="Arial"/>
          <w:sz w:val="24"/>
          <w:szCs w:val="24"/>
        </w:rPr>
        <w:t>onsidera</w:t>
      </w:r>
      <w:r>
        <w:rPr>
          <w:rFonts w:ascii="Arial" w:hAnsi="Arial" w:cs="Arial"/>
          <w:sz w:val="24"/>
          <w:szCs w:val="24"/>
        </w:rPr>
        <w:t>r</w:t>
      </w:r>
      <w:r w:rsidR="003C6D2E" w:rsidRPr="00351CEE">
        <w:rPr>
          <w:rFonts w:ascii="Arial" w:hAnsi="Arial" w:cs="Arial"/>
          <w:sz w:val="24"/>
          <w:szCs w:val="24"/>
        </w:rPr>
        <w:t xml:space="preserve"> </w:t>
      </w:r>
      <w:r w:rsidR="00FC18C2" w:rsidRPr="00351CEE">
        <w:rPr>
          <w:rFonts w:ascii="Arial" w:hAnsi="Arial" w:cs="Arial"/>
          <w:sz w:val="24"/>
          <w:szCs w:val="24"/>
        </w:rPr>
        <w:t>a las</w:t>
      </w:r>
      <w:r w:rsidR="003C6D2E" w:rsidRPr="00351CEE">
        <w:rPr>
          <w:rFonts w:ascii="Arial" w:hAnsi="Arial" w:cs="Arial"/>
          <w:sz w:val="24"/>
          <w:szCs w:val="24"/>
        </w:rPr>
        <w:t xml:space="preserve"> empresas</w:t>
      </w:r>
      <w:r w:rsidR="00FC18C2" w:rsidRPr="00351CEE">
        <w:rPr>
          <w:rFonts w:ascii="Arial" w:hAnsi="Arial" w:cs="Arial"/>
          <w:sz w:val="24"/>
          <w:szCs w:val="24"/>
        </w:rPr>
        <w:t xml:space="preserve"> por su tamaño</w:t>
      </w:r>
      <w:r w:rsidR="003C6D2E" w:rsidRPr="00351CEE">
        <w:rPr>
          <w:rFonts w:ascii="Arial" w:hAnsi="Arial" w:cs="Arial"/>
          <w:sz w:val="24"/>
          <w:szCs w:val="24"/>
        </w:rPr>
        <w:t>,</w:t>
      </w:r>
      <w:r w:rsidR="00E376FE" w:rsidRPr="00351CEE">
        <w:rPr>
          <w:rFonts w:ascii="Arial" w:hAnsi="Arial" w:cs="Arial"/>
          <w:sz w:val="24"/>
          <w:szCs w:val="24"/>
        </w:rPr>
        <w:t xml:space="preserve"> </w:t>
      </w:r>
      <w:r w:rsidR="003C6D2E" w:rsidRPr="00351CEE">
        <w:rPr>
          <w:rFonts w:ascii="Arial" w:hAnsi="Arial" w:cs="Arial"/>
          <w:sz w:val="24"/>
          <w:szCs w:val="24"/>
        </w:rPr>
        <w:t>56.</w:t>
      </w:r>
      <w:r w:rsidR="00AB1262" w:rsidRPr="00351CEE">
        <w:rPr>
          <w:rFonts w:ascii="Arial" w:hAnsi="Arial" w:cs="Arial"/>
          <w:sz w:val="24"/>
          <w:szCs w:val="24"/>
        </w:rPr>
        <w:t>5</w:t>
      </w:r>
      <w:r w:rsidR="003C6D2E" w:rsidRPr="00351CEE">
        <w:rPr>
          <w:rFonts w:ascii="Arial" w:hAnsi="Arial" w:cs="Arial"/>
          <w:sz w:val="24"/>
          <w:szCs w:val="24"/>
        </w:rPr>
        <w:t xml:space="preserve"> % de</w:t>
      </w:r>
      <w:r w:rsidR="003373F9" w:rsidRPr="00351CEE">
        <w:rPr>
          <w:rFonts w:ascii="Arial" w:hAnsi="Arial" w:cs="Arial"/>
          <w:sz w:val="24"/>
          <w:szCs w:val="24"/>
        </w:rPr>
        <w:t xml:space="preserve">l total de empresas </w:t>
      </w:r>
      <w:r w:rsidR="008E55CD">
        <w:rPr>
          <w:rFonts w:ascii="Arial" w:hAnsi="Arial" w:cs="Arial"/>
          <w:sz w:val="24"/>
          <w:szCs w:val="24"/>
        </w:rPr>
        <w:t>«</w:t>
      </w:r>
      <w:r w:rsidR="003C6D2E" w:rsidRPr="00351CEE">
        <w:rPr>
          <w:rFonts w:ascii="Arial" w:hAnsi="Arial" w:cs="Arial"/>
          <w:sz w:val="24"/>
          <w:szCs w:val="24"/>
        </w:rPr>
        <w:t>grande</w:t>
      </w:r>
      <w:r w:rsidR="007B1696" w:rsidRPr="00351CEE">
        <w:rPr>
          <w:rFonts w:ascii="Arial" w:hAnsi="Arial" w:cs="Arial"/>
          <w:sz w:val="24"/>
          <w:szCs w:val="24"/>
        </w:rPr>
        <w:t>s</w:t>
      </w:r>
      <w:r w:rsidR="00A524C2">
        <w:rPr>
          <w:rFonts w:ascii="Arial" w:hAnsi="Arial" w:cs="Arial"/>
          <w:sz w:val="24"/>
          <w:szCs w:val="24"/>
        </w:rPr>
        <w:t>»</w:t>
      </w:r>
      <w:r w:rsidR="00A524C2" w:rsidRPr="00351CEE">
        <w:rPr>
          <w:rFonts w:ascii="Arial" w:hAnsi="Arial" w:cs="Arial"/>
          <w:sz w:val="24"/>
          <w:szCs w:val="24"/>
        </w:rPr>
        <w:t>,</w:t>
      </w:r>
      <w:r w:rsidR="00A524C2">
        <w:rPr>
          <w:rFonts w:ascii="Arial" w:hAnsi="Arial" w:cs="Arial"/>
          <w:sz w:val="24"/>
          <w:szCs w:val="24"/>
        </w:rPr>
        <w:t xml:space="preserve">          </w:t>
      </w:r>
      <w:r w:rsidR="003C6D2E" w:rsidRPr="00351CEE">
        <w:rPr>
          <w:rFonts w:ascii="Arial" w:hAnsi="Arial" w:cs="Arial"/>
          <w:sz w:val="24"/>
          <w:szCs w:val="24"/>
        </w:rPr>
        <w:t>5</w:t>
      </w:r>
      <w:r w:rsidR="00AB1262" w:rsidRPr="00351CEE">
        <w:rPr>
          <w:rFonts w:ascii="Arial" w:hAnsi="Arial" w:cs="Arial"/>
          <w:sz w:val="24"/>
          <w:szCs w:val="24"/>
        </w:rPr>
        <w:t>2.1</w:t>
      </w:r>
      <w:r w:rsidR="003C6D2E" w:rsidRPr="00351CEE">
        <w:rPr>
          <w:rFonts w:ascii="Arial" w:hAnsi="Arial" w:cs="Arial"/>
          <w:sz w:val="24"/>
          <w:szCs w:val="24"/>
        </w:rPr>
        <w:t xml:space="preserve"> % de las </w:t>
      </w:r>
      <w:r w:rsidR="008E55CD">
        <w:rPr>
          <w:rFonts w:ascii="Arial" w:hAnsi="Arial" w:cs="Arial"/>
          <w:sz w:val="24"/>
          <w:szCs w:val="24"/>
        </w:rPr>
        <w:t>«</w:t>
      </w:r>
      <w:r w:rsidR="003C6D2E" w:rsidRPr="00351CEE">
        <w:rPr>
          <w:rFonts w:ascii="Arial" w:hAnsi="Arial" w:cs="Arial"/>
          <w:sz w:val="24"/>
          <w:szCs w:val="24"/>
        </w:rPr>
        <w:t>medianas</w:t>
      </w:r>
      <w:r w:rsidR="008E55CD">
        <w:rPr>
          <w:rFonts w:ascii="Arial" w:hAnsi="Arial" w:cs="Arial"/>
          <w:sz w:val="24"/>
          <w:szCs w:val="24"/>
        </w:rPr>
        <w:t>»</w:t>
      </w:r>
      <w:r w:rsidR="003C6D2E" w:rsidRPr="00351CEE">
        <w:rPr>
          <w:rFonts w:ascii="Arial" w:hAnsi="Arial" w:cs="Arial"/>
          <w:sz w:val="24"/>
          <w:szCs w:val="24"/>
        </w:rPr>
        <w:t xml:space="preserve">, </w:t>
      </w:r>
      <w:r w:rsidR="00AB1262" w:rsidRPr="00351CEE">
        <w:rPr>
          <w:rFonts w:ascii="Arial" w:hAnsi="Arial" w:cs="Arial"/>
          <w:sz w:val="24"/>
          <w:szCs w:val="24"/>
        </w:rPr>
        <w:t>51.9</w:t>
      </w:r>
      <w:r w:rsidR="003C6D2E" w:rsidRPr="00351CEE">
        <w:rPr>
          <w:rFonts w:ascii="Arial" w:hAnsi="Arial" w:cs="Arial"/>
          <w:sz w:val="24"/>
          <w:szCs w:val="24"/>
        </w:rPr>
        <w:t xml:space="preserve"> % de las </w:t>
      </w:r>
      <w:r w:rsidR="008E55CD">
        <w:rPr>
          <w:rFonts w:ascii="Arial" w:hAnsi="Arial" w:cs="Arial"/>
          <w:sz w:val="24"/>
          <w:szCs w:val="24"/>
        </w:rPr>
        <w:t>«</w:t>
      </w:r>
      <w:r w:rsidR="003C6D2E" w:rsidRPr="00351CEE">
        <w:rPr>
          <w:rFonts w:ascii="Arial" w:hAnsi="Arial" w:cs="Arial"/>
          <w:sz w:val="24"/>
          <w:szCs w:val="24"/>
        </w:rPr>
        <w:t>pequeñas</w:t>
      </w:r>
      <w:r w:rsidR="008E55CD">
        <w:rPr>
          <w:rFonts w:ascii="Arial" w:hAnsi="Arial" w:cs="Arial"/>
          <w:sz w:val="24"/>
          <w:szCs w:val="24"/>
        </w:rPr>
        <w:t>»</w:t>
      </w:r>
      <w:r w:rsidR="003C6D2E" w:rsidRPr="00351CEE">
        <w:rPr>
          <w:rFonts w:ascii="Arial" w:hAnsi="Arial" w:cs="Arial"/>
          <w:sz w:val="24"/>
          <w:szCs w:val="24"/>
        </w:rPr>
        <w:t xml:space="preserve"> y </w:t>
      </w:r>
      <w:r w:rsidR="00AB1262" w:rsidRPr="00351CEE">
        <w:rPr>
          <w:rFonts w:ascii="Arial" w:hAnsi="Arial" w:cs="Arial"/>
          <w:sz w:val="24"/>
          <w:szCs w:val="24"/>
        </w:rPr>
        <w:t>44.5</w:t>
      </w:r>
      <w:r w:rsidR="003C6D2E" w:rsidRPr="00351CEE">
        <w:rPr>
          <w:rFonts w:ascii="Arial" w:hAnsi="Arial" w:cs="Arial"/>
          <w:sz w:val="24"/>
          <w:szCs w:val="24"/>
        </w:rPr>
        <w:t xml:space="preserve"> % de las </w:t>
      </w:r>
      <w:r w:rsidR="008E55CD">
        <w:rPr>
          <w:rFonts w:ascii="Arial" w:hAnsi="Arial" w:cs="Arial"/>
          <w:sz w:val="24"/>
          <w:szCs w:val="24"/>
        </w:rPr>
        <w:t>«</w:t>
      </w:r>
      <w:r w:rsidR="003C6D2E" w:rsidRPr="00351CEE">
        <w:rPr>
          <w:rFonts w:ascii="Arial" w:hAnsi="Arial" w:cs="Arial"/>
          <w:sz w:val="24"/>
          <w:szCs w:val="24"/>
        </w:rPr>
        <w:t>micro</w:t>
      </w:r>
      <w:r w:rsidR="008E55CD">
        <w:rPr>
          <w:rFonts w:ascii="Arial" w:hAnsi="Arial" w:cs="Arial"/>
          <w:sz w:val="24"/>
          <w:szCs w:val="24"/>
        </w:rPr>
        <w:t>»</w:t>
      </w:r>
      <w:r w:rsidR="003C6D2E" w:rsidRPr="00351CEE">
        <w:rPr>
          <w:rFonts w:ascii="Arial" w:hAnsi="Arial" w:cs="Arial"/>
          <w:sz w:val="24"/>
          <w:szCs w:val="24"/>
        </w:rPr>
        <w:t xml:space="preserve"> realiza</w:t>
      </w:r>
      <w:r>
        <w:rPr>
          <w:rFonts w:ascii="Arial" w:hAnsi="Arial" w:cs="Arial"/>
          <w:sz w:val="24"/>
          <w:szCs w:val="24"/>
        </w:rPr>
        <w:t xml:space="preserve">ron </w:t>
      </w:r>
      <w:r w:rsidRPr="00342822">
        <w:rPr>
          <w:rFonts w:ascii="Arial" w:hAnsi="Arial" w:cs="Arial"/>
          <w:smallCaps/>
          <w:sz w:val="24"/>
          <w:szCs w:val="24"/>
        </w:rPr>
        <w:t>cis</w:t>
      </w:r>
      <w:r w:rsidR="003C6D2E" w:rsidRPr="00351CEE">
        <w:rPr>
          <w:rFonts w:ascii="Arial" w:hAnsi="Arial" w:cs="Arial"/>
          <w:sz w:val="24"/>
          <w:szCs w:val="24"/>
        </w:rPr>
        <w:t xml:space="preserve"> en 20</w:t>
      </w:r>
      <w:r w:rsidR="00AB1262" w:rsidRPr="00351CE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</w:t>
      </w:r>
      <w:r w:rsidR="0024664F" w:rsidRPr="00351CEE">
        <w:rPr>
          <w:rFonts w:ascii="Arial" w:hAnsi="Arial" w:cs="Arial"/>
          <w:sz w:val="24"/>
          <w:szCs w:val="24"/>
        </w:rPr>
        <w:t xml:space="preserve"> en al menos un tipo de servicio</w:t>
      </w:r>
      <w:r>
        <w:rPr>
          <w:rFonts w:ascii="Arial" w:hAnsi="Arial" w:cs="Arial"/>
          <w:sz w:val="24"/>
          <w:szCs w:val="24"/>
        </w:rPr>
        <w:t xml:space="preserve"> (ver gráfica 2).</w:t>
      </w:r>
    </w:p>
    <w:p w14:paraId="573ABF79" w14:textId="77777777" w:rsidR="00274A2D" w:rsidRDefault="00274A2D" w:rsidP="002A056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6C655F2" w14:textId="4754647F" w:rsidR="00167EB0" w:rsidRPr="00351CEE" w:rsidRDefault="00A6661A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351CEE">
        <w:rPr>
          <w:rFonts w:ascii="Arial" w:hAnsi="Arial" w:cs="Arial"/>
          <w:bCs/>
          <w:sz w:val="20"/>
          <w:szCs w:val="20"/>
        </w:rPr>
        <w:t xml:space="preserve">Gráfica </w:t>
      </w:r>
      <w:r w:rsidR="00AB1262" w:rsidRPr="00351CEE">
        <w:rPr>
          <w:rFonts w:ascii="Arial" w:hAnsi="Arial" w:cs="Arial"/>
          <w:bCs/>
          <w:sz w:val="20"/>
          <w:szCs w:val="20"/>
        </w:rPr>
        <w:t>2</w:t>
      </w:r>
    </w:p>
    <w:p w14:paraId="1290E1E3" w14:textId="5360ECC0" w:rsidR="00342822" w:rsidRDefault="0008691F" w:rsidP="00342822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E</w:t>
      </w:r>
      <w:r w:rsidR="00A6661A" w:rsidRPr="00351CEE">
        <w:rPr>
          <w:rFonts w:ascii="Arial" w:hAnsi="Arial" w:cs="Arial"/>
          <w:b/>
          <w:bCs/>
          <w:smallCaps/>
        </w:rPr>
        <w:t xml:space="preserve">mpresas que realizaron comercio internacional de servicios, </w:t>
      </w:r>
    </w:p>
    <w:p w14:paraId="2485E1F2" w14:textId="738565BD" w:rsidR="00A6661A" w:rsidRPr="002A0561" w:rsidRDefault="00A6661A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351CEE">
        <w:rPr>
          <w:rFonts w:ascii="Arial" w:hAnsi="Arial" w:cs="Arial"/>
          <w:b/>
          <w:bCs/>
          <w:smallCaps/>
        </w:rPr>
        <w:t>por tamaño de empresa</w:t>
      </w:r>
      <w:r w:rsidR="00CE0CE3" w:rsidRPr="00351CEE">
        <w:rPr>
          <w:rFonts w:ascii="Arial" w:hAnsi="Arial" w:cs="Arial"/>
          <w:b/>
          <w:bCs/>
          <w:smallCaps/>
        </w:rPr>
        <w:t xml:space="preserve"> en</w:t>
      </w:r>
      <w:r w:rsidRPr="00351CEE">
        <w:rPr>
          <w:rFonts w:ascii="Arial" w:hAnsi="Arial" w:cs="Arial"/>
          <w:b/>
          <w:bCs/>
          <w:smallCaps/>
        </w:rPr>
        <w:t xml:space="preserve"> </w:t>
      </w:r>
      <w:r w:rsidR="00AB1262" w:rsidRPr="00351CEE">
        <w:rPr>
          <w:rFonts w:ascii="Arial" w:hAnsi="Arial" w:cs="Arial"/>
          <w:b/>
          <w:bCs/>
          <w:smallCaps/>
        </w:rPr>
        <w:t>2021</w:t>
      </w:r>
    </w:p>
    <w:p w14:paraId="085120CA" w14:textId="4938860F" w:rsidR="001C1781" w:rsidRPr="00351CEE" w:rsidRDefault="00662CB1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351CEE">
        <w:rPr>
          <w:noProof/>
        </w:rPr>
        <w:t xml:space="preserve"> </w:t>
      </w:r>
      <w:r w:rsidR="007D15B7" w:rsidRPr="00351CEE">
        <w:rPr>
          <w:rFonts w:ascii="Arial" w:hAnsi="Arial" w:cs="Arial"/>
          <w:sz w:val="18"/>
          <w:szCs w:val="24"/>
        </w:rPr>
        <w:t>(</w:t>
      </w:r>
      <w:r w:rsidR="00342822">
        <w:rPr>
          <w:rFonts w:ascii="Arial" w:hAnsi="Arial" w:cs="Arial"/>
          <w:sz w:val="18"/>
          <w:szCs w:val="24"/>
        </w:rPr>
        <w:t>p</w:t>
      </w:r>
      <w:r w:rsidR="007D15B7" w:rsidRPr="00351CEE">
        <w:rPr>
          <w:rFonts w:ascii="Arial" w:hAnsi="Arial" w:cs="Arial"/>
          <w:sz w:val="18"/>
          <w:szCs w:val="24"/>
        </w:rPr>
        <w:t>orcentaje</w:t>
      </w:r>
      <w:r w:rsidR="001C1781" w:rsidRPr="00351CEE">
        <w:rPr>
          <w:rFonts w:ascii="Arial" w:hAnsi="Arial" w:cs="Arial"/>
          <w:sz w:val="18"/>
          <w:szCs w:val="24"/>
        </w:rPr>
        <w:t xml:space="preserve"> y absoluto</w:t>
      </w:r>
      <w:r w:rsidR="007D15B7" w:rsidRPr="00351CEE">
        <w:rPr>
          <w:rFonts w:ascii="Arial" w:hAnsi="Arial" w:cs="Arial"/>
          <w:sz w:val="18"/>
          <w:szCs w:val="24"/>
        </w:rPr>
        <w:t>)</w:t>
      </w:r>
    </w:p>
    <w:p w14:paraId="08CB86B7" w14:textId="4773951C" w:rsidR="00D416C0" w:rsidRDefault="00A524C2" w:rsidP="00D416C0">
      <w:pPr>
        <w:spacing w:line="276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382C2B83" wp14:editId="27D06FC5">
            <wp:extent cx="4115542" cy="2246400"/>
            <wp:effectExtent l="0" t="0" r="0" b="190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15542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B364B" w14:textId="4867591E" w:rsidR="00342822" w:rsidRDefault="00A6661A" w:rsidP="00342822">
      <w:pPr>
        <w:spacing w:after="0" w:line="240" w:lineRule="auto"/>
        <w:ind w:left="2268" w:right="2266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Nota: </w:t>
      </w:r>
      <w:r w:rsidR="00342822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</w:t>
      </w:r>
      <w:r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Porcentajes obtenidos respecto del total de empresas de cada </w:t>
      </w:r>
    </w:p>
    <w:p w14:paraId="17F1BCCD" w14:textId="5BAD6FB5" w:rsidR="008777B8" w:rsidRDefault="00342822" w:rsidP="00342822">
      <w:pPr>
        <w:spacing w:after="0" w:line="240" w:lineRule="auto"/>
        <w:ind w:left="2268" w:right="2266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 </w:t>
      </w:r>
      <w:r w:rsidR="00A524C2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g</w:t>
      </w:r>
      <w:r w:rsidR="00A6661A"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rupo</w:t>
      </w: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. </w:t>
      </w:r>
    </w:p>
    <w:p w14:paraId="1655366B" w14:textId="407D8E7C" w:rsidR="00342822" w:rsidRDefault="008777B8" w:rsidP="00902A81">
      <w:pPr>
        <w:spacing w:after="0" w:line="240" w:lineRule="auto"/>
        <w:ind w:left="2268" w:right="2266" w:firstLine="567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r w:rsidR="002B7ABE"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Estratificación </w:t>
      </w:r>
      <w:proofErr w:type="spellStart"/>
      <w:r w:rsidR="002B7ABE"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bivariada</w:t>
      </w:r>
      <w:proofErr w:type="spellEnd"/>
      <w:r w:rsidR="002B7ABE"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del </w:t>
      </w:r>
      <w:proofErr w:type="spellStart"/>
      <w:r w:rsidR="00342822" w:rsidRPr="00342822">
        <w:rPr>
          <w:rFonts w:ascii="Arial" w:eastAsia="+mn-ea" w:hAnsi="Arial" w:cs="Arial"/>
          <w:bCs/>
          <w:smallCaps/>
          <w:kern w:val="24"/>
          <w:sz w:val="16"/>
          <w:szCs w:val="16"/>
          <w:lang w:eastAsia="es-MX"/>
        </w:rPr>
        <w:t>dof</w:t>
      </w:r>
      <w:proofErr w:type="spellEnd"/>
      <w:r w:rsidR="002B7ABE"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del 30 de junio de 2009 de </w:t>
      </w:r>
    </w:p>
    <w:p w14:paraId="21AABCD5" w14:textId="72FA2BBA" w:rsidR="00342822" w:rsidRDefault="00342822" w:rsidP="00342822">
      <w:pPr>
        <w:spacing w:after="0" w:line="240" w:lineRule="auto"/>
        <w:ind w:left="2268" w:right="2266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 </w:t>
      </w:r>
      <w:r w:rsidR="002B7ABE"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acuerdo con la clasificación de</w:t>
      </w:r>
      <w:r w:rsidR="00E10197"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r w:rsidR="002B7ABE"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personal</w:t>
      </w: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r w:rsidR="002B7ABE"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ocupado y sector </w:t>
      </w:r>
    </w:p>
    <w:p w14:paraId="3871A6D2" w14:textId="63307771" w:rsidR="006B6DCE" w:rsidRDefault="00342822" w:rsidP="00342822">
      <w:pPr>
        <w:spacing w:after="0" w:line="240" w:lineRule="auto"/>
        <w:ind w:left="2268" w:right="2266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 </w:t>
      </w:r>
      <w:r w:rsidR="002B7ABE" w:rsidRPr="00D73FB7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económico.</w:t>
      </w:r>
    </w:p>
    <w:p w14:paraId="10752831" w14:textId="77777777" w:rsidR="00342822" w:rsidRPr="007401ED" w:rsidRDefault="00342822" w:rsidP="00902A81">
      <w:pPr>
        <w:spacing w:after="0" w:line="240" w:lineRule="auto"/>
        <w:ind w:firstLine="2268"/>
        <w:jc w:val="both"/>
        <w:rPr>
          <w:rFonts w:ascii="Arial" w:hAnsi="Arial" w:cs="Arial"/>
          <w:color w:val="000000" w:themeColor="text1"/>
          <w:sz w:val="10"/>
          <w:szCs w:val="10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inegi. ecis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, 2022.</w:t>
      </w:r>
    </w:p>
    <w:p w14:paraId="35A8BA52" w14:textId="77777777" w:rsidR="00A524C2" w:rsidRDefault="00A524C2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06C7EF" w14:textId="025C9ABB" w:rsidR="00AB1262" w:rsidRPr="00B364EE" w:rsidRDefault="00FF4151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</w:t>
      </w:r>
      <w:r w:rsidR="00AB1262" w:rsidRPr="00B364EE">
        <w:rPr>
          <w:rFonts w:ascii="Arial" w:hAnsi="Arial" w:cs="Arial"/>
          <w:sz w:val="24"/>
          <w:szCs w:val="24"/>
        </w:rPr>
        <w:t>gran sector de actividad económica, 6</w:t>
      </w:r>
      <w:r w:rsidR="00662CB1" w:rsidRPr="00B364EE">
        <w:rPr>
          <w:rFonts w:ascii="Arial" w:hAnsi="Arial" w:cs="Arial"/>
          <w:sz w:val="24"/>
          <w:szCs w:val="24"/>
        </w:rPr>
        <w:t>1.8</w:t>
      </w:r>
      <w:r w:rsidR="00AB1262" w:rsidRPr="00B364EE">
        <w:rPr>
          <w:rFonts w:ascii="Arial" w:hAnsi="Arial" w:cs="Arial"/>
          <w:sz w:val="24"/>
          <w:szCs w:val="24"/>
        </w:rPr>
        <w:t xml:space="preserve"> % de</w:t>
      </w:r>
      <w:r w:rsidR="00D91683" w:rsidRPr="00B364EE">
        <w:rPr>
          <w:rFonts w:ascii="Arial" w:hAnsi="Arial" w:cs="Arial"/>
          <w:sz w:val="24"/>
          <w:szCs w:val="24"/>
        </w:rPr>
        <w:t xml:space="preserve">l total de </w:t>
      </w:r>
      <w:r w:rsidR="00AB1262" w:rsidRPr="00B364EE">
        <w:rPr>
          <w:rFonts w:ascii="Arial" w:hAnsi="Arial" w:cs="Arial"/>
          <w:sz w:val="24"/>
          <w:szCs w:val="24"/>
        </w:rPr>
        <w:t xml:space="preserve">empresas del </w:t>
      </w:r>
      <w:r w:rsidR="00AB1262" w:rsidRPr="0008691F">
        <w:rPr>
          <w:rFonts w:ascii="Arial" w:hAnsi="Arial" w:cs="Arial"/>
          <w:sz w:val="24"/>
          <w:szCs w:val="24"/>
        </w:rPr>
        <w:t xml:space="preserve">sector </w:t>
      </w:r>
      <w:r w:rsidR="008E55CD" w:rsidRPr="0008691F">
        <w:rPr>
          <w:rFonts w:ascii="Arial" w:hAnsi="Arial" w:cs="Arial"/>
          <w:sz w:val="24"/>
          <w:szCs w:val="24"/>
        </w:rPr>
        <w:t>«</w:t>
      </w:r>
      <w:r w:rsidR="00F64570" w:rsidRPr="0008691F">
        <w:rPr>
          <w:rFonts w:ascii="Arial" w:hAnsi="Arial" w:cs="Arial"/>
          <w:sz w:val="24"/>
          <w:szCs w:val="24"/>
        </w:rPr>
        <w:t>i</w:t>
      </w:r>
      <w:r w:rsidR="00AB1262" w:rsidRPr="0008691F">
        <w:rPr>
          <w:rFonts w:ascii="Arial" w:hAnsi="Arial" w:cs="Arial"/>
          <w:sz w:val="24"/>
          <w:szCs w:val="24"/>
        </w:rPr>
        <w:t>ndustria</w:t>
      </w:r>
      <w:r w:rsidR="008E55CD" w:rsidRPr="0008691F">
        <w:rPr>
          <w:rFonts w:ascii="Arial" w:hAnsi="Arial" w:cs="Arial"/>
          <w:sz w:val="24"/>
          <w:szCs w:val="24"/>
        </w:rPr>
        <w:t>»</w:t>
      </w:r>
      <w:r w:rsidR="00AB1262" w:rsidRPr="0008691F">
        <w:rPr>
          <w:rFonts w:ascii="Arial" w:hAnsi="Arial" w:cs="Arial"/>
          <w:sz w:val="24"/>
          <w:szCs w:val="24"/>
        </w:rPr>
        <w:t>,</w:t>
      </w:r>
      <w:r w:rsidR="00AB1262" w:rsidRPr="00B364EE">
        <w:rPr>
          <w:rFonts w:ascii="Arial" w:hAnsi="Arial" w:cs="Arial"/>
          <w:sz w:val="24"/>
          <w:szCs w:val="24"/>
        </w:rPr>
        <w:t xml:space="preserve"> 3</w:t>
      </w:r>
      <w:r w:rsidR="00BD12B2" w:rsidRPr="00B364EE">
        <w:rPr>
          <w:rFonts w:ascii="Arial" w:hAnsi="Arial" w:cs="Arial"/>
          <w:sz w:val="24"/>
          <w:szCs w:val="24"/>
        </w:rPr>
        <w:t>8.0</w:t>
      </w:r>
      <w:r w:rsidR="00AB1262" w:rsidRPr="00B364EE">
        <w:rPr>
          <w:rFonts w:ascii="Arial" w:hAnsi="Arial" w:cs="Arial"/>
          <w:sz w:val="24"/>
          <w:szCs w:val="24"/>
        </w:rPr>
        <w:t xml:space="preserve"> % </w:t>
      </w:r>
      <w:r w:rsidR="00BD12B2" w:rsidRPr="00B364EE">
        <w:rPr>
          <w:rFonts w:ascii="Arial" w:hAnsi="Arial" w:cs="Arial"/>
          <w:sz w:val="24"/>
          <w:szCs w:val="24"/>
        </w:rPr>
        <w:t>pertenecientes al sector</w:t>
      </w:r>
      <w:r w:rsidR="00AB1262" w:rsidRPr="00B364EE">
        <w:rPr>
          <w:rFonts w:ascii="Arial" w:hAnsi="Arial" w:cs="Arial"/>
          <w:sz w:val="24"/>
          <w:szCs w:val="24"/>
        </w:rPr>
        <w:t xml:space="preserve"> </w:t>
      </w:r>
      <w:r w:rsidR="008E55CD">
        <w:rPr>
          <w:rFonts w:ascii="Arial" w:hAnsi="Arial" w:cs="Arial"/>
          <w:sz w:val="24"/>
          <w:szCs w:val="24"/>
        </w:rPr>
        <w:t>«</w:t>
      </w:r>
      <w:r w:rsidR="0008691F">
        <w:rPr>
          <w:rFonts w:ascii="Arial" w:hAnsi="Arial" w:cs="Arial"/>
          <w:sz w:val="24"/>
          <w:szCs w:val="24"/>
        </w:rPr>
        <w:t>c</w:t>
      </w:r>
      <w:r w:rsidR="00AB1262" w:rsidRPr="00B364EE">
        <w:rPr>
          <w:rFonts w:ascii="Arial" w:hAnsi="Arial" w:cs="Arial"/>
          <w:sz w:val="24"/>
          <w:szCs w:val="24"/>
        </w:rPr>
        <w:t>omercio</w:t>
      </w:r>
      <w:r w:rsidR="008E55CD">
        <w:rPr>
          <w:rFonts w:ascii="Arial" w:hAnsi="Arial" w:cs="Arial"/>
          <w:sz w:val="24"/>
          <w:szCs w:val="24"/>
        </w:rPr>
        <w:t>»</w:t>
      </w:r>
      <w:r w:rsidR="00AB1262" w:rsidRPr="00B364EE">
        <w:rPr>
          <w:rFonts w:ascii="Arial" w:hAnsi="Arial" w:cs="Arial"/>
          <w:sz w:val="24"/>
          <w:szCs w:val="24"/>
        </w:rPr>
        <w:t xml:space="preserve"> y </w:t>
      </w:r>
      <w:r w:rsidR="00BD12B2" w:rsidRPr="00B364EE">
        <w:rPr>
          <w:rFonts w:ascii="Arial" w:hAnsi="Arial" w:cs="Arial"/>
          <w:sz w:val="24"/>
          <w:szCs w:val="24"/>
        </w:rPr>
        <w:t>50.1</w:t>
      </w:r>
      <w:r w:rsidR="00AB1262" w:rsidRPr="00B364EE">
        <w:rPr>
          <w:rFonts w:ascii="Arial" w:hAnsi="Arial" w:cs="Arial"/>
          <w:sz w:val="24"/>
          <w:szCs w:val="24"/>
        </w:rPr>
        <w:t xml:space="preserve"> %</w:t>
      </w:r>
      <w:r w:rsidR="00835D02" w:rsidRPr="00B364EE">
        <w:rPr>
          <w:rStyle w:val="Refdecomentario"/>
        </w:rPr>
        <w:t xml:space="preserve"> </w:t>
      </w:r>
      <w:r w:rsidR="00835D02" w:rsidRPr="00B364EE">
        <w:rPr>
          <w:rFonts w:ascii="Arial" w:hAnsi="Arial" w:cs="Arial"/>
          <w:sz w:val="24"/>
          <w:szCs w:val="24"/>
        </w:rPr>
        <w:t>qu</w:t>
      </w:r>
      <w:r w:rsidR="005F0EE0" w:rsidRPr="00B364EE">
        <w:rPr>
          <w:rFonts w:ascii="Arial" w:hAnsi="Arial" w:cs="Arial"/>
          <w:sz w:val="24"/>
          <w:szCs w:val="24"/>
        </w:rPr>
        <w:t>e componen el</w:t>
      </w:r>
      <w:r w:rsidR="00BD12B2" w:rsidRPr="00B364EE">
        <w:rPr>
          <w:rFonts w:ascii="Arial" w:hAnsi="Arial" w:cs="Arial"/>
          <w:sz w:val="24"/>
          <w:szCs w:val="24"/>
        </w:rPr>
        <w:t xml:space="preserve"> sector</w:t>
      </w:r>
      <w:r w:rsidR="00AB1262" w:rsidRPr="00B364EE">
        <w:rPr>
          <w:rFonts w:ascii="Arial" w:hAnsi="Arial" w:cs="Arial"/>
          <w:sz w:val="24"/>
          <w:szCs w:val="24"/>
        </w:rPr>
        <w:t xml:space="preserve"> </w:t>
      </w:r>
      <w:r w:rsidR="008E55CD">
        <w:rPr>
          <w:rFonts w:ascii="Arial" w:hAnsi="Arial" w:cs="Arial"/>
          <w:sz w:val="24"/>
          <w:szCs w:val="24"/>
        </w:rPr>
        <w:t>«</w:t>
      </w:r>
      <w:r w:rsidR="0008691F">
        <w:rPr>
          <w:rFonts w:ascii="Arial" w:hAnsi="Arial" w:cs="Arial"/>
          <w:sz w:val="24"/>
          <w:szCs w:val="24"/>
        </w:rPr>
        <w:t>s</w:t>
      </w:r>
      <w:r w:rsidR="00AB1262" w:rsidRPr="00B364EE">
        <w:rPr>
          <w:rFonts w:ascii="Arial" w:hAnsi="Arial" w:cs="Arial"/>
          <w:sz w:val="24"/>
          <w:szCs w:val="24"/>
        </w:rPr>
        <w:t>ervicios</w:t>
      </w:r>
      <w:r w:rsidR="008E55CD">
        <w:rPr>
          <w:rFonts w:ascii="Arial" w:hAnsi="Arial" w:cs="Arial"/>
          <w:sz w:val="24"/>
          <w:szCs w:val="24"/>
        </w:rPr>
        <w:t>»</w:t>
      </w:r>
      <w:r w:rsidR="00FB7F6C" w:rsidRPr="00B364EE">
        <w:rPr>
          <w:rFonts w:ascii="Arial" w:hAnsi="Arial" w:cs="Arial"/>
          <w:sz w:val="24"/>
          <w:szCs w:val="24"/>
        </w:rPr>
        <w:t>,</w:t>
      </w:r>
      <w:r w:rsidR="00AB1262" w:rsidRPr="00B364EE">
        <w:rPr>
          <w:rFonts w:ascii="Arial" w:hAnsi="Arial" w:cs="Arial"/>
          <w:sz w:val="24"/>
          <w:szCs w:val="24"/>
        </w:rPr>
        <w:t xml:space="preserve"> </w:t>
      </w:r>
      <w:r w:rsidR="00BD12B2" w:rsidRPr="00B364EE">
        <w:rPr>
          <w:rFonts w:ascii="Arial" w:hAnsi="Arial" w:cs="Arial"/>
          <w:sz w:val="24"/>
          <w:szCs w:val="24"/>
        </w:rPr>
        <w:t xml:space="preserve">realizaron </w:t>
      </w:r>
      <w:r w:rsidRPr="00FF4151">
        <w:rPr>
          <w:rFonts w:ascii="Arial" w:hAnsi="Arial" w:cs="Arial"/>
          <w:smallCaps/>
          <w:sz w:val="24"/>
          <w:szCs w:val="24"/>
        </w:rPr>
        <w:t xml:space="preserve">cis </w:t>
      </w:r>
      <w:r w:rsidR="00777946" w:rsidRPr="00B364EE">
        <w:rPr>
          <w:rFonts w:ascii="Arial" w:hAnsi="Arial" w:cs="Arial"/>
          <w:sz w:val="24"/>
          <w:szCs w:val="24"/>
        </w:rPr>
        <w:t>en al menos un tipo de servicio</w:t>
      </w:r>
      <w:r w:rsidR="00BD12B2" w:rsidRPr="00B364EE">
        <w:rPr>
          <w:rFonts w:ascii="Arial" w:hAnsi="Arial" w:cs="Arial"/>
          <w:sz w:val="24"/>
          <w:szCs w:val="24"/>
        </w:rPr>
        <w:t xml:space="preserve"> en 2021. </w:t>
      </w:r>
      <w:r w:rsidR="000E5AA4" w:rsidRPr="00B364EE">
        <w:rPr>
          <w:rFonts w:ascii="Arial" w:hAnsi="Arial" w:cs="Arial"/>
          <w:sz w:val="24"/>
          <w:szCs w:val="24"/>
        </w:rPr>
        <w:t>A</w:t>
      </w:r>
      <w:r w:rsidR="00E376FE" w:rsidRPr="00B364EE">
        <w:rPr>
          <w:rFonts w:ascii="Arial" w:hAnsi="Arial" w:cs="Arial"/>
          <w:sz w:val="24"/>
          <w:szCs w:val="24"/>
        </w:rPr>
        <w:t xml:space="preserve">l comparar 2021 con </w:t>
      </w:r>
      <w:r w:rsidR="00D91683" w:rsidRPr="00B364EE">
        <w:rPr>
          <w:rFonts w:ascii="Arial" w:hAnsi="Arial" w:cs="Arial"/>
          <w:sz w:val="24"/>
          <w:szCs w:val="24"/>
        </w:rPr>
        <w:t>2020</w:t>
      </w:r>
      <w:r w:rsidR="00E376FE" w:rsidRPr="00B364EE">
        <w:rPr>
          <w:rFonts w:ascii="Arial" w:hAnsi="Arial" w:cs="Arial"/>
          <w:sz w:val="24"/>
          <w:szCs w:val="24"/>
        </w:rPr>
        <w:t xml:space="preserve">, el </w:t>
      </w:r>
      <w:r w:rsidR="00E376FE" w:rsidRPr="0008691F">
        <w:rPr>
          <w:rFonts w:ascii="Arial" w:hAnsi="Arial" w:cs="Arial"/>
          <w:sz w:val="24"/>
          <w:szCs w:val="24"/>
        </w:rPr>
        <w:t xml:space="preserve">sector </w:t>
      </w:r>
      <w:r w:rsidR="008E55CD" w:rsidRPr="0008691F">
        <w:rPr>
          <w:rFonts w:ascii="Arial" w:hAnsi="Arial" w:cs="Arial"/>
          <w:sz w:val="24"/>
          <w:szCs w:val="24"/>
        </w:rPr>
        <w:t>«</w:t>
      </w:r>
      <w:r w:rsidR="00E376FE" w:rsidRPr="0008691F">
        <w:rPr>
          <w:rFonts w:ascii="Arial" w:hAnsi="Arial" w:cs="Arial"/>
          <w:sz w:val="24"/>
          <w:szCs w:val="24"/>
        </w:rPr>
        <w:t>industria</w:t>
      </w:r>
      <w:r w:rsidR="008E55CD" w:rsidRPr="0008691F">
        <w:rPr>
          <w:rFonts w:ascii="Arial" w:hAnsi="Arial" w:cs="Arial"/>
          <w:sz w:val="24"/>
          <w:szCs w:val="24"/>
        </w:rPr>
        <w:t>»</w:t>
      </w:r>
      <w:r w:rsidR="00E376FE" w:rsidRPr="0008691F">
        <w:rPr>
          <w:rFonts w:ascii="Arial" w:hAnsi="Arial" w:cs="Arial"/>
          <w:sz w:val="24"/>
          <w:szCs w:val="24"/>
        </w:rPr>
        <w:t xml:space="preserve"> </w:t>
      </w:r>
      <w:r w:rsidR="00D91683" w:rsidRPr="0008691F">
        <w:rPr>
          <w:rFonts w:ascii="Arial" w:hAnsi="Arial" w:cs="Arial"/>
          <w:sz w:val="24"/>
          <w:szCs w:val="24"/>
        </w:rPr>
        <w:t>disminuyó</w:t>
      </w:r>
      <w:r w:rsidR="00D91683" w:rsidRPr="00B364EE">
        <w:rPr>
          <w:rFonts w:ascii="Arial" w:hAnsi="Arial" w:cs="Arial"/>
          <w:sz w:val="24"/>
          <w:szCs w:val="24"/>
        </w:rPr>
        <w:t xml:space="preserve"> </w:t>
      </w:r>
      <w:r w:rsidR="00665EAE" w:rsidRPr="00B364EE">
        <w:rPr>
          <w:rFonts w:ascii="Arial" w:hAnsi="Arial" w:cs="Arial"/>
          <w:sz w:val="24"/>
          <w:szCs w:val="24"/>
        </w:rPr>
        <w:t xml:space="preserve">su </w:t>
      </w:r>
      <w:r w:rsidR="00B15A26" w:rsidRPr="00B364EE">
        <w:rPr>
          <w:rFonts w:ascii="Arial" w:hAnsi="Arial" w:cs="Arial"/>
          <w:sz w:val="24"/>
          <w:szCs w:val="24"/>
        </w:rPr>
        <w:t xml:space="preserve">participación </w:t>
      </w:r>
      <w:r w:rsidR="00D91683" w:rsidRPr="00B364EE">
        <w:rPr>
          <w:rFonts w:ascii="Arial" w:hAnsi="Arial" w:cs="Arial"/>
          <w:sz w:val="24"/>
          <w:szCs w:val="24"/>
        </w:rPr>
        <w:t xml:space="preserve">2.7 </w:t>
      </w:r>
      <w:r w:rsidR="00B80487" w:rsidRPr="00B364EE">
        <w:rPr>
          <w:rFonts w:ascii="Arial" w:hAnsi="Arial" w:cs="Arial"/>
          <w:sz w:val="24"/>
          <w:szCs w:val="24"/>
        </w:rPr>
        <w:t>puntos porcentuales</w:t>
      </w:r>
      <w:r w:rsidR="00130D7C" w:rsidRPr="00B364EE">
        <w:rPr>
          <w:rFonts w:ascii="Arial" w:hAnsi="Arial" w:cs="Arial"/>
          <w:sz w:val="24"/>
          <w:szCs w:val="24"/>
        </w:rPr>
        <w:t xml:space="preserve">, mientras que </w:t>
      </w:r>
      <w:r w:rsidR="00665EAE" w:rsidRPr="00B364EE">
        <w:rPr>
          <w:rFonts w:ascii="Arial" w:hAnsi="Arial" w:cs="Arial"/>
          <w:sz w:val="24"/>
          <w:szCs w:val="24"/>
        </w:rPr>
        <w:t xml:space="preserve">para los sectores </w:t>
      </w:r>
      <w:r w:rsidR="008E55CD">
        <w:rPr>
          <w:rFonts w:ascii="Arial" w:hAnsi="Arial" w:cs="Arial"/>
          <w:sz w:val="24"/>
          <w:szCs w:val="24"/>
        </w:rPr>
        <w:t>«</w:t>
      </w:r>
      <w:r w:rsidR="0008691F">
        <w:rPr>
          <w:rFonts w:ascii="Arial" w:hAnsi="Arial" w:cs="Arial"/>
          <w:sz w:val="24"/>
          <w:szCs w:val="24"/>
        </w:rPr>
        <w:t>c</w:t>
      </w:r>
      <w:r w:rsidR="00665EAE" w:rsidRPr="00B364EE">
        <w:rPr>
          <w:rFonts w:ascii="Arial" w:hAnsi="Arial" w:cs="Arial"/>
          <w:sz w:val="24"/>
          <w:szCs w:val="24"/>
        </w:rPr>
        <w:t>omercio</w:t>
      </w:r>
      <w:r w:rsidR="008E55CD">
        <w:rPr>
          <w:rFonts w:ascii="Arial" w:hAnsi="Arial" w:cs="Arial"/>
          <w:sz w:val="24"/>
          <w:szCs w:val="24"/>
        </w:rPr>
        <w:t>»</w:t>
      </w:r>
      <w:r w:rsidR="00665EAE" w:rsidRPr="00B364EE">
        <w:rPr>
          <w:rFonts w:ascii="Arial" w:hAnsi="Arial" w:cs="Arial"/>
          <w:sz w:val="24"/>
          <w:szCs w:val="24"/>
        </w:rPr>
        <w:t xml:space="preserve"> y </w:t>
      </w:r>
      <w:r w:rsidR="008E55CD">
        <w:rPr>
          <w:rFonts w:ascii="Arial" w:hAnsi="Arial" w:cs="Arial"/>
          <w:sz w:val="24"/>
          <w:szCs w:val="24"/>
        </w:rPr>
        <w:t>«</w:t>
      </w:r>
      <w:r w:rsidR="0008691F">
        <w:rPr>
          <w:rFonts w:ascii="Arial" w:hAnsi="Arial" w:cs="Arial"/>
          <w:sz w:val="24"/>
          <w:szCs w:val="24"/>
        </w:rPr>
        <w:t>s</w:t>
      </w:r>
      <w:r w:rsidR="00665EAE" w:rsidRPr="00B364EE">
        <w:rPr>
          <w:rFonts w:ascii="Arial" w:hAnsi="Arial" w:cs="Arial"/>
          <w:sz w:val="24"/>
          <w:szCs w:val="24"/>
        </w:rPr>
        <w:t>ervicios</w:t>
      </w:r>
      <w:r w:rsidR="008E55CD">
        <w:rPr>
          <w:rFonts w:ascii="Arial" w:hAnsi="Arial" w:cs="Arial"/>
          <w:sz w:val="24"/>
          <w:szCs w:val="24"/>
        </w:rPr>
        <w:t>»</w:t>
      </w:r>
      <w:r w:rsidR="00665EAE" w:rsidRPr="00B364EE">
        <w:rPr>
          <w:rFonts w:ascii="Arial" w:hAnsi="Arial" w:cs="Arial"/>
          <w:sz w:val="24"/>
          <w:szCs w:val="24"/>
        </w:rPr>
        <w:t xml:space="preserve"> </w:t>
      </w:r>
      <w:r w:rsidR="009620ED">
        <w:rPr>
          <w:rFonts w:ascii="Arial" w:hAnsi="Arial" w:cs="Arial"/>
          <w:sz w:val="24"/>
          <w:szCs w:val="24"/>
        </w:rPr>
        <w:t>i</w:t>
      </w:r>
      <w:r w:rsidR="00130D7C" w:rsidRPr="00B364EE">
        <w:rPr>
          <w:rFonts w:ascii="Arial" w:hAnsi="Arial" w:cs="Arial"/>
          <w:sz w:val="24"/>
          <w:szCs w:val="24"/>
        </w:rPr>
        <w:t xml:space="preserve">ncrementó 6.5 y 6.0 </w:t>
      </w:r>
      <w:r w:rsidR="009C5F13" w:rsidRPr="00B364EE">
        <w:rPr>
          <w:rFonts w:ascii="Arial" w:hAnsi="Arial" w:cs="Arial"/>
          <w:sz w:val="24"/>
          <w:szCs w:val="24"/>
        </w:rPr>
        <w:t>puntos porcentuales</w:t>
      </w:r>
      <w:r w:rsidR="00CE0F17" w:rsidRPr="00B364EE">
        <w:rPr>
          <w:rFonts w:ascii="Arial" w:hAnsi="Arial" w:cs="Arial"/>
          <w:sz w:val="24"/>
          <w:szCs w:val="24"/>
        </w:rPr>
        <w:t>,</w:t>
      </w:r>
      <w:r w:rsidR="00130D7C" w:rsidRPr="00B364EE">
        <w:rPr>
          <w:rFonts w:ascii="Arial" w:hAnsi="Arial" w:cs="Arial"/>
          <w:sz w:val="24"/>
          <w:szCs w:val="24"/>
        </w:rPr>
        <w:t xml:space="preserve"> respectivamente</w:t>
      </w:r>
      <w:r>
        <w:rPr>
          <w:rFonts w:ascii="Arial" w:hAnsi="Arial" w:cs="Arial"/>
          <w:sz w:val="24"/>
          <w:szCs w:val="24"/>
        </w:rPr>
        <w:t>, como se aprecia en la gráfica 3.</w:t>
      </w:r>
    </w:p>
    <w:p w14:paraId="4D8FF485" w14:textId="77777777" w:rsidR="00B364EE" w:rsidRPr="00D73FB7" w:rsidRDefault="00B364EE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88734E" w14:textId="206033CD" w:rsidR="000C04EA" w:rsidRPr="00B364EE" w:rsidRDefault="00AB1262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B364EE">
        <w:rPr>
          <w:rFonts w:ascii="Arial" w:hAnsi="Arial" w:cs="Arial"/>
          <w:bCs/>
          <w:sz w:val="20"/>
          <w:szCs w:val="20"/>
        </w:rPr>
        <w:t xml:space="preserve">Gráfica </w:t>
      </w:r>
      <w:r w:rsidR="00F774A1" w:rsidRPr="00B364EE">
        <w:rPr>
          <w:rFonts w:ascii="Arial" w:hAnsi="Arial" w:cs="Arial"/>
          <w:bCs/>
          <w:sz w:val="20"/>
          <w:szCs w:val="20"/>
        </w:rPr>
        <w:t>3</w:t>
      </w:r>
    </w:p>
    <w:p w14:paraId="2EDC0AC0" w14:textId="0EC203E3" w:rsidR="00FF4151" w:rsidRDefault="0008691F" w:rsidP="00FF415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E</w:t>
      </w:r>
      <w:r w:rsidR="00AB1262" w:rsidRPr="00B364EE">
        <w:rPr>
          <w:rFonts w:ascii="Arial" w:hAnsi="Arial" w:cs="Arial"/>
          <w:b/>
          <w:bCs/>
          <w:smallCaps/>
        </w:rPr>
        <w:t xml:space="preserve">mpresas que realizaron comercio internacional de servicios, </w:t>
      </w:r>
    </w:p>
    <w:p w14:paraId="232ACAE1" w14:textId="3A356E7A" w:rsidR="00AB1262" w:rsidRPr="00B364EE" w:rsidRDefault="00AB1262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B364EE">
        <w:rPr>
          <w:rFonts w:ascii="Arial" w:hAnsi="Arial" w:cs="Arial"/>
          <w:b/>
          <w:bCs/>
          <w:smallCaps/>
        </w:rPr>
        <w:t>por gran sector en 20</w:t>
      </w:r>
      <w:r w:rsidR="00F774A1" w:rsidRPr="00B364EE">
        <w:rPr>
          <w:rFonts w:ascii="Arial" w:hAnsi="Arial" w:cs="Arial"/>
          <w:b/>
          <w:bCs/>
          <w:smallCaps/>
        </w:rPr>
        <w:t>20</w:t>
      </w:r>
      <w:r w:rsidRPr="00B364EE">
        <w:rPr>
          <w:rFonts w:ascii="Arial" w:hAnsi="Arial" w:cs="Arial"/>
          <w:b/>
          <w:bCs/>
          <w:smallCaps/>
        </w:rPr>
        <w:t xml:space="preserve"> y 20</w:t>
      </w:r>
      <w:r w:rsidR="00F774A1" w:rsidRPr="00B364EE">
        <w:rPr>
          <w:rFonts w:ascii="Arial" w:hAnsi="Arial" w:cs="Arial"/>
          <w:b/>
          <w:bCs/>
          <w:smallCaps/>
        </w:rPr>
        <w:t>21</w:t>
      </w:r>
    </w:p>
    <w:p w14:paraId="4721B107" w14:textId="7C135590" w:rsidR="001C1781" w:rsidRPr="00B364EE" w:rsidRDefault="001C1781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B364EE">
        <w:rPr>
          <w:rFonts w:ascii="Arial" w:hAnsi="Arial" w:cs="Arial"/>
          <w:sz w:val="18"/>
          <w:szCs w:val="24"/>
        </w:rPr>
        <w:t>(</w:t>
      </w:r>
      <w:r w:rsidR="00FF4151">
        <w:rPr>
          <w:rFonts w:ascii="Arial" w:hAnsi="Arial" w:cs="Arial"/>
          <w:sz w:val="18"/>
          <w:szCs w:val="24"/>
        </w:rPr>
        <w:t>p</w:t>
      </w:r>
      <w:r w:rsidRPr="00B364EE">
        <w:rPr>
          <w:rFonts w:ascii="Arial" w:hAnsi="Arial" w:cs="Arial"/>
          <w:sz w:val="18"/>
          <w:szCs w:val="24"/>
        </w:rPr>
        <w:t>orcentaje y absoluto)</w:t>
      </w:r>
    </w:p>
    <w:p w14:paraId="17EE8A8D" w14:textId="2398AFAD" w:rsidR="000C04EA" w:rsidRPr="00572DB1" w:rsidRDefault="00A524C2" w:rsidP="002A0561">
      <w:pPr>
        <w:spacing w:after="0" w:line="240" w:lineRule="auto"/>
        <w:jc w:val="center"/>
        <w:rPr>
          <w:rFonts w:ascii="Arial" w:hAnsi="Arial" w:cs="Arial"/>
          <w:bCs/>
          <w:color w:val="404040" w:themeColor="text1" w:themeTint="BF"/>
          <w:sz w:val="16"/>
          <w:szCs w:val="16"/>
        </w:rPr>
      </w:pPr>
      <w:r>
        <w:rPr>
          <w:noProof/>
        </w:rPr>
        <w:drawing>
          <wp:inline distT="0" distB="0" distL="0" distR="0" wp14:anchorId="3398586A" wp14:editId="25125D27">
            <wp:extent cx="5298750" cy="2160000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9875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6AE76" w14:textId="1E93BC34" w:rsidR="00E10197" w:rsidRPr="00B364EE" w:rsidRDefault="00FF4151" w:rsidP="002A0561">
      <w:pPr>
        <w:spacing w:after="0" w:line="240" w:lineRule="auto"/>
        <w:ind w:firstLine="1134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B364EE">
        <w:rPr>
          <w:rFonts w:ascii="Arial" w:eastAsia="+mn-ea" w:hAnsi="Arial" w:cs="Arial"/>
          <w:bCs/>
          <w:noProof/>
          <w:kern w:val="24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7A479D" wp14:editId="7CDFD938">
                <wp:simplePos x="0" y="0"/>
                <wp:positionH relativeFrom="column">
                  <wp:posOffset>775335</wp:posOffset>
                </wp:positionH>
                <wp:positionV relativeFrom="paragraph">
                  <wp:posOffset>104775</wp:posOffset>
                </wp:positionV>
                <wp:extent cx="99060" cy="106680"/>
                <wp:effectExtent l="0" t="0" r="0" b="7620"/>
                <wp:wrapNone/>
                <wp:docPr id="2" name="Triángulo isósce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2275B53" id="Triángulo isósceles 3" o:spid="_x0000_s1026" type="#_x0000_t5" style="position:absolute;margin-left:61.05pt;margin-top:8.25pt;width:7.8pt;height: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" fillcolor="#00b050" stroked="f" strokeweight="1pt"/>
            </w:pict>
          </mc:Fallback>
        </mc:AlternateContent>
      </w:r>
      <w:r w:rsidR="00F774A1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Nota: </w:t>
      </w: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</w:t>
      </w:r>
      <w:r w:rsidR="00F774A1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Porcentajes obtenidos respecto del total de empresas de cada grupo.</w:t>
      </w:r>
    </w:p>
    <w:p w14:paraId="39BABE57" w14:textId="1675EBF7" w:rsidR="003874AB" w:rsidRDefault="00E10197" w:rsidP="00FF4151">
      <w:pPr>
        <w:spacing w:after="0" w:line="240" w:lineRule="auto"/>
        <w:ind w:firstLine="1134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</w:t>
      </w:r>
      <w:r w:rsidR="00A27FD6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r w:rsidR="00F264DF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Cambio positivo estadísticamente significativo.</w:t>
      </w:r>
    </w:p>
    <w:p w14:paraId="354FBB0D" w14:textId="216B0C66" w:rsidR="00FF4151" w:rsidRPr="00B364EE" w:rsidRDefault="00FF4151" w:rsidP="002A0561">
      <w:pPr>
        <w:spacing w:after="0" w:line="240" w:lineRule="auto"/>
        <w:ind w:firstLine="1134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>,</w:t>
      </w:r>
      <w:r w:rsidR="0008691F">
        <w:rPr>
          <w:rFonts w:ascii="Arial" w:hAnsi="Arial" w:cs="Arial"/>
          <w:bCs/>
          <w:color w:val="000000" w:themeColor="text1"/>
          <w:sz w:val="16"/>
          <w:szCs w:val="16"/>
        </w:rPr>
        <w:t xml:space="preserve"> 2021 y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2022.</w:t>
      </w:r>
    </w:p>
    <w:p w14:paraId="4086BBCB" w14:textId="77777777" w:rsidR="003874AB" w:rsidRDefault="003874AB" w:rsidP="002A056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22FAC01" w14:textId="7068D0B3" w:rsidR="00457D21" w:rsidRPr="00B364EE" w:rsidRDefault="003C6D2E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4EE">
        <w:rPr>
          <w:rFonts w:ascii="Arial" w:hAnsi="Arial" w:cs="Arial"/>
          <w:sz w:val="24"/>
          <w:szCs w:val="24"/>
        </w:rPr>
        <w:t xml:space="preserve">Respecto de los ingresos </w:t>
      </w:r>
      <w:r w:rsidR="00665EAE" w:rsidRPr="00B364EE">
        <w:rPr>
          <w:rFonts w:ascii="Arial" w:hAnsi="Arial" w:cs="Arial"/>
          <w:sz w:val="24"/>
          <w:szCs w:val="24"/>
        </w:rPr>
        <w:t xml:space="preserve">a precios constantes </w:t>
      </w:r>
      <w:r w:rsidRPr="00B364EE">
        <w:rPr>
          <w:rFonts w:ascii="Arial" w:hAnsi="Arial" w:cs="Arial"/>
          <w:sz w:val="24"/>
          <w:szCs w:val="24"/>
        </w:rPr>
        <w:t xml:space="preserve">de </w:t>
      </w:r>
      <w:r w:rsidR="00FF4151" w:rsidRPr="00FF4151">
        <w:rPr>
          <w:rFonts w:ascii="Arial" w:hAnsi="Arial" w:cs="Arial"/>
          <w:smallCaps/>
          <w:sz w:val="24"/>
          <w:szCs w:val="24"/>
        </w:rPr>
        <w:t>cis</w:t>
      </w:r>
      <w:r w:rsidRPr="00B364EE">
        <w:rPr>
          <w:rFonts w:ascii="Arial" w:hAnsi="Arial" w:cs="Arial"/>
          <w:sz w:val="24"/>
          <w:szCs w:val="24"/>
        </w:rPr>
        <w:t>, las empresas reportaron un total de</w:t>
      </w:r>
      <w:r w:rsidR="009620ED">
        <w:rPr>
          <w:rFonts w:ascii="Arial" w:hAnsi="Arial" w:cs="Arial"/>
          <w:sz w:val="24"/>
          <w:szCs w:val="24"/>
        </w:rPr>
        <w:t xml:space="preserve"> </w:t>
      </w:r>
      <w:r w:rsidRPr="00B364EE">
        <w:rPr>
          <w:rFonts w:ascii="Arial" w:hAnsi="Arial" w:cs="Arial"/>
          <w:sz w:val="24"/>
          <w:szCs w:val="24"/>
        </w:rPr>
        <w:t xml:space="preserve"> 7</w:t>
      </w:r>
      <w:r w:rsidR="008C7929" w:rsidRPr="00B364EE">
        <w:rPr>
          <w:rFonts w:ascii="Arial" w:hAnsi="Arial" w:cs="Arial"/>
          <w:sz w:val="24"/>
          <w:szCs w:val="24"/>
        </w:rPr>
        <w:t>91</w:t>
      </w:r>
      <w:r w:rsidR="009620ED">
        <w:rPr>
          <w:rFonts w:ascii="Arial" w:hAnsi="Arial" w:cs="Arial"/>
          <w:sz w:val="24"/>
          <w:szCs w:val="24"/>
        </w:rPr>
        <w:t xml:space="preserve"> </w:t>
      </w:r>
      <w:r w:rsidR="008C7929" w:rsidRPr="00B364EE">
        <w:rPr>
          <w:rFonts w:ascii="Arial" w:hAnsi="Arial" w:cs="Arial"/>
          <w:sz w:val="24"/>
          <w:szCs w:val="24"/>
        </w:rPr>
        <w:t>541.8</w:t>
      </w:r>
      <w:r w:rsidRPr="00B364EE">
        <w:rPr>
          <w:rFonts w:ascii="Arial" w:hAnsi="Arial" w:cs="Arial"/>
          <w:sz w:val="24"/>
          <w:szCs w:val="24"/>
        </w:rPr>
        <w:t xml:space="preserve"> </w:t>
      </w:r>
      <w:r w:rsidR="00527145" w:rsidRPr="00B364EE">
        <w:rPr>
          <w:rFonts w:ascii="Arial" w:hAnsi="Arial" w:cs="Arial"/>
          <w:sz w:val="24"/>
          <w:szCs w:val="24"/>
        </w:rPr>
        <w:t>millones de pesos (</w:t>
      </w:r>
      <w:r w:rsidR="00527145" w:rsidRPr="002A0561">
        <w:rPr>
          <w:rFonts w:ascii="Arial" w:hAnsi="Arial" w:cs="Arial"/>
          <w:smallCaps/>
          <w:sz w:val="24"/>
          <w:szCs w:val="24"/>
        </w:rPr>
        <w:t>mdp</w:t>
      </w:r>
      <w:r w:rsidR="00527145" w:rsidRPr="00B364EE">
        <w:rPr>
          <w:rFonts w:ascii="Arial" w:hAnsi="Arial" w:cs="Arial"/>
          <w:sz w:val="24"/>
          <w:szCs w:val="24"/>
        </w:rPr>
        <w:t>)</w:t>
      </w:r>
      <w:r w:rsidRPr="00B364EE">
        <w:rPr>
          <w:rFonts w:ascii="Arial" w:hAnsi="Arial" w:cs="Arial"/>
          <w:sz w:val="24"/>
          <w:szCs w:val="24"/>
        </w:rPr>
        <w:t xml:space="preserve"> para 20</w:t>
      </w:r>
      <w:r w:rsidR="008C7929" w:rsidRPr="00B364EE">
        <w:rPr>
          <w:rFonts w:ascii="Arial" w:hAnsi="Arial" w:cs="Arial"/>
          <w:sz w:val="24"/>
          <w:szCs w:val="24"/>
        </w:rPr>
        <w:t>21</w:t>
      </w:r>
      <w:r w:rsidRPr="00B364EE">
        <w:rPr>
          <w:rFonts w:ascii="Arial" w:hAnsi="Arial" w:cs="Arial"/>
          <w:sz w:val="24"/>
          <w:szCs w:val="24"/>
        </w:rPr>
        <w:t xml:space="preserve"> y </w:t>
      </w:r>
      <w:r w:rsidR="008C7929" w:rsidRPr="00B364EE">
        <w:rPr>
          <w:rFonts w:ascii="Arial" w:hAnsi="Arial" w:cs="Arial"/>
          <w:sz w:val="24"/>
          <w:szCs w:val="24"/>
        </w:rPr>
        <w:t>826</w:t>
      </w:r>
      <w:r w:rsidR="009620ED">
        <w:rPr>
          <w:rFonts w:ascii="Arial" w:hAnsi="Arial" w:cs="Arial"/>
          <w:sz w:val="24"/>
          <w:szCs w:val="24"/>
        </w:rPr>
        <w:t xml:space="preserve"> </w:t>
      </w:r>
      <w:r w:rsidRPr="00B364EE">
        <w:rPr>
          <w:rFonts w:ascii="Arial" w:hAnsi="Arial" w:cs="Arial"/>
          <w:sz w:val="24"/>
          <w:szCs w:val="24"/>
        </w:rPr>
        <w:t>4</w:t>
      </w:r>
      <w:r w:rsidR="008C7929" w:rsidRPr="00B364EE">
        <w:rPr>
          <w:rFonts w:ascii="Arial" w:hAnsi="Arial" w:cs="Arial"/>
          <w:sz w:val="24"/>
          <w:szCs w:val="24"/>
        </w:rPr>
        <w:t>89.5</w:t>
      </w:r>
      <w:r w:rsidRPr="00B364EE">
        <w:rPr>
          <w:rFonts w:ascii="Arial" w:hAnsi="Arial" w:cs="Arial"/>
          <w:sz w:val="24"/>
          <w:szCs w:val="24"/>
        </w:rPr>
        <w:t xml:space="preserve"> </w:t>
      </w:r>
      <w:r w:rsidR="00527145" w:rsidRPr="002A0561">
        <w:rPr>
          <w:rFonts w:ascii="Arial" w:hAnsi="Arial" w:cs="Arial"/>
          <w:smallCaps/>
          <w:sz w:val="24"/>
          <w:szCs w:val="24"/>
        </w:rPr>
        <w:t>mdp</w:t>
      </w:r>
      <w:r w:rsidRPr="00B364EE">
        <w:rPr>
          <w:rFonts w:ascii="Arial" w:hAnsi="Arial" w:cs="Arial"/>
          <w:sz w:val="24"/>
          <w:szCs w:val="24"/>
        </w:rPr>
        <w:t xml:space="preserve"> para 2020. </w:t>
      </w:r>
      <w:r w:rsidR="008C7929" w:rsidRPr="00B364EE">
        <w:rPr>
          <w:rFonts w:ascii="Arial" w:hAnsi="Arial" w:cs="Arial"/>
          <w:sz w:val="24"/>
          <w:szCs w:val="24"/>
        </w:rPr>
        <w:t xml:space="preserve">Lo anterior indica una disminución </w:t>
      </w:r>
      <w:r w:rsidR="00CA6397" w:rsidRPr="00B364EE">
        <w:rPr>
          <w:rFonts w:ascii="Arial" w:hAnsi="Arial" w:cs="Arial"/>
          <w:sz w:val="24"/>
          <w:szCs w:val="24"/>
        </w:rPr>
        <w:t xml:space="preserve">de los ingresos </w:t>
      </w:r>
      <w:r w:rsidR="001B593D" w:rsidRPr="00B364EE">
        <w:rPr>
          <w:rFonts w:ascii="Arial" w:hAnsi="Arial" w:cs="Arial"/>
          <w:sz w:val="24"/>
          <w:szCs w:val="24"/>
        </w:rPr>
        <w:t>de</w:t>
      </w:r>
      <w:r w:rsidR="009B0C7D" w:rsidRPr="00B364EE">
        <w:rPr>
          <w:rFonts w:ascii="Arial" w:hAnsi="Arial" w:cs="Arial"/>
          <w:sz w:val="24"/>
          <w:szCs w:val="24"/>
        </w:rPr>
        <w:t xml:space="preserve"> </w:t>
      </w:r>
      <w:r w:rsidR="008C7929" w:rsidRPr="00B364EE">
        <w:rPr>
          <w:rFonts w:ascii="Arial" w:hAnsi="Arial" w:cs="Arial"/>
          <w:sz w:val="24"/>
          <w:szCs w:val="24"/>
        </w:rPr>
        <w:t xml:space="preserve">4.2 </w:t>
      </w:r>
      <w:r w:rsidR="00393CF7" w:rsidRPr="00B364EE">
        <w:rPr>
          <w:rFonts w:ascii="Arial" w:hAnsi="Arial" w:cs="Arial"/>
          <w:sz w:val="24"/>
          <w:szCs w:val="24"/>
        </w:rPr>
        <w:t>puntos porcentuales</w:t>
      </w:r>
      <w:r w:rsidR="008C7929" w:rsidRPr="00B364EE">
        <w:rPr>
          <w:rFonts w:ascii="Arial" w:hAnsi="Arial" w:cs="Arial"/>
          <w:sz w:val="24"/>
          <w:szCs w:val="24"/>
        </w:rPr>
        <w:t xml:space="preserve"> </w:t>
      </w:r>
      <w:r w:rsidR="009B0C7D" w:rsidRPr="00B364EE">
        <w:rPr>
          <w:rFonts w:ascii="Arial" w:hAnsi="Arial" w:cs="Arial"/>
          <w:sz w:val="24"/>
          <w:szCs w:val="24"/>
        </w:rPr>
        <w:t>para</w:t>
      </w:r>
      <w:r w:rsidR="008C7929" w:rsidRPr="00B364EE">
        <w:rPr>
          <w:rFonts w:ascii="Arial" w:hAnsi="Arial" w:cs="Arial"/>
          <w:sz w:val="24"/>
          <w:szCs w:val="24"/>
        </w:rPr>
        <w:t xml:space="preserve"> 2021, </w:t>
      </w:r>
      <w:r w:rsidR="0083381F" w:rsidRPr="00B364EE">
        <w:rPr>
          <w:rFonts w:ascii="Arial" w:hAnsi="Arial" w:cs="Arial"/>
          <w:sz w:val="24"/>
          <w:szCs w:val="24"/>
        </w:rPr>
        <w:t>en comparación con</w:t>
      </w:r>
      <w:r w:rsidR="008C7929" w:rsidRPr="00B364EE">
        <w:rPr>
          <w:rFonts w:ascii="Arial" w:hAnsi="Arial" w:cs="Arial"/>
          <w:sz w:val="24"/>
          <w:szCs w:val="24"/>
        </w:rPr>
        <w:t xml:space="preserve"> lo registrado en 2020</w:t>
      </w:r>
      <w:r w:rsidR="00FF4151">
        <w:rPr>
          <w:rFonts w:ascii="Arial" w:hAnsi="Arial" w:cs="Arial"/>
          <w:sz w:val="24"/>
          <w:szCs w:val="24"/>
        </w:rPr>
        <w:t xml:space="preserve"> (ver gráfica 4).</w:t>
      </w:r>
    </w:p>
    <w:p w14:paraId="0B7B75C0" w14:textId="22C7638C" w:rsidR="0008691F" w:rsidRDefault="0008691F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5642B811" w14:textId="77777777" w:rsidR="005D1C02" w:rsidRPr="005D1C02" w:rsidRDefault="005D1C02" w:rsidP="002A0561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2AF5DFA" w14:textId="495B3E70" w:rsidR="00AB222B" w:rsidRPr="00B364EE" w:rsidRDefault="00E16D21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B364EE">
        <w:rPr>
          <w:rFonts w:ascii="Arial" w:hAnsi="Arial" w:cs="Arial"/>
          <w:bCs/>
          <w:sz w:val="20"/>
          <w:szCs w:val="20"/>
        </w:rPr>
        <w:t>Gráfica 4</w:t>
      </w:r>
    </w:p>
    <w:p w14:paraId="4002AC1F" w14:textId="4DC81E80" w:rsidR="00E16D21" w:rsidRPr="00B364EE" w:rsidRDefault="00E16D21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B364EE">
        <w:rPr>
          <w:rFonts w:ascii="Arial" w:hAnsi="Arial" w:cs="Arial"/>
          <w:b/>
          <w:bCs/>
          <w:smallCaps/>
        </w:rPr>
        <w:t>Ingresos de comercio internacional de servicios</w:t>
      </w:r>
      <w:r w:rsidR="00CA6397" w:rsidRPr="00B364EE">
        <w:rPr>
          <w:rFonts w:ascii="Arial" w:hAnsi="Arial" w:cs="Arial"/>
          <w:b/>
          <w:bCs/>
          <w:smallCaps/>
        </w:rPr>
        <w:t xml:space="preserve"> </w:t>
      </w:r>
      <w:r w:rsidR="00CE0CE3" w:rsidRPr="00B364EE">
        <w:rPr>
          <w:rFonts w:ascii="Arial" w:hAnsi="Arial" w:cs="Arial"/>
          <w:b/>
          <w:bCs/>
          <w:smallCaps/>
        </w:rPr>
        <w:t>en</w:t>
      </w:r>
      <w:r w:rsidRPr="00B364EE">
        <w:rPr>
          <w:rFonts w:ascii="Arial" w:hAnsi="Arial" w:cs="Arial"/>
          <w:b/>
          <w:bCs/>
          <w:smallCaps/>
        </w:rPr>
        <w:t xml:space="preserve"> 20</w:t>
      </w:r>
      <w:r w:rsidR="00CA6397" w:rsidRPr="00B364EE">
        <w:rPr>
          <w:rFonts w:ascii="Arial" w:hAnsi="Arial" w:cs="Arial"/>
          <w:b/>
          <w:bCs/>
          <w:smallCaps/>
        </w:rPr>
        <w:t>20</w:t>
      </w:r>
      <w:r w:rsidRPr="00B364EE">
        <w:rPr>
          <w:rFonts w:ascii="Arial" w:hAnsi="Arial" w:cs="Arial"/>
          <w:b/>
          <w:bCs/>
          <w:smallCaps/>
        </w:rPr>
        <w:t xml:space="preserve"> y 202</w:t>
      </w:r>
      <w:r w:rsidR="00CA6397" w:rsidRPr="00B364EE">
        <w:rPr>
          <w:rFonts w:ascii="Arial" w:hAnsi="Arial" w:cs="Arial"/>
          <w:b/>
          <w:bCs/>
          <w:smallCaps/>
        </w:rPr>
        <w:t>1</w:t>
      </w:r>
    </w:p>
    <w:p w14:paraId="28F1193C" w14:textId="36083CC4" w:rsidR="001C1781" w:rsidRPr="00B364EE" w:rsidRDefault="001C1781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B364EE">
        <w:rPr>
          <w:rFonts w:ascii="Arial" w:hAnsi="Arial" w:cs="Arial"/>
          <w:sz w:val="18"/>
          <w:szCs w:val="24"/>
        </w:rPr>
        <w:t>(</w:t>
      </w:r>
      <w:r w:rsidR="00FF4151">
        <w:rPr>
          <w:rFonts w:ascii="Arial" w:hAnsi="Arial" w:cs="Arial"/>
          <w:sz w:val="18"/>
          <w:szCs w:val="24"/>
        </w:rPr>
        <w:t>m</w:t>
      </w:r>
      <w:r w:rsidRPr="00B364EE">
        <w:rPr>
          <w:rFonts w:ascii="Arial" w:hAnsi="Arial" w:cs="Arial"/>
          <w:sz w:val="18"/>
          <w:szCs w:val="24"/>
        </w:rPr>
        <w:t>illones de pesos)</w:t>
      </w:r>
    </w:p>
    <w:p w14:paraId="758474AF" w14:textId="77777777" w:rsidR="00D416C0" w:rsidRDefault="008C2F8E" w:rsidP="002A0561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572DB1">
        <w:rPr>
          <w:rFonts w:ascii="Arial" w:hAnsi="Arial" w:cs="Arial"/>
          <w:noProof/>
          <w:color w:val="404040" w:themeColor="text1" w:themeTint="BF"/>
          <w:sz w:val="24"/>
          <w:szCs w:val="24"/>
        </w:rPr>
        <w:drawing>
          <wp:inline distT="0" distB="0" distL="0" distR="0" wp14:anchorId="10BD8F56" wp14:editId="1797408C">
            <wp:extent cx="2638425" cy="176212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8532"/>
                    <a:stretch/>
                  </pic:blipFill>
                  <pic:spPr bwMode="auto">
                    <a:xfrm>
                      <a:off x="0" y="0"/>
                      <a:ext cx="2638985" cy="1762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D18541" w14:textId="77777777" w:rsidR="00FF4151" w:rsidRDefault="00F77F7E" w:rsidP="00FF4151">
      <w:pPr>
        <w:spacing w:after="0" w:line="240" w:lineRule="auto"/>
        <w:ind w:left="2835" w:right="2833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Nota: </w:t>
      </w:r>
      <w:r w:rsidR="00FF4151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</w:t>
      </w:r>
      <w:r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Montos en millones de pesos</w:t>
      </w:r>
      <w:r w:rsidR="00CA6397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r w:rsidR="00D13B2B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a precios </w:t>
      </w:r>
      <w:r w:rsidR="00CA6397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constantes</w:t>
      </w:r>
      <w:r w:rsidR="0009522F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r w:rsidR="00FF4151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</w:t>
      </w:r>
    </w:p>
    <w:p w14:paraId="47639D65" w14:textId="77777777" w:rsidR="00FF4151" w:rsidRDefault="00FF4151" w:rsidP="00FF4151">
      <w:pPr>
        <w:spacing w:after="0" w:line="240" w:lineRule="auto"/>
        <w:ind w:left="2835" w:right="2833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 </w:t>
      </w:r>
      <w:r w:rsidR="00A6312A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Índice</w:t>
      </w:r>
      <w:r w:rsidR="0009522F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Nacional de Precios al Productor</w:t>
      </w:r>
      <w:r w:rsidR="00CA6397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r w:rsidR="0009522F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(</w:t>
      </w:r>
      <w:r w:rsidRPr="00FF4151">
        <w:rPr>
          <w:rFonts w:ascii="Arial" w:eastAsia="+mn-ea" w:hAnsi="Arial" w:cs="Arial"/>
          <w:bCs/>
          <w:smallCaps/>
          <w:kern w:val="24"/>
          <w:sz w:val="16"/>
          <w:szCs w:val="16"/>
          <w:lang w:eastAsia="es-MX"/>
        </w:rPr>
        <w:t>inpp</w:t>
      </w:r>
      <w:r w:rsidR="0009522F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)</w:t>
      </w:r>
      <w:r w:rsidR="00CA6397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</w:p>
    <w:p w14:paraId="46EEDCBA" w14:textId="3E0BE09A" w:rsidR="00FF4151" w:rsidRDefault="00FF4151" w:rsidP="00FF4151">
      <w:pPr>
        <w:spacing w:after="0" w:line="240" w:lineRule="auto"/>
        <w:ind w:left="2835" w:right="2833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 </w:t>
      </w:r>
      <w:r w:rsidR="00D13B2B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promedio </w:t>
      </w:r>
      <w:r w:rsidR="00CA6397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anual 2021 por clase de</w:t>
      </w: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r w:rsidR="00CA6397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actividad </w:t>
      </w:r>
    </w:p>
    <w:p w14:paraId="47DD67F3" w14:textId="36CDD03F" w:rsidR="00D416C0" w:rsidRPr="00B364EE" w:rsidRDefault="00FF4151" w:rsidP="002A0561">
      <w:pPr>
        <w:spacing w:after="0" w:line="240" w:lineRule="auto"/>
        <w:ind w:left="2835" w:right="2833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 </w:t>
      </w:r>
      <w:r w:rsidR="00CA6397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económica.</w:t>
      </w:r>
    </w:p>
    <w:p w14:paraId="54DC12B5" w14:textId="68B444B7" w:rsidR="006B6DCE" w:rsidRDefault="00CA6397" w:rsidP="00FF4151">
      <w:pPr>
        <w:spacing w:after="0" w:line="240" w:lineRule="auto"/>
        <w:ind w:left="2835" w:right="2833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*</w:t>
      </w:r>
      <w:r w:rsidR="00FF4151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</w:t>
      </w:r>
      <w:r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Variación porcentual de 2021 respecto de 2020.</w:t>
      </w:r>
    </w:p>
    <w:p w14:paraId="1BB883FB" w14:textId="35785456" w:rsidR="00FF4151" w:rsidRPr="00B364EE" w:rsidRDefault="00FF4151" w:rsidP="002A0561">
      <w:pPr>
        <w:spacing w:after="0" w:line="240" w:lineRule="auto"/>
        <w:ind w:left="2835" w:right="2833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>,</w:t>
      </w:r>
      <w:r w:rsidR="0008691F">
        <w:rPr>
          <w:rFonts w:ascii="Arial" w:hAnsi="Arial" w:cs="Arial"/>
          <w:bCs/>
          <w:color w:val="000000" w:themeColor="text1"/>
          <w:sz w:val="16"/>
          <w:szCs w:val="16"/>
        </w:rPr>
        <w:t xml:space="preserve"> 2021 y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2022.</w:t>
      </w:r>
    </w:p>
    <w:p w14:paraId="7E26440F" w14:textId="77777777" w:rsidR="0008691F" w:rsidRDefault="0008691F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5811D" w14:textId="589C4595" w:rsidR="004E6CDF" w:rsidRPr="00B364EE" w:rsidRDefault="009620ED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2021, del total de ingresos que las empresas reportaron con base en su tamaño, </w:t>
      </w:r>
      <w:r w:rsidR="008B6096" w:rsidRPr="00B364EE">
        <w:rPr>
          <w:rFonts w:ascii="Arial" w:hAnsi="Arial" w:cs="Arial"/>
          <w:sz w:val="24"/>
          <w:szCs w:val="24"/>
        </w:rPr>
        <w:t>8</w:t>
      </w:r>
      <w:r w:rsidR="009B0C7D" w:rsidRPr="00B364EE">
        <w:rPr>
          <w:rFonts w:ascii="Arial" w:hAnsi="Arial" w:cs="Arial"/>
          <w:sz w:val="24"/>
          <w:szCs w:val="24"/>
        </w:rPr>
        <w:t>1.5</w:t>
      </w:r>
      <w:r w:rsidR="008B6096" w:rsidRPr="00B364EE">
        <w:rPr>
          <w:rFonts w:ascii="Arial" w:hAnsi="Arial" w:cs="Arial"/>
          <w:sz w:val="24"/>
          <w:szCs w:val="24"/>
        </w:rPr>
        <w:t xml:space="preserve"> % lo </w:t>
      </w:r>
      <w:r w:rsidR="00EC2894" w:rsidRPr="00B364EE">
        <w:rPr>
          <w:rFonts w:ascii="Arial" w:hAnsi="Arial" w:cs="Arial"/>
          <w:sz w:val="24"/>
          <w:szCs w:val="24"/>
        </w:rPr>
        <w:t>generaron</w:t>
      </w:r>
      <w:r w:rsidR="009B0C7D" w:rsidRPr="00B364EE">
        <w:rPr>
          <w:rFonts w:ascii="Arial" w:hAnsi="Arial" w:cs="Arial"/>
          <w:sz w:val="24"/>
          <w:szCs w:val="24"/>
        </w:rPr>
        <w:t xml:space="preserve"> </w:t>
      </w:r>
      <w:r w:rsidR="008B6096" w:rsidRPr="00B364EE">
        <w:rPr>
          <w:rFonts w:ascii="Arial" w:hAnsi="Arial" w:cs="Arial"/>
          <w:sz w:val="24"/>
          <w:szCs w:val="24"/>
        </w:rPr>
        <w:t>las empresas</w:t>
      </w:r>
      <w:r w:rsidR="00EC2894" w:rsidRPr="00B364EE">
        <w:rPr>
          <w:rFonts w:ascii="Arial" w:hAnsi="Arial" w:cs="Arial"/>
          <w:sz w:val="24"/>
          <w:szCs w:val="24"/>
        </w:rPr>
        <w:t xml:space="preserve"> </w:t>
      </w:r>
      <w:r w:rsidR="008E55CD">
        <w:rPr>
          <w:rFonts w:ascii="Arial" w:hAnsi="Arial" w:cs="Arial"/>
          <w:sz w:val="24"/>
          <w:szCs w:val="24"/>
        </w:rPr>
        <w:t>«</w:t>
      </w:r>
      <w:r w:rsidR="00EC2894" w:rsidRPr="00B364EE">
        <w:rPr>
          <w:rFonts w:ascii="Arial" w:hAnsi="Arial" w:cs="Arial"/>
          <w:sz w:val="24"/>
          <w:szCs w:val="24"/>
        </w:rPr>
        <w:t>grandes</w:t>
      </w:r>
      <w:r w:rsidR="008E55C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  <w:r w:rsidR="008B6096" w:rsidRPr="00B364EE">
        <w:rPr>
          <w:rFonts w:ascii="Arial" w:hAnsi="Arial" w:cs="Arial"/>
          <w:sz w:val="24"/>
          <w:szCs w:val="24"/>
        </w:rPr>
        <w:t xml:space="preserve"> </w:t>
      </w:r>
      <w:r w:rsidR="009B0C7D" w:rsidRPr="00B364EE">
        <w:rPr>
          <w:rFonts w:ascii="Arial" w:hAnsi="Arial" w:cs="Arial"/>
          <w:sz w:val="24"/>
          <w:szCs w:val="24"/>
        </w:rPr>
        <w:t>11.1</w:t>
      </w:r>
      <w:r w:rsidR="008B6096" w:rsidRPr="00B364EE">
        <w:rPr>
          <w:rFonts w:ascii="Arial" w:hAnsi="Arial" w:cs="Arial"/>
          <w:sz w:val="24"/>
          <w:szCs w:val="24"/>
        </w:rPr>
        <w:t xml:space="preserve"> %</w:t>
      </w:r>
      <w:r>
        <w:rPr>
          <w:rFonts w:ascii="Arial" w:hAnsi="Arial" w:cs="Arial"/>
          <w:sz w:val="24"/>
          <w:szCs w:val="24"/>
        </w:rPr>
        <w:t>,</w:t>
      </w:r>
      <w:r w:rsidR="008B6096" w:rsidRPr="00B364EE">
        <w:rPr>
          <w:rFonts w:ascii="Arial" w:hAnsi="Arial" w:cs="Arial"/>
          <w:sz w:val="24"/>
          <w:szCs w:val="24"/>
        </w:rPr>
        <w:t xml:space="preserve"> las </w:t>
      </w:r>
      <w:r w:rsidR="008E55CD">
        <w:rPr>
          <w:rFonts w:ascii="Arial" w:hAnsi="Arial" w:cs="Arial"/>
          <w:sz w:val="24"/>
          <w:szCs w:val="24"/>
        </w:rPr>
        <w:t>«</w:t>
      </w:r>
      <w:r w:rsidR="008B6096" w:rsidRPr="00B364EE">
        <w:rPr>
          <w:rFonts w:ascii="Arial" w:hAnsi="Arial" w:cs="Arial"/>
          <w:sz w:val="24"/>
          <w:szCs w:val="24"/>
        </w:rPr>
        <w:t>medianas</w:t>
      </w:r>
      <w:r w:rsidR="008E55C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  <w:r w:rsidR="009B0C7D" w:rsidRPr="00B364EE">
        <w:rPr>
          <w:rFonts w:ascii="Arial" w:hAnsi="Arial" w:cs="Arial"/>
          <w:sz w:val="24"/>
          <w:szCs w:val="24"/>
        </w:rPr>
        <w:t xml:space="preserve"> 7.3</w:t>
      </w:r>
      <w:r w:rsidR="008B6096" w:rsidRPr="00B364EE">
        <w:rPr>
          <w:rFonts w:ascii="Arial" w:hAnsi="Arial" w:cs="Arial"/>
          <w:sz w:val="24"/>
          <w:szCs w:val="24"/>
        </w:rPr>
        <w:t xml:space="preserve"> %</w:t>
      </w:r>
      <w:r>
        <w:rPr>
          <w:rFonts w:ascii="Arial" w:hAnsi="Arial" w:cs="Arial"/>
          <w:sz w:val="24"/>
          <w:szCs w:val="24"/>
        </w:rPr>
        <w:t>,</w:t>
      </w:r>
      <w:r w:rsidR="008B6096" w:rsidRPr="00B364EE">
        <w:rPr>
          <w:rFonts w:ascii="Arial" w:hAnsi="Arial" w:cs="Arial"/>
          <w:sz w:val="24"/>
          <w:szCs w:val="24"/>
        </w:rPr>
        <w:t xml:space="preserve"> las </w:t>
      </w:r>
      <w:r w:rsidR="008E55CD">
        <w:rPr>
          <w:rFonts w:ascii="Arial" w:hAnsi="Arial" w:cs="Arial"/>
          <w:sz w:val="24"/>
          <w:szCs w:val="24"/>
        </w:rPr>
        <w:t>«</w:t>
      </w:r>
      <w:r w:rsidR="008B6096" w:rsidRPr="00B364EE">
        <w:rPr>
          <w:rFonts w:ascii="Arial" w:hAnsi="Arial" w:cs="Arial"/>
          <w:sz w:val="24"/>
          <w:szCs w:val="24"/>
        </w:rPr>
        <w:t>pequeñas</w:t>
      </w:r>
      <w:r w:rsidR="008E55CD">
        <w:rPr>
          <w:rFonts w:ascii="Arial" w:hAnsi="Arial" w:cs="Arial"/>
          <w:sz w:val="24"/>
          <w:szCs w:val="24"/>
        </w:rPr>
        <w:t>»</w:t>
      </w:r>
      <w:r w:rsidR="008B6096" w:rsidRPr="00B364EE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        </w:t>
      </w:r>
      <w:r w:rsidR="009B0C7D" w:rsidRPr="00B364EE">
        <w:rPr>
          <w:rFonts w:ascii="Arial" w:hAnsi="Arial" w:cs="Arial"/>
          <w:sz w:val="24"/>
          <w:szCs w:val="24"/>
        </w:rPr>
        <w:t>0.04</w:t>
      </w:r>
      <w:r w:rsidR="008B6096" w:rsidRPr="00B364EE">
        <w:rPr>
          <w:rFonts w:ascii="Arial" w:hAnsi="Arial" w:cs="Arial"/>
          <w:sz w:val="24"/>
          <w:szCs w:val="24"/>
        </w:rPr>
        <w:t xml:space="preserve"> %</w:t>
      </w:r>
      <w:r>
        <w:rPr>
          <w:rFonts w:ascii="Arial" w:hAnsi="Arial" w:cs="Arial"/>
          <w:sz w:val="24"/>
          <w:szCs w:val="24"/>
        </w:rPr>
        <w:t>,</w:t>
      </w:r>
      <w:r w:rsidR="008B6096" w:rsidRPr="00B364EE">
        <w:rPr>
          <w:rFonts w:ascii="Arial" w:hAnsi="Arial" w:cs="Arial"/>
          <w:sz w:val="24"/>
          <w:szCs w:val="24"/>
        </w:rPr>
        <w:t xml:space="preserve"> las </w:t>
      </w:r>
      <w:r w:rsidR="008E55CD">
        <w:rPr>
          <w:rFonts w:ascii="Arial" w:hAnsi="Arial" w:cs="Arial"/>
          <w:sz w:val="24"/>
          <w:szCs w:val="24"/>
        </w:rPr>
        <w:t>«</w:t>
      </w:r>
      <w:r w:rsidR="008B6096" w:rsidRPr="00B364EE">
        <w:rPr>
          <w:rFonts w:ascii="Arial" w:hAnsi="Arial" w:cs="Arial"/>
          <w:sz w:val="24"/>
          <w:szCs w:val="24"/>
        </w:rPr>
        <w:t>micro</w:t>
      </w:r>
      <w:r w:rsidR="008E55CD">
        <w:rPr>
          <w:rFonts w:ascii="Arial" w:hAnsi="Arial" w:cs="Arial"/>
          <w:sz w:val="24"/>
          <w:szCs w:val="24"/>
        </w:rPr>
        <w:t>»</w:t>
      </w:r>
      <w:r w:rsidR="00FF4151">
        <w:rPr>
          <w:rFonts w:ascii="Arial" w:hAnsi="Arial" w:cs="Arial"/>
          <w:sz w:val="24"/>
          <w:szCs w:val="24"/>
        </w:rPr>
        <w:t xml:space="preserve"> (ver gráfica 5).</w:t>
      </w:r>
    </w:p>
    <w:p w14:paraId="33E22A31" w14:textId="77777777" w:rsidR="004E6CDF" w:rsidRDefault="004E6CDF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6DFE99DD" w14:textId="77777777" w:rsidR="00FA6E19" w:rsidRDefault="00FA6E19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60D08AE8" w14:textId="4E372062" w:rsidR="00660619" w:rsidRPr="00B364EE" w:rsidRDefault="005D4D8F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B364EE">
        <w:rPr>
          <w:rFonts w:ascii="Arial" w:hAnsi="Arial" w:cs="Arial"/>
          <w:bCs/>
          <w:sz w:val="20"/>
          <w:szCs w:val="20"/>
        </w:rPr>
        <w:t>Gráfica 5</w:t>
      </w:r>
    </w:p>
    <w:p w14:paraId="36DEF8F3" w14:textId="7D28FF54" w:rsidR="008C2F8E" w:rsidRPr="00B364EE" w:rsidRDefault="002C46BD" w:rsidP="002A0561">
      <w:pPr>
        <w:spacing w:after="0" w:line="240" w:lineRule="auto"/>
        <w:jc w:val="center"/>
        <w:rPr>
          <w:noProof/>
        </w:rPr>
      </w:pPr>
      <w:r>
        <w:rPr>
          <w:rFonts w:ascii="Arial" w:hAnsi="Arial" w:cs="Arial"/>
          <w:b/>
          <w:bCs/>
          <w:smallCaps/>
        </w:rPr>
        <w:t>Participación de los i</w:t>
      </w:r>
      <w:r w:rsidR="000C5C51" w:rsidRPr="00B364EE">
        <w:rPr>
          <w:rFonts w:ascii="Arial" w:hAnsi="Arial" w:cs="Arial"/>
          <w:b/>
          <w:bCs/>
          <w:smallCaps/>
        </w:rPr>
        <w:t xml:space="preserve">ngresos </w:t>
      </w:r>
      <w:r w:rsidR="00A27BC8" w:rsidRPr="00B364EE">
        <w:rPr>
          <w:rFonts w:ascii="Arial" w:hAnsi="Arial" w:cs="Arial"/>
          <w:b/>
          <w:bCs/>
          <w:smallCaps/>
        </w:rPr>
        <w:t>de comercio internacional de servicios, por tamaño de empresa</w:t>
      </w:r>
      <w:r w:rsidR="00CE0CE3" w:rsidRPr="00B364EE">
        <w:rPr>
          <w:rFonts w:ascii="Arial" w:hAnsi="Arial" w:cs="Arial"/>
          <w:b/>
          <w:bCs/>
          <w:smallCaps/>
        </w:rPr>
        <w:t xml:space="preserve"> en</w:t>
      </w:r>
      <w:r w:rsidR="00A27BC8" w:rsidRPr="00B364EE">
        <w:rPr>
          <w:rFonts w:ascii="Arial" w:hAnsi="Arial" w:cs="Arial"/>
          <w:b/>
          <w:bCs/>
          <w:smallCaps/>
        </w:rPr>
        <w:t xml:space="preserve"> 20</w:t>
      </w:r>
      <w:r w:rsidR="000C5C51" w:rsidRPr="00B364EE">
        <w:rPr>
          <w:rFonts w:ascii="Arial" w:hAnsi="Arial" w:cs="Arial"/>
          <w:b/>
          <w:bCs/>
          <w:smallCaps/>
        </w:rPr>
        <w:t>21</w:t>
      </w:r>
    </w:p>
    <w:p w14:paraId="0DC00599" w14:textId="58AF772A" w:rsidR="001C1781" w:rsidRPr="00B364EE" w:rsidRDefault="001C1781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B364EE">
        <w:rPr>
          <w:rFonts w:ascii="Arial" w:hAnsi="Arial" w:cs="Arial"/>
          <w:sz w:val="18"/>
          <w:szCs w:val="24"/>
        </w:rPr>
        <w:t>(</w:t>
      </w:r>
      <w:r w:rsidR="00FF4151">
        <w:rPr>
          <w:rFonts w:ascii="Arial" w:hAnsi="Arial" w:cs="Arial"/>
          <w:sz w:val="18"/>
          <w:szCs w:val="24"/>
        </w:rPr>
        <w:t>p</w:t>
      </w:r>
      <w:r w:rsidRPr="00B364EE">
        <w:rPr>
          <w:rFonts w:ascii="Arial" w:hAnsi="Arial" w:cs="Arial"/>
          <w:sz w:val="18"/>
          <w:szCs w:val="24"/>
        </w:rPr>
        <w:t>orcentaje)</w:t>
      </w:r>
    </w:p>
    <w:p w14:paraId="17112932" w14:textId="7D277F7C" w:rsidR="005D4D8F" w:rsidRPr="00FF36F0" w:rsidRDefault="00A524C2" w:rsidP="002A0561">
      <w:pPr>
        <w:spacing w:after="120" w:line="240" w:lineRule="auto"/>
        <w:jc w:val="center"/>
        <w:rPr>
          <w:noProof/>
          <w:color w:val="404040" w:themeColor="text1" w:themeTint="BF"/>
        </w:rPr>
      </w:pPr>
      <w:r>
        <w:rPr>
          <w:noProof/>
        </w:rPr>
        <w:drawing>
          <wp:inline distT="0" distB="0" distL="0" distR="0" wp14:anchorId="6F52A9C9" wp14:editId="689B2707">
            <wp:extent cx="4492800" cy="2246400"/>
            <wp:effectExtent l="0" t="0" r="3175" b="190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92800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2884E" w14:textId="77777777" w:rsidR="00FF4151" w:rsidRDefault="005D4D8F" w:rsidP="00FF4151">
      <w:pPr>
        <w:spacing w:after="0" w:line="240" w:lineRule="auto"/>
        <w:ind w:left="1701" w:right="1699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Nota:</w:t>
      </w:r>
      <w:r w:rsidR="000C5C51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bookmarkStart w:id="4" w:name="_Hlk146713960"/>
      <w:r w:rsidR="00FF4151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</w:t>
      </w:r>
      <w:r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Porcentajes obtenidos respecto del total de </w:t>
      </w:r>
      <w:r w:rsidR="000C5C51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ingresos </w:t>
      </w:r>
      <w:r w:rsidR="00D13B2B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a precios </w:t>
      </w:r>
      <w:r w:rsidR="000C5C51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constantes </w:t>
      </w:r>
      <w:r w:rsidR="00FF4151" w:rsidRPr="00FF4151">
        <w:rPr>
          <w:rFonts w:ascii="Arial" w:eastAsia="+mn-ea" w:hAnsi="Arial" w:cs="Arial"/>
          <w:bCs/>
          <w:smallCaps/>
          <w:kern w:val="24"/>
          <w:sz w:val="16"/>
          <w:szCs w:val="16"/>
          <w:lang w:eastAsia="es-MX"/>
        </w:rPr>
        <w:t>inpp</w:t>
      </w:r>
      <w:r w:rsidR="00D13B2B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</w:p>
    <w:p w14:paraId="1983A5F2" w14:textId="29F13CF6" w:rsidR="00D416C0" w:rsidRPr="00B364EE" w:rsidRDefault="00FF4151" w:rsidP="002A0561">
      <w:pPr>
        <w:spacing w:after="0" w:line="240" w:lineRule="auto"/>
        <w:ind w:left="1701" w:right="1699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</w:t>
      </w:r>
      <w:r w:rsidR="00D13B2B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promedio</w:t>
      </w:r>
      <w:r w:rsidR="000C5C51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anual 2021 por clase de actividad económica.</w:t>
      </w:r>
      <w:bookmarkEnd w:id="4"/>
    </w:p>
    <w:p w14:paraId="79E3A0DF" w14:textId="28D82710" w:rsidR="00D416C0" w:rsidRPr="00B364EE" w:rsidRDefault="00D416C0" w:rsidP="002A0561">
      <w:pPr>
        <w:spacing w:after="0" w:line="240" w:lineRule="auto"/>
        <w:ind w:left="1701" w:right="1699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</w:t>
      </w:r>
      <w:r w:rsidR="00FF4151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</w:t>
      </w:r>
      <w:r w:rsidR="005D4D8F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La suma de los </w:t>
      </w:r>
      <w:r w:rsidR="000C5C51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porcentajes puede </w:t>
      </w:r>
      <w:r w:rsidR="005D4D8F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no </w:t>
      </w:r>
      <w:r w:rsidR="002C46BD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corresponder al </w:t>
      </w:r>
      <w:r w:rsidR="00642EBB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100</w:t>
      </w:r>
      <w:r w:rsidR="002C46BD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.0 %</w:t>
      </w:r>
      <w:r w:rsidR="005D4D8F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debido al redonde</w:t>
      </w:r>
      <w:r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o.</w:t>
      </w:r>
    </w:p>
    <w:p w14:paraId="52CA28ED" w14:textId="6978ED7C" w:rsidR="00FF36F0" w:rsidRDefault="00FF4151" w:rsidP="00902A81">
      <w:pPr>
        <w:spacing w:after="0" w:line="240" w:lineRule="auto"/>
        <w:ind w:left="2268" w:right="1699" w:hanging="567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</w:t>
      </w:r>
      <w:r w:rsidR="00642EBB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Estratificación </w:t>
      </w:r>
      <w:proofErr w:type="spellStart"/>
      <w:r w:rsidR="00642EBB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bivariada</w:t>
      </w:r>
      <w:proofErr w:type="spellEnd"/>
      <w:r w:rsidR="00642EBB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del </w:t>
      </w:r>
      <w:proofErr w:type="spellStart"/>
      <w:r w:rsidRPr="00FF4151">
        <w:rPr>
          <w:rFonts w:ascii="Arial" w:eastAsia="+mn-ea" w:hAnsi="Arial" w:cs="Arial"/>
          <w:bCs/>
          <w:smallCaps/>
          <w:kern w:val="24"/>
          <w:sz w:val="16"/>
          <w:szCs w:val="16"/>
          <w:lang w:eastAsia="es-MX"/>
        </w:rPr>
        <w:t>dof</w:t>
      </w:r>
      <w:proofErr w:type="spellEnd"/>
      <w:r w:rsidR="00642EBB" w:rsidRPr="00B364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del 30 de junio de 2009 de acuerdo con la clasificación de personal ocupado y sector económico.</w:t>
      </w:r>
      <w:bookmarkStart w:id="5" w:name="_Hlk146200505"/>
      <w:bookmarkEnd w:id="5"/>
    </w:p>
    <w:p w14:paraId="19924B71" w14:textId="15ECF437" w:rsidR="00FF4151" w:rsidRPr="00B364EE" w:rsidRDefault="00FF4151" w:rsidP="002A0561">
      <w:pPr>
        <w:spacing w:after="0" w:line="240" w:lineRule="auto"/>
        <w:ind w:left="1701" w:right="1699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inegi. ecis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, 2022.</w:t>
      </w:r>
    </w:p>
    <w:p w14:paraId="35B8EDE3" w14:textId="77777777" w:rsidR="00300A11" w:rsidRDefault="00300A11" w:rsidP="002A056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6A385DE" w14:textId="77777777" w:rsidR="00A524C2" w:rsidRDefault="00A524C2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F17FB2" w14:textId="77777777" w:rsidR="00A524C2" w:rsidRDefault="00A524C2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A351BC" w14:textId="0A536FB7" w:rsidR="005235CE" w:rsidRPr="00B364EE" w:rsidRDefault="00FE2DCD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4EE">
        <w:rPr>
          <w:rFonts w:ascii="Arial" w:hAnsi="Arial" w:cs="Arial"/>
          <w:sz w:val="24"/>
          <w:szCs w:val="24"/>
        </w:rPr>
        <w:t>Por gran sector de actividad económica, del total de ingresos reportados en 2021, 82.2 % correspond</w:t>
      </w:r>
      <w:r w:rsidR="00FF4151">
        <w:rPr>
          <w:rFonts w:ascii="Arial" w:hAnsi="Arial" w:cs="Arial"/>
          <w:sz w:val="24"/>
          <w:szCs w:val="24"/>
        </w:rPr>
        <w:t>ió</w:t>
      </w:r>
      <w:r w:rsidRPr="00B364EE">
        <w:rPr>
          <w:rFonts w:ascii="Arial" w:hAnsi="Arial" w:cs="Arial"/>
          <w:sz w:val="24"/>
          <w:szCs w:val="24"/>
        </w:rPr>
        <w:t xml:space="preserve"> a las empresas del </w:t>
      </w:r>
      <w:r w:rsidRPr="00073DC5">
        <w:rPr>
          <w:rFonts w:ascii="Arial" w:hAnsi="Arial" w:cs="Arial"/>
          <w:sz w:val="24"/>
          <w:szCs w:val="24"/>
        </w:rPr>
        <w:t xml:space="preserve">sector </w:t>
      </w:r>
      <w:r w:rsidR="00D0593F" w:rsidRPr="00073DC5">
        <w:rPr>
          <w:rFonts w:ascii="Arial" w:hAnsi="Arial" w:cs="Arial"/>
          <w:sz w:val="24"/>
          <w:szCs w:val="24"/>
        </w:rPr>
        <w:t>«</w:t>
      </w:r>
      <w:r w:rsidRPr="00073DC5">
        <w:rPr>
          <w:rFonts w:ascii="Arial" w:hAnsi="Arial" w:cs="Arial"/>
          <w:sz w:val="24"/>
          <w:szCs w:val="24"/>
        </w:rPr>
        <w:t>industria</w:t>
      </w:r>
      <w:r w:rsidR="00D0593F" w:rsidRPr="00073DC5">
        <w:rPr>
          <w:rFonts w:ascii="Arial" w:hAnsi="Arial" w:cs="Arial"/>
          <w:sz w:val="24"/>
          <w:szCs w:val="24"/>
        </w:rPr>
        <w:t>»</w:t>
      </w:r>
      <w:r w:rsidRPr="00073DC5">
        <w:rPr>
          <w:rFonts w:ascii="Arial" w:hAnsi="Arial" w:cs="Arial"/>
          <w:sz w:val="24"/>
          <w:szCs w:val="24"/>
        </w:rPr>
        <w:t>,</w:t>
      </w:r>
      <w:r w:rsidRPr="00B364EE">
        <w:rPr>
          <w:rFonts w:ascii="Arial" w:hAnsi="Arial" w:cs="Arial"/>
          <w:sz w:val="24"/>
          <w:szCs w:val="24"/>
        </w:rPr>
        <w:t xml:space="preserve"> 1.3 % a las del sector </w:t>
      </w:r>
      <w:r w:rsidR="00D0593F">
        <w:rPr>
          <w:rFonts w:ascii="Arial" w:hAnsi="Arial" w:cs="Arial"/>
          <w:sz w:val="24"/>
          <w:szCs w:val="24"/>
        </w:rPr>
        <w:t>«</w:t>
      </w:r>
      <w:r w:rsidR="00914013">
        <w:rPr>
          <w:rFonts w:ascii="Arial" w:hAnsi="Arial" w:cs="Arial"/>
          <w:sz w:val="24"/>
          <w:szCs w:val="24"/>
        </w:rPr>
        <w:t>c</w:t>
      </w:r>
      <w:r w:rsidRPr="00B364EE">
        <w:rPr>
          <w:rFonts w:ascii="Arial" w:hAnsi="Arial" w:cs="Arial"/>
          <w:sz w:val="24"/>
          <w:szCs w:val="24"/>
        </w:rPr>
        <w:t>omercio</w:t>
      </w:r>
      <w:r w:rsidR="00D0593F">
        <w:rPr>
          <w:rFonts w:ascii="Arial" w:hAnsi="Arial" w:cs="Arial"/>
          <w:sz w:val="24"/>
          <w:szCs w:val="24"/>
        </w:rPr>
        <w:t>»</w:t>
      </w:r>
      <w:r w:rsidRPr="00B364EE">
        <w:rPr>
          <w:rFonts w:ascii="Arial" w:hAnsi="Arial" w:cs="Arial"/>
          <w:sz w:val="24"/>
          <w:szCs w:val="24"/>
        </w:rPr>
        <w:t xml:space="preserve"> y</w:t>
      </w:r>
      <w:r w:rsidR="009620ED">
        <w:rPr>
          <w:rFonts w:ascii="Arial" w:hAnsi="Arial" w:cs="Arial"/>
          <w:sz w:val="24"/>
          <w:szCs w:val="24"/>
        </w:rPr>
        <w:t xml:space="preserve">      </w:t>
      </w:r>
      <w:r w:rsidRPr="00B364EE">
        <w:rPr>
          <w:rFonts w:ascii="Arial" w:hAnsi="Arial" w:cs="Arial"/>
          <w:sz w:val="24"/>
          <w:szCs w:val="24"/>
        </w:rPr>
        <w:t xml:space="preserve"> 16.5 % al sector </w:t>
      </w:r>
      <w:r w:rsidR="00D0593F">
        <w:rPr>
          <w:rFonts w:ascii="Arial" w:hAnsi="Arial" w:cs="Arial"/>
          <w:sz w:val="24"/>
          <w:szCs w:val="24"/>
        </w:rPr>
        <w:t>«</w:t>
      </w:r>
      <w:r w:rsidR="00914013">
        <w:rPr>
          <w:rFonts w:ascii="Arial" w:hAnsi="Arial" w:cs="Arial"/>
          <w:sz w:val="24"/>
          <w:szCs w:val="24"/>
        </w:rPr>
        <w:t>s</w:t>
      </w:r>
      <w:r w:rsidRPr="00B364EE">
        <w:rPr>
          <w:rFonts w:ascii="Arial" w:hAnsi="Arial" w:cs="Arial"/>
          <w:sz w:val="24"/>
          <w:szCs w:val="24"/>
        </w:rPr>
        <w:t>ervicios</w:t>
      </w:r>
      <w:r w:rsidR="00D0593F">
        <w:rPr>
          <w:rFonts w:ascii="Arial" w:hAnsi="Arial" w:cs="Arial"/>
          <w:sz w:val="24"/>
          <w:szCs w:val="24"/>
        </w:rPr>
        <w:t>»</w:t>
      </w:r>
      <w:r w:rsidRPr="00B364EE">
        <w:rPr>
          <w:rFonts w:ascii="Arial" w:hAnsi="Arial" w:cs="Arial"/>
          <w:sz w:val="24"/>
          <w:szCs w:val="24"/>
        </w:rPr>
        <w:t xml:space="preserve">. Para 2020, los ingresos reportados por empresas del sector </w:t>
      </w:r>
      <w:r w:rsidR="00D0593F">
        <w:rPr>
          <w:rFonts w:ascii="Arial" w:hAnsi="Arial" w:cs="Arial"/>
          <w:sz w:val="24"/>
          <w:szCs w:val="24"/>
        </w:rPr>
        <w:t>«</w:t>
      </w:r>
      <w:r w:rsidRPr="00B364EE">
        <w:rPr>
          <w:rFonts w:ascii="Arial" w:hAnsi="Arial" w:cs="Arial"/>
          <w:sz w:val="24"/>
          <w:szCs w:val="24"/>
        </w:rPr>
        <w:t>industria</w:t>
      </w:r>
      <w:r w:rsidR="00D0593F">
        <w:rPr>
          <w:rFonts w:ascii="Arial" w:hAnsi="Arial" w:cs="Arial"/>
          <w:sz w:val="24"/>
          <w:szCs w:val="24"/>
        </w:rPr>
        <w:t>»</w:t>
      </w:r>
      <w:r w:rsidRPr="00B364EE">
        <w:rPr>
          <w:rFonts w:ascii="Arial" w:hAnsi="Arial" w:cs="Arial"/>
          <w:sz w:val="24"/>
          <w:szCs w:val="24"/>
        </w:rPr>
        <w:t xml:space="preserve"> cubrieron 83.1 %</w:t>
      </w:r>
      <w:r w:rsidR="00E07A9D" w:rsidRPr="00B364EE">
        <w:rPr>
          <w:rFonts w:ascii="Arial" w:hAnsi="Arial" w:cs="Arial"/>
          <w:sz w:val="24"/>
          <w:szCs w:val="24"/>
        </w:rPr>
        <w:t>,</w:t>
      </w:r>
      <w:r w:rsidRPr="00B364EE">
        <w:rPr>
          <w:rFonts w:ascii="Arial" w:hAnsi="Arial" w:cs="Arial"/>
          <w:sz w:val="24"/>
          <w:szCs w:val="24"/>
        </w:rPr>
        <w:t xml:space="preserve"> el sector </w:t>
      </w:r>
      <w:r w:rsidR="00D0593F">
        <w:rPr>
          <w:rFonts w:ascii="Arial" w:hAnsi="Arial" w:cs="Arial"/>
          <w:sz w:val="24"/>
          <w:szCs w:val="24"/>
        </w:rPr>
        <w:t>«</w:t>
      </w:r>
      <w:r w:rsidRPr="00B364EE">
        <w:rPr>
          <w:rFonts w:ascii="Arial" w:hAnsi="Arial" w:cs="Arial"/>
          <w:sz w:val="24"/>
          <w:szCs w:val="24"/>
        </w:rPr>
        <w:t>comercio</w:t>
      </w:r>
      <w:r w:rsidR="00D0593F">
        <w:rPr>
          <w:rFonts w:ascii="Arial" w:hAnsi="Arial" w:cs="Arial"/>
          <w:sz w:val="24"/>
          <w:szCs w:val="24"/>
        </w:rPr>
        <w:t>»</w:t>
      </w:r>
      <w:r w:rsidRPr="00B364EE">
        <w:rPr>
          <w:rFonts w:ascii="Arial" w:hAnsi="Arial" w:cs="Arial"/>
          <w:sz w:val="24"/>
          <w:szCs w:val="24"/>
        </w:rPr>
        <w:t xml:space="preserve"> </w:t>
      </w:r>
      <w:r w:rsidR="00FF4151" w:rsidRPr="00B364EE">
        <w:rPr>
          <w:rFonts w:ascii="Arial" w:hAnsi="Arial" w:cs="Arial"/>
          <w:sz w:val="24"/>
          <w:szCs w:val="24"/>
        </w:rPr>
        <w:t xml:space="preserve">1.5 % </w:t>
      </w:r>
      <w:r w:rsidRPr="00B364EE">
        <w:rPr>
          <w:rFonts w:ascii="Arial" w:hAnsi="Arial" w:cs="Arial"/>
          <w:sz w:val="24"/>
          <w:szCs w:val="24"/>
        </w:rPr>
        <w:t xml:space="preserve">y el sector </w:t>
      </w:r>
      <w:r w:rsidR="00D0593F">
        <w:rPr>
          <w:rFonts w:ascii="Arial" w:hAnsi="Arial" w:cs="Arial"/>
          <w:sz w:val="24"/>
          <w:szCs w:val="24"/>
        </w:rPr>
        <w:t>«</w:t>
      </w:r>
      <w:r w:rsidRPr="00B364EE">
        <w:rPr>
          <w:rFonts w:ascii="Arial" w:hAnsi="Arial" w:cs="Arial"/>
          <w:sz w:val="24"/>
          <w:szCs w:val="24"/>
        </w:rPr>
        <w:t>servicios</w:t>
      </w:r>
      <w:r w:rsidR="00D0593F">
        <w:rPr>
          <w:rFonts w:ascii="Arial" w:hAnsi="Arial" w:cs="Arial"/>
          <w:sz w:val="24"/>
          <w:szCs w:val="24"/>
        </w:rPr>
        <w:t>»</w:t>
      </w:r>
      <w:r w:rsidR="00FF4151">
        <w:rPr>
          <w:rFonts w:ascii="Arial" w:hAnsi="Arial" w:cs="Arial"/>
          <w:sz w:val="24"/>
          <w:szCs w:val="24"/>
        </w:rPr>
        <w:t xml:space="preserve"> </w:t>
      </w:r>
      <w:r w:rsidR="00FF4151" w:rsidRPr="00B364EE">
        <w:rPr>
          <w:rFonts w:ascii="Arial" w:hAnsi="Arial" w:cs="Arial"/>
          <w:sz w:val="24"/>
          <w:szCs w:val="24"/>
        </w:rPr>
        <w:t xml:space="preserve">15.4 </w:t>
      </w:r>
      <w:r w:rsidR="00FF4151">
        <w:rPr>
          <w:rFonts w:ascii="Arial" w:hAnsi="Arial" w:cs="Arial"/>
          <w:sz w:val="24"/>
          <w:szCs w:val="24"/>
        </w:rPr>
        <w:t>por ciento</w:t>
      </w:r>
      <w:r w:rsidRPr="00B364EE">
        <w:rPr>
          <w:rFonts w:ascii="Arial" w:hAnsi="Arial" w:cs="Arial"/>
          <w:sz w:val="24"/>
          <w:szCs w:val="24"/>
        </w:rPr>
        <w:t xml:space="preserve">. </w:t>
      </w:r>
      <w:r w:rsidR="00665EAE" w:rsidRPr="00B364EE">
        <w:rPr>
          <w:rFonts w:ascii="Arial" w:hAnsi="Arial" w:cs="Arial"/>
          <w:sz w:val="24"/>
          <w:szCs w:val="24"/>
        </w:rPr>
        <w:t xml:space="preserve">Al comparar </w:t>
      </w:r>
      <w:r w:rsidRPr="00B364EE">
        <w:rPr>
          <w:rFonts w:ascii="Arial" w:hAnsi="Arial" w:cs="Arial"/>
          <w:sz w:val="24"/>
          <w:szCs w:val="24"/>
        </w:rPr>
        <w:t xml:space="preserve">2020 </w:t>
      </w:r>
      <w:r w:rsidR="00665EAE" w:rsidRPr="00B364EE">
        <w:rPr>
          <w:rFonts w:ascii="Arial" w:hAnsi="Arial" w:cs="Arial"/>
          <w:sz w:val="24"/>
          <w:szCs w:val="24"/>
        </w:rPr>
        <w:t xml:space="preserve">con </w:t>
      </w:r>
      <w:r w:rsidRPr="00B364EE">
        <w:rPr>
          <w:rFonts w:ascii="Arial" w:hAnsi="Arial" w:cs="Arial"/>
          <w:sz w:val="24"/>
          <w:szCs w:val="24"/>
        </w:rPr>
        <w:t>2021, se registró un</w:t>
      </w:r>
      <w:r w:rsidR="009620ED">
        <w:rPr>
          <w:rFonts w:ascii="Arial" w:hAnsi="Arial" w:cs="Arial"/>
          <w:sz w:val="24"/>
          <w:szCs w:val="24"/>
        </w:rPr>
        <w:t xml:space="preserve"> decremento d</w:t>
      </w:r>
      <w:r w:rsidRPr="00B364EE">
        <w:rPr>
          <w:rFonts w:ascii="Arial" w:hAnsi="Arial" w:cs="Arial"/>
          <w:sz w:val="24"/>
          <w:szCs w:val="24"/>
        </w:rPr>
        <w:t xml:space="preserve">e la participación del sector </w:t>
      </w:r>
      <w:r w:rsidR="00D0593F">
        <w:rPr>
          <w:rFonts w:ascii="Arial" w:hAnsi="Arial" w:cs="Arial"/>
          <w:sz w:val="24"/>
          <w:szCs w:val="24"/>
        </w:rPr>
        <w:t>«</w:t>
      </w:r>
      <w:r w:rsidRPr="00B364EE">
        <w:rPr>
          <w:rFonts w:ascii="Arial" w:hAnsi="Arial" w:cs="Arial"/>
          <w:sz w:val="24"/>
          <w:szCs w:val="24"/>
        </w:rPr>
        <w:t>industria</w:t>
      </w:r>
      <w:r w:rsidR="00D0593F">
        <w:rPr>
          <w:rFonts w:ascii="Arial" w:hAnsi="Arial" w:cs="Arial"/>
          <w:sz w:val="24"/>
          <w:szCs w:val="24"/>
        </w:rPr>
        <w:t>»</w:t>
      </w:r>
      <w:r w:rsidRPr="00B364EE">
        <w:rPr>
          <w:rFonts w:ascii="Arial" w:hAnsi="Arial" w:cs="Arial"/>
          <w:sz w:val="24"/>
          <w:szCs w:val="24"/>
        </w:rPr>
        <w:t xml:space="preserve"> de 0.9</w:t>
      </w:r>
      <w:r w:rsidR="00E07A9D" w:rsidRPr="00B364EE">
        <w:rPr>
          <w:rFonts w:ascii="Arial" w:hAnsi="Arial" w:cs="Arial"/>
          <w:sz w:val="24"/>
          <w:szCs w:val="24"/>
        </w:rPr>
        <w:t xml:space="preserve"> puntos porcentuales</w:t>
      </w:r>
      <w:r w:rsidRPr="00B364EE">
        <w:rPr>
          <w:rFonts w:ascii="Arial" w:hAnsi="Arial" w:cs="Arial"/>
          <w:sz w:val="24"/>
          <w:szCs w:val="24"/>
        </w:rPr>
        <w:t xml:space="preserve"> y 0.2 </w:t>
      </w:r>
      <w:r w:rsidR="00E07A9D" w:rsidRPr="00B364EE">
        <w:rPr>
          <w:rFonts w:ascii="Arial" w:hAnsi="Arial" w:cs="Arial"/>
          <w:sz w:val="24"/>
          <w:szCs w:val="24"/>
        </w:rPr>
        <w:t>puntos porcentuales</w:t>
      </w:r>
      <w:r w:rsidRPr="00B364EE">
        <w:rPr>
          <w:rFonts w:ascii="Arial" w:hAnsi="Arial" w:cs="Arial"/>
          <w:sz w:val="24"/>
          <w:szCs w:val="24"/>
        </w:rPr>
        <w:t xml:space="preserve"> del sector </w:t>
      </w:r>
      <w:r w:rsidR="00D0593F">
        <w:rPr>
          <w:rFonts w:ascii="Arial" w:hAnsi="Arial" w:cs="Arial"/>
          <w:sz w:val="24"/>
          <w:szCs w:val="24"/>
        </w:rPr>
        <w:t>«</w:t>
      </w:r>
      <w:r w:rsidRPr="00B364EE">
        <w:rPr>
          <w:rFonts w:ascii="Arial" w:hAnsi="Arial" w:cs="Arial"/>
          <w:sz w:val="24"/>
          <w:szCs w:val="24"/>
        </w:rPr>
        <w:t>comercio</w:t>
      </w:r>
      <w:r w:rsidR="00D0593F">
        <w:rPr>
          <w:rFonts w:ascii="Arial" w:hAnsi="Arial" w:cs="Arial"/>
          <w:sz w:val="24"/>
          <w:szCs w:val="24"/>
        </w:rPr>
        <w:t>»</w:t>
      </w:r>
      <w:r w:rsidRPr="00B364EE">
        <w:rPr>
          <w:rFonts w:ascii="Arial" w:hAnsi="Arial" w:cs="Arial"/>
          <w:sz w:val="24"/>
          <w:szCs w:val="24"/>
        </w:rPr>
        <w:t xml:space="preserve">, mientras que para el sector </w:t>
      </w:r>
      <w:r w:rsidR="00D0593F">
        <w:rPr>
          <w:rFonts w:ascii="Arial" w:hAnsi="Arial" w:cs="Arial"/>
          <w:sz w:val="24"/>
          <w:szCs w:val="24"/>
        </w:rPr>
        <w:t>«</w:t>
      </w:r>
      <w:r w:rsidRPr="00B364EE">
        <w:rPr>
          <w:rFonts w:ascii="Arial" w:hAnsi="Arial" w:cs="Arial"/>
          <w:sz w:val="24"/>
          <w:szCs w:val="24"/>
        </w:rPr>
        <w:t>servicios</w:t>
      </w:r>
      <w:r w:rsidR="00D0593F">
        <w:rPr>
          <w:rFonts w:ascii="Arial" w:hAnsi="Arial" w:cs="Arial"/>
          <w:sz w:val="24"/>
          <w:szCs w:val="24"/>
        </w:rPr>
        <w:t>»</w:t>
      </w:r>
      <w:r w:rsidRPr="00B364EE">
        <w:rPr>
          <w:rFonts w:ascii="Arial" w:hAnsi="Arial" w:cs="Arial"/>
          <w:sz w:val="24"/>
          <w:szCs w:val="24"/>
        </w:rPr>
        <w:t xml:space="preserve"> se incrementó</w:t>
      </w:r>
      <w:r w:rsidR="00612D69" w:rsidRPr="00B364EE">
        <w:rPr>
          <w:rFonts w:ascii="Arial" w:hAnsi="Arial" w:cs="Arial"/>
          <w:sz w:val="24"/>
          <w:szCs w:val="24"/>
        </w:rPr>
        <w:t xml:space="preserve"> </w:t>
      </w:r>
      <w:r w:rsidRPr="00B364EE">
        <w:rPr>
          <w:rFonts w:ascii="Arial" w:hAnsi="Arial" w:cs="Arial"/>
          <w:sz w:val="24"/>
          <w:szCs w:val="24"/>
        </w:rPr>
        <w:t>1.1 puntos porcentuales</w:t>
      </w:r>
      <w:r w:rsidR="007E7BEE">
        <w:rPr>
          <w:rFonts w:ascii="Arial" w:hAnsi="Arial" w:cs="Arial"/>
          <w:sz w:val="24"/>
          <w:szCs w:val="24"/>
        </w:rPr>
        <w:t>, lo que se puede ver en la gráfica 6.</w:t>
      </w:r>
    </w:p>
    <w:p w14:paraId="4C1DA108" w14:textId="77777777" w:rsidR="001E4D22" w:rsidRDefault="001E4D22" w:rsidP="002A056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1E6FD3C" w14:textId="3368A767" w:rsidR="00AB222B" w:rsidRPr="00B364EE" w:rsidRDefault="00FE2DCD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B364EE">
        <w:rPr>
          <w:rFonts w:ascii="Arial" w:hAnsi="Arial" w:cs="Arial"/>
          <w:bCs/>
          <w:sz w:val="20"/>
          <w:szCs w:val="20"/>
        </w:rPr>
        <w:t>Gráfica 6</w:t>
      </w:r>
    </w:p>
    <w:p w14:paraId="52236949" w14:textId="3C523475" w:rsidR="00FE2DCD" w:rsidRPr="00B364EE" w:rsidRDefault="002C46BD" w:rsidP="002A05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mallCaps/>
        </w:rPr>
        <w:t>Participación de los i</w:t>
      </w:r>
      <w:r w:rsidR="00FE2DCD" w:rsidRPr="00B364EE">
        <w:rPr>
          <w:rFonts w:ascii="Arial" w:hAnsi="Arial" w:cs="Arial"/>
          <w:b/>
          <w:bCs/>
          <w:smallCaps/>
        </w:rPr>
        <w:t>ngresos</w:t>
      </w:r>
      <w:r w:rsidR="007B6B16">
        <w:rPr>
          <w:rFonts w:ascii="Arial" w:hAnsi="Arial" w:cs="Arial"/>
          <w:b/>
          <w:bCs/>
          <w:smallCaps/>
        </w:rPr>
        <w:t xml:space="preserve"> </w:t>
      </w:r>
      <w:r w:rsidR="00FE2DCD" w:rsidRPr="00B364EE">
        <w:rPr>
          <w:rFonts w:ascii="Arial" w:hAnsi="Arial" w:cs="Arial"/>
          <w:b/>
          <w:bCs/>
          <w:smallCaps/>
        </w:rPr>
        <w:t>de comercio internacional de servicios, por gran sector en 2020 y 2021</w:t>
      </w:r>
    </w:p>
    <w:p w14:paraId="3F81E6B9" w14:textId="24C8776B" w:rsidR="00AC1DFC" w:rsidRPr="00B364EE" w:rsidRDefault="00AC1DFC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B364EE">
        <w:rPr>
          <w:rFonts w:ascii="Arial" w:hAnsi="Arial" w:cs="Arial"/>
          <w:sz w:val="18"/>
          <w:szCs w:val="24"/>
        </w:rPr>
        <w:t>(</w:t>
      </w:r>
      <w:r w:rsidR="007E7BEE">
        <w:rPr>
          <w:rFonts w:ascii="Arial" w:hAnsi="Arial" w:cs="Arial"/>
          <w:sz w:val="18"/>
          <w:szCs w:val="24"/>
        </w:rPr>
        <w:t>p</w:t>
      </w:r>
      <w:r w:rsidRPr="00B364EE">
        <w:rPr>
          <w:rFonts w:ascii="Arial" w:hAnsi="Arial" w:cs="Arial"/>
          <w:sz w:val="18"/>
          <w:szCs w:val="24"/>
        </w:rPr>
        <w:t>orcentaje)</w:t>
      </w:r>
    </w:p>
    <w:p w14:paraId="0A036C48" w14:textId="3C78BD90" w:rsidR="0033245C" w:rsidRDefault="00A524C2" w:rsidP="002A0561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7F0D0491" wp14:editId="3348F838">
            <wp:extent cx="5133176" cy="2160000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3317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CBA21" w14:textId="2D921673" w:rsidR="007E7BEE" w:rsidRDefault="00FE2DCD" w:rsidP="007E7BEE">
      <w:pPr>
        <w:spacing w:after="0" w:line="240" w:lineRule="auto"/>
        <w:ind w:left="1418" w:right="1416"/>
        <w:jc w:val="both"/>
        <w:rPr>
          <w:rFonts w:ascii="Arial" w:hAnsi="Arial" w:cs="Arial"/>
          <w:bCs/>
          <w:sz w:val="16"/>
          <w:szCs w:val="16"/>
        </w:rPr>
      </w:pPr>
      <w:r w:rsidRPr="00B364EE">
        <w:rPr>
          <w:rFonts w:ascii="Arial" w:hAnsi="Arial" w:cs="Arial"/>
          <w:bCs/>
          <w:sz w:val="16"/>
          <w:szCs w:val="16"/>
        </w:rPr>
        <w:t xml:space="preserve">Nota: </w:t>
      </w:r>
      <w:r w:rsidR="007E7BEE">
        <w:rPr>
          <w:rFonts w:ascii="Arial" w:hAnsi="Arial" w:cs="Arial"/>
          <w:bCs/>
          <w:sz w:val="16"/>
          <w:szCs w:val="16"/>
        </w:rPr>
        <w:t xml:space="preserve">   </w:t>
      </w:r>
      <w:r w:rsidR="00D13B2B" w:rsidRPr="00B364EE">
        <w:rPr>
          <w:rFonts w:ascii="Arial" w:hAnsi="Arial" w:cs="Arial"/>
          <w:bCs/>
          <w:sz w:val="16"/>
          <w:szCs w:val="16"/>
        </w:rPr>
        <w:t xml:space="preserve">Porcentajes obtenidos respecto del total de ingresos a precios constantes </w:t>
      </w:r>
      <w:r w:rsidR="00914013" w:rsidRPr="002A0561">
        <w:rPr>
          <w:rFonts w:ascii="Arial" w:hAnsi="Arial" w:cs="Arial"/>
          <w:bCs/>
          <w:smallCaps/>
          <w:sz w:val="16"/>
          <w:szCs w:val="16"/>
        </w:rPr>
        <w:t>inpp</w:t>
      </w:r>
      <w:r w:rsidR="00914013" w:rsidRPr="00B364EE">
        <w:rPr>
          <w:rFonts w:ascii="Arial" w:hAnsi="Arial" w:cs="Arial"/>
          <w:bCs/>
          <w:sz w:val="16"/>
          <w:szCs w:val="16"/>
        </w:rPr>
        <w:t xml:space="preserve"> </w:t>
      </w:r>
      <w:r w:rsidR="00D13B2B" w:rsidRPr="00B364EE">
        <w:rPr>
          <w:rFonts w:ascii="Arial" w:hAnsi="Arial" w:cs="Arial"/>
          <w:bCs/>
          <w:sz w:val="16"/>
          <w:szCs w:val="16"/>
        </w:rPr>
        <w:t xml:space="preserve">promedio </w:t>
      </w:r>
    </w:p>
    <w:p w14:paraId="399E828A" w14:textId="4B4A1C9E" w:rsidR="002847B8" w:rsidRDefault="007E7BEE" w:rsidP="002A0561">
      <w:pPr>
        <w:spacing w:after="0" w:line="240" w:lineRule="auto"/>
        <w:ind w:left="1418" w:right="141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D13B2B" w:rsidRPr="00B364EE">
        <w:rPr>
          <w:rFonts w:ascii="Arial" w:hAnsi="Arial" w:cs="Arial"/>
          <w:bCs/>
          <w:sz w:val="16"/>
          <w:szCs w:val="16"/>
        </w:rPr>
        <w:t>anual 2021 por clase de actividad económica.</w:t>
      </w:r>
    </w:p>
    <w:p w14:paraId="6813CF70" w14:textId="728D4153" w:rsidR="007E7BEE" w:rsidRPr="00B364EE" w:rsidRDefault="007E7BEE" w:rsidP="002A0561">
      <w:pPr>
        <w:spacing w:after="0" w:line="240" w:lineRule="auto"/>
        <w:ind w:left="1701" w:right="1699" w:hanging="283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073DC5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5FAF3045" w14:textId="77777777" w:rsidR="00F91550" w:rsidRDefault="00F91550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505446" w14:textId="38B35029" w:rsidR="00073DC5" w:rsidRDefault="00FE2DCD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4EE">
        <w:rPr>
          <w:rFonts w:ascii="Arial" w:hAnsi="Arial" w:cs="Arial"/>
          <w:sz w:val="24"/>
          <w:szCs w:val="24"/>
        </w:rPr>
        <w:t xml:space="preserve">Respecto de los gastos </w:t>
      </w:r>
      <w:r w:rsidR="00665EAE" w:rsidRPr="00B364EE">
        <w:rPr>
          <w:rFonts w:ascii="Arial" w:hAnsi="Arial" w:cs="Arial"/>
          <w:sz w:val="24"/>
          <w:szCs w:val="24"/>
        </w:rPr>
        <w:t xml:space="preserve">a precios constantes </w:t>
      </w:r>
      <w:r w:rsidRPr="00B364EE">
        <w:rPr>
          <w:rFonts w:ascii="Arial" w:hAnsi="Arial" w:cs="Arial"/>
          <w:sz w:val="24"/>
          <w:szCs w:val="24"/>
        </w:rPr>
        <w:t xml:space="preserve">de </w:t>
      </w:r>
      <w:r w:rsidR="007E7BEE" w:rsidRPr="007E7BEE">
        <w:rPr>
          <w:rFonts w:ascii="Arial" w:hAnsi="Arial" w:cs="Arial"/>
          <w:smallCaps/>
          <w:sz w:val="24"/>
          <w:szCs w:val="24"/>
        </w:rPr>
        <w:t>cis</w:t>
      </w:r>
      <w:r w:rsidRPr="00B364EE">
        <w:rPr>
          <w:rFonts w:ascii="Arial" w:hAnsi="Arial" w:cs="Arial"/>
          <w:sz w:val="24"/>
          <w:szCs w:val="24"/>
        </w:rPr>
        <w:t xml:space="preserve">, las empresas reportaron un total de </w:t>
      </w:r>
      <w:r w:rsidR="007E7BEE">
        <w:rPr>
          <w:rFonts w:ascii="Arial" w:hAnsi="Arial" w:cs="Arial"/>
          <w:sz w:val="24"/>
          <w:szCs w:val="24"/>
        </w:rPr>
        <w:br/>
      </w:r>
      <w:r w:rsidRPr="00B364EE">
        <w:rPr>
          <w:rFonts w:ascii="Arial" w:hAnsi="Arial" w:cs="Arial"/>
          <w:sz w:val="24"/>
          <w:szCs w:val="24"/>
        </w:rPr>
        <w:t>222</w:t>
      </w:r>
      <w:r w:rsidR="002C46BD">
        <w:rPr>
          <w:rFonts w:ascii="Arial" w:hAnsi="Arial" w:cs="Arial"/>
          <w:sz w:val="24"/>
          <w:szCs w:val="24"/>
        </w:rPr>
        <w:t xml:space="preserve"> </w:t>
      </w:r>
      <w:r w:rsidRPr="00B364EE">
        <w:rPr>
          <w:rFonts w:ascii="Arial" w:hAnsi="Arial" w:cs="Arial"/>
          <w:sz w:val="24"/>
          <w:szCs w:val="24"/>
        </w:rPr>
        <w:t xml:space="preserve">717.6 </w:t>
      </w:r>
      <w:proofErr w:type="spellStart"/>
      <w:r w:rsidRPr="002A0561">
        <w:rPr>
          <w:rFonts w:ascii="Arial" w:hAnsi="Arial" w:cs="Arial"/>
          <w:smallCaps/>
          <w:sz w:val="24"/>
          <w:szCs w:val="24"/>
        </w:rPr>
        <w:t>mdp</w:t>
      </w:r>
      <w:proofErr w:type="spellEnd"/>
      <w:r w:rsidRPr="00B364EE">
        <w:rPr>
          <w:rFonts w:ascii="Arial" w:hAnsi="Arial" w:cs="Arial"/>
          <w:sz w:val="24"/>
          <w:szCs w:val="24"/>
        </w:rPr>
        <w:t xml:space="preserve"> para 2021 y 259</w:t>
      </w:r>
      <w:r w:rsidR="007E7BEE">
        <w:rPr>
          <w:rFonts w:ascii="Arial" w:hAnsi="Arial" w:cs="Arial"/>
          <w:sz w:val="24"/>
          <w:szCs w:val="24"/>
        </w:rPr>
        <w:t xml:space="preserve"> </w:t>
      </w:r>
      <w:r w:rsidRPr="00B364EE">
        <w:rPr>
          <w:rFonts w:ascii="Arial" w:hAnsi="Arial" w:cs="Arial"/>
          <w:sz w:val="24"/>
          <w:szCs w:val="24"/>
        </w:rPr>
        <w:t xml:space="preserve">140.1 </w:t>
      </w:r>
      <w:r w:rsidRPr="002A0561">
        <w:rPr>
          <w:rFonts w:ascii="Arial" w:hAnsi="Arial" w:cs="Arial"/>
          <w:smallCaps/>
          <w:sz w:val="24"/>
          <w:szCs w:val="24"/>
        </w:rPr>
        <w:t>mdp</w:t>
      </w:r>
      <w:r w:rsidRPr="00B364EE">
        <w:rPr>
          <w:rFonts w:ascii="Arial" w:hAnsi="Arial" w:cs="Arial"/>
          <w:sz w:val="24"/>
          <w:szCs w:val="24"/>
        </w:rPr>
        <w:t xml:space="preserve"> para 2020</w:t>
      </w:r>
      <w:r w:rsidR="00914013">
        <w:rPr>
          <w:rFonts w:ascii="Arial" w:hAnsi="Arial" w:cs="Arial"/>
          <w:sz w:val="24"/>
          <w:szCs w:val="24"/>
        </w:rPr>
        <w:t xml:space="preserve">. Esto </w:t>
      </w:r>
      <w:r w:rsidRPr="00B364EE">
        <w:rPr>
          <w:rFonts w:ascii="Arial" w:hAnsi="Arial" w:cs="Arial"/>
          <w:sz w:val="24"/>
          <w:szCs w:val="24"/>
        </w:rPr>
        <w:t xml:space="preserve">representó un decremento de </w:t>
      </w:r>
      <w:r w:rsidR="00F91550">
        <w:rPr>
          <w:rFonts w:ascii="Arial" w:hAnsi="Arial" w:cs="Arial"/>
          <w:sz w:val="24"/>
          <w:szCs w:val="24"/>
        </w:rPr>
        <w:t xml:space="preserve">    </w:t>
      </w:r>
      <w:r w:rsidRPr="00B364EE">
        <w:rPr>
          <w:rFonts w:ascii="Arial" w:hAnsi="Arial" w:cs="Arial"/>
          <w:sz w:val="24"/>
          <w:szCs w:val="24"/>
        </w:rPr>
        <w:t>14.1</w:t>
      </w:r>
      <w:r w:rsidR="00AC7AED" w:rsidRPr="00B364EE">
        <w:rPr>
          <w:rFonts w:ascii="Arial" w:hAnsi="Arial" w:cs="Arial"/>
          <w:sz w:val="24"/>
          <w:szCs w:val="24"/>
        </w:rPr>
        <w:t xml:space="preserve"> </w:t>
      </w:r>
      <w:r w:rsidR="00E07A9D" w:rsidRPr="00B364EE">
        <w:rPr>
          <w:rFonts w:ascii="Arial" w:hAnsi="Arial" w:cs="Arial"/>
          <w:sz w:val="24"/>
          <w:szCs w:val="24"/>
        </w:rPr>
        <w:t>puntos porcentuales</w:t>
      </w:r>
      <w:r w:rsidRPr="00B364EE">
        <w:rPr>
          <w:rFonts w:ascii="Arial" w:hAnsi="Arial" w:cs="Arial"/>
          <w:sz w:val="24"/>
          <w:szCs w:val="24"/>
        </w:rPr>
        <w:t xml:space="preserve"> en 2021 con relación a lo registrado en 2020</w:t>
      </w:r>
      <w:r w:rsidR="007E7BEE">
        <w:rPr>
          <w:rFonts w:ascii="Arial" w:hAnsi="Arial" w:cs="Arial"/>
          <w:sz w:val="24"/>
          <w:szCs w:val="24"/>
        </w:rPr>
        <w:t xml:space="preserve"> (ver gráfica 7).</w:t>
      </w:r>
    </w:p>
    <w:p w14:paraId="6FF78F2B" w14:textId="11674567" w:rsidR="00A524C2" w:rsidRDefault="00A524C2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41DE37B7" w14:textId="77777777" w:rsidR="0017170C" w:rsidRPr="00167EB0" w:rsidRDefault="0017170C" w:rsidP="002A056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2F3C0F7" w14:textId="128AF031" w:rsidR="005329DC" w:rsidRPr="009A5AD6" w:rsidRDefault="00FE2DCD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9A5AD6">
        <w:rPr>
          <w:rFonts w:ascii="Arial" w:hAnsi="Arial" w:cs="Arial"/>
          <w:bCs/>
          <w:sz w:val="20"/>
          <w:szCs w:val="20"/>
        </w:rPr>
        <w:t xml:space="preserve">Gráfica </w:t>
      </w:r>
      <w:r w:rsidR="00AC7AED" w:rsidRPr="009A5AD6">
        <w:rPr>
          <w:rFonts w:ascii="Arial" w:hAnsi="Arial" w:cs="Arial"/>
          <w:bCs/>
          <w:sz w:val="20"/>
          <w:szCs w:val="20"/>
        </w:rPr>
        <w:t>7</w:t>
      </w:r>
    </w:p>
    <w:p w14:paraId="5E9850F9" w14:textId="5216FEB3" w:rsidR="00E07A9D" w:rsidRPr="009A5AD6" w:rsidRDefault="00FE2DCD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9A5AD6">
        <w:rPr>
          <w:rFonts w:ascii="Arial" w:hAnsi="Arial" w:cs="Arial"/>
          <w:b/>
          <w:bCs/>
          <w:smallCaps/>
        </w:rPr>
        <w:t>Gastos de comercio internacional de servicios en 2020 y 2021</w:t>
      </w:r>
    </w:p>
    <w:p w14:paraId="74150AAF" w14:textId="08D82B90" w:rsidR="00AC1DFC" w:rsidRPr="009A5AD6" w:rsidRDefault="00AC1DFC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</w:t>
      </w:r>
      <w:r w:rsidR="007E7BEE">
        <w:rPr>
          <w:rFonts w:ascii="Arial" w:hAnsi="Arial" w:cs="Arial"/>
          <w:sz w:val="18"/>
          <w:szCs w:val="24"/>
        </w:rPr>
        <w:t>m</w:t>
      </w:r>
      <w:r w:rsidRPr="009A5AD6">
        <w:rPr>
          <w:rFonts w:ascii="Arial" w:hAnsi="Arial" w:cs="Arial"/>
          <w:sz w:val="18"/>
          <w:szCs w:val="24"/>
        </w:rPr>
        <w:t>illones de pesos)</w:t>
      </w:r>
    </w:p>
    <w:p w14:paraId="6CD3FE60" w14:textId="77777777" w:rsidR="0033245C" w:rsidRDefault="00F25939" w:rsidP="002A0561">
      <w:pPr>
        <w:spacing w:after="0" w:line="240" w:lineRule="auto"/>
        <w:jc w:val="center"/>
        <w:rPr>
          <w:color w:val="404040" w:themeColor="text1" w:themeTint="BF"/>
        </w:rPr>
      </w:pPr>
      <w:r w:rsidRPr="00572DB1">
        <w:rPr>
          <w:noProof/>
          <w:color w:val="404040" w:themeColor="text1" w:themeTint="BF"/>
        </w:rPr>
        <w:drawing>
          <wp:inline distT="0" distB="0" distL="0" distR="0" wp14:anchorId="683A973A" wp14:editId="714893A0">
            <wp:extent cx="2836545" cy="2200275"/>
            <wp:effectExtent l="0" t="0" r="1905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5604"/>
                    <a:stretch/>
                  </pic:blipFill>
                  <pic:spPr bwMode="auto">
                    <a:xfrm>
                      <a:off x="0" y="0"/>
                      <a:ext cx="2838597" cy="2201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E8AC3" w14:textId="7091A31D" w:rsidR="007E7BEE" w:rsidRDefault="00FE2DCD" w:rsidP="007E7BEE">
      <w:pPr>
        <w:spacing w:after="0" w:line="240" w:lineRule="auto"/>
        <w:ind w:left="2835" w:right="2691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Nota: </w:t>
      </w:r>
      <w:r w:rsidR="007E7B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</w:t>
      </w:r>
      <w:r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Montos en millones de pesos</w:t>
      </w:r>
      <w:r w:rsidR="00D13B2B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a precios</w:t>
      </w:r>
      <w:r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constantes </w:t>
      </w:r>
    </w:p>
    <w:p w14:paraId="229C2A22" w14:textId="548E2201" w:rsidR="007E7BEE" w:rsidRDefault="007E7BEE" w:rsidP="007E7BEE">
      <w:pPr>
        <w:spacing w:after="0" w:line="240" w:lineRule="auto"/>
        <w:ind w:left="2835" w:right="2691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</w:t>
      </w:r>
      <w:r w:rsidRPr="007E7BEE">
        <w:rPr>
          <w:rFonts w:ascii="Arial" w:eastAsia="+mn-ea" w:hAnsi="Arial" w:cs="Arial"/>
          <w:bCs/>
          <w:smallCaps/>
          <w:kern w:val="24"/>
          <w:sz w:val="16"/>
          <w:szCs w:val="16"/>
          <w:lang w:eastAsia="es-MX"/>
        </w:rPr>
        <w:t>inpp</w:t>
      </w:r>
      <w:r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r w:rsidR="00D13B2B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promedio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anual 2021 por clase de actividad </w:t>
      </w:r>
    </w:p>
    <w:p w14:paraId="13BC43F1" w14:textId="3AFDD93B" w:rsidR="0033245C" w:rsidRPr="009A5AD6" w:rsidRDefault="007E7BEE" w:rsidP="002A0561">
      <w:pPr>
        <w:spacing w:after="0" w:line="240" w:lineRule="auto"/>
        <w:ind w:left="2835" w:right="2691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económica.</w:t>
      </w:r>
    </w:p>
    <w:p w14:paraId="41728B7A" w14:textId="680BE9DC" w:rsidR="009712CB" w:rsidRDefault="00FE2DCD" w:rsidP="007E7BEE">
      <w:pPr>
        <w:spacing w:after="0" w:line="240" w:lineRule="auto"/>
        <w:ind w:left="2835" w:right="2691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*</w:t>
      </w:r>
      <w:r w:rsidR="007E7B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</w:t>
      </w:r>
      <w:r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Variación porcentual de 2021 respecto de 2020.</w:t>
      </w:r>
    </w:p>
    <w:p w14:paraId="61B855F3" w14:textId="20FA5966" w:rsidR="007E7BEE" w:rsidRPr="00B364EE" w:rsidRDefault="007E7BEE" w:rsidP="002A0561">
      <w:pPr>
        <w:spacing w:after="0" w:line="240" w:lineRule="auto"/>
        <w:ind w:left="2977" w:right="1699" w:hanging="142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1D7536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7CE4B53F" w14:textId="77777777" w:rsidR="00073DC5" w:rsidRDefault="00073DC5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53565C" w14:textId="1A7B07BE" w:rsidR="00D1007F" w:rsidRPr="009A5AD6" w:rsidRDefault="007C2750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2021, los porcentajes de </w:t>
      </w:r>
      <w:r w:rsidR="00FE2DCD" w:rsidRPr="009A5AD6">
        <w:rPr>
          <w:rFonts w:ascii="Arial" w:hAnsi="Arial" w:cs="Arial"/>
          <w:sz w:val="24"/>
          <w:szCs w:val="24"/>
        </w:rPr>
        <w:t xml:space="preserve">gastos de </w:t>
      </w:r>
      <w:r w:rsidR="007E7BEE" w:rsidRPr="007E7BEE">
        <w:rPr>
          <w:rFonts w:ascii="Arial" w:hAnsi="Arial" w:cs="Arial"/>
          <w:smallCaps/>
          <w:sz w:val="24"/>
          <w:szCs w:val="24"/>
        </w:rPr>
        <w:t>cis</w:t>
      </w:r>
      <w:r>
        <w:rPr>
          <w:rFonts w:ascii="Arial" w:hAnsi="Arial" w:cs="Arial"/>
          <w:smallCaps/>
          <w:sz w:val="24"/>
          <w:szCs w:val="24"/>
        </w:rPr>
        <w:t>,</w:t>
      </w:r>
      <w:r w:rsidR="00FE2DCD" w:rsidRPr="009A5AD6">
        <w:rPr>
          <w:rFonts w:ascii="Arial" w:hAnsi="Arial" w:cs="Arial"/>
          <w:sz w:val="24"/>
          <w:szCs w:val="24"/>
        </w:rPr>
        <w:t xml:space="preserve"> por tamaño de empresa</w:t>
      </w:r>
      <w:r>
        <w:rPr>
          <w:rFonts w:ascii="Arial" w:hAnsi="Arial" w:cs="Arial"/>
          <w:sz w:val="24"/>
          <w:szCs w:val="24"/>
        </w:rPr>
        <w:t>,</w:t>
      </w:r>
      <w:r w:rsidR="00FE2DCD" w:rsidRPr="009A5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fueron los siguientes:</w:t>
      </w:r>
      <w:r w:rsidR="00FE2DCD" w:rsidRPr="009A5AD6">
        <w:rPr>
          <w:rFonts w:ascii="Arial" w:hAnsi="Arial" w:cs="Arial"/>
          <w:sz w:val="24"/>
          <w:szCs w:val="24"/>
        </w:rPr>
        <w:t xml:space="preserve"> </w:t>
      </w:r>
      <w:r w:rsidR="00914013">
        <w:rPr>
          <w:rFonts w:ascii="Arial" w:hAnsi="Arial" w:cs="Arial"/>
          <w:sz w:val="24"/>
          <w:szCs w:val="24"/>
        </w:rPr>
        <w:t>las «</w:t>
      </w:r>
      <w:r w:rsidR="00914013" w:rsidRPr="009A5AD6">
        <w:rPr>
          <w:rFonts w:ascii="Arial" w:hAnsi="Arial" w:cs="Arial"/>
          <w:sz w:val="24"/>
          <w:szCs w:val="24"/>
        </w:rPr>
        <w:t>grandes</w:t>
      </w:r>
      <w:r w:rsidR="00914013">
        <w:rPr>
          <w:rFonts w:ascii="Arial" w:hAnsi="Arial" w:cs="Arial"/>
          <w:sz w:val="24"/>
          <w:szCs w:val="24"/>
        </w:rPr>
        <w:t xml:space="preserve">» realizaron </w:t>
      </w:r>
      <w:r>
        <w:rPr>
          <w:rFonts w:ascii="Arial" w:hAnsi="Arial" w:cs="Arial"/>
          <w:sz w:val="24"/>
          <w:szCs w:val="24"/>
        </w:rPr>
        <w:t xml:space="preserve">un </w:t>
      </w:r>
      <w:r w:rsidR="00FE2DCD" w:rsidRPr="009A5AD6">
        <w:rPr>
          <w:rFonts w:ascii="Arial" w:hAnsi="Arial" w:cs="Arial"/>
          <w:sz w:val="24"/>
          <w:szCs w:val="24"/>
        </w:rPr>
        <w:t>82.6 %</w:t>
      </w:r>
      <w:r>
        <w:rPr>
          <w:rFonts w:ascii="Arial" w:hAnsi="Arial" w:cs="Arial"/>
          <w:sz w:val="24"/>
          <w:szCs w:val="24"/>
        </w:rPr>
        <w:t>;</w:t>
      </w:r>
      <w:r w:rsidR="00914013">
        <w:rPr>
          <w:rFonts w:ascii="Arial" w:hAnsi="Arial" w:cs="Arial"/>
          <w:sz w:val="24"/>
          <w:szCs w:val="24"/>
        </w:rPr>
        <w:t xml:space="preserve"> las «medianas», un</w:t>
      </w:r>
      <w:r w:rsidR="00FE2DCD" w:rsidRPr="009A5AD6">
        <w:rPr>
          <w:rFonts w:ascii="Arial" w:hAnsi="Arial" w:cs="Arial"/>
          <w:sz w:val="24"/>
          <w:szCs w:val="24"/>
        </w:rPr>
        <w:t xml:space="preserve"> 11.3 %</w:t>
      </w:r>
      <w:r>
        <w:rPr>
          <w:rFonts w:ascii="Arial" w:hAnsi="Arial" w:cs="Arial"/>
          <w:sz w:val="24"/>
          <w:szCs w:val="24"/>
        </w:rPr>
        <w:t>;</w:t>
      </w:r>
      <w:r w:rsidR="00914013">
        <w:rPr>
          <w:rFonts w:ascii="Arial" w:hAnsi="Arial" w:cs="Arial"/>
          <w:sz w:val="24"/>
          <w:szCs w:val="24"/>
        </w:rPr>
        <w:t xml:space="preserve"> las «</w:t>
      </w:r>
      <w:r w:rsidR="00914013" w:rsidRPr="009A5AD6">
        <w:rPr>
          <w:rFonts w:ascii="Arial" w:hAnsi="Arial" w:cs="Arial"/>
          <w:sz w:val="24"/>
          <w:szCs w:val="24"/>
        </w:rPr>
        <w:t>pequeñas</w:t>
      </w:r>
      <w:r w:rsidR="00914013">
        <w:rPr>
          <w:rFonts w:ascii="Arial" w:hAnsi="Arial" w:cs="Arial"/>
          <w:sz w:val="24"/>
          <w:szCs w:val="24"/>
        </w:rPr>
        <w:t>», un</w:t>
      </w:r>
      <w:r w:rsidR="00FE2DCD" w:rsidRPr="009A5AD6">
        <w:rPr>
          <w:rFonts w:ascii="Arial" w:hAnsi="Arial" w:cs="Arial"/>
          <w:sz w:val="24"/>
          <w:szCs w:val="24"/>
        </w:rPr>
        <w:t xml:space="preserve"> 6.0 % y </w:t>
      </w:r>
      <w:r w:rsidR="00914013">
        <w:rPr>
          <w:rFonts w:ascii="Arial" w:hAnsi="Arial" w:cs="Arial"/>
          <w:sz w:val="24"/>
          <w:szCs w:val="24"/>
        </w:rPr>
        <w:t>las «</w:t>
      </w:r>
      <w:r w:rsidR="00914013" w:rsidRPr="009A5AD6">
        <w:rPr>
          <w:rFonts w:ascii="Arial" w:hAnsi="Arial" w:cs="Arial"/>
          <w:sz w:val="24"/>
          <w:szCs w:val="24"/>
        </w:rPr>
        <w:t>micro</w:t>
      </w:r>
      <w:r w:rsidR="00914013">
        <w:rPr>
          <w:rFonts w:ascii="Arial" w:hAnsi="Arial" w:cs="Arial"/>
          <w:sz w:val="24"/>
          <w:szCs w:val="24"/>
        </w:rPr>
        <w:t xml:space="preserve">», un 0.1 % </w:t>
      </w:r>
      <w:r w:rsidR="007E7BEE">
        <w:rPr>
          <w:rFonts w:ascii="Arial" w:hAnsi="Arial" w:cs="Arial"/>
          <w:sz w:val="24"/>
          <w:szCs w:val="24"/>
        </w:rPr>
        <w:t>(ver gráfica 8).</w:t>
      </w:r>
    </w:p>
    <w:p w14:paraId="37FA940E" w14:textId="77777777" w:rsidR="00527C89" w:rsidRDefault="00527C89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</w:p>
    <w:p w14:paraId="0B32DEC5" w14:textId="79B1E066" w:rsidR="00ED46D6" w:rsidRPr="009A5AD6" w:rsidRDefault="00FE2DCD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9A5AD6">
        <w:rPr>
          <w:rFonts w:ascii="Arial" w:hAnsi="Arial" w:cs="Arial"/>
          <w:bCs/>
          <w:sz w:val="20"/>
          <w:szCs w:val="20"/>
        </w:rPr>
        <w:t xml:space="preserve">Gráfica </w:t>
      </w:r>
      <w:r w:rsidR="00D1007F" w:rsidRPr="009A5AD6">
        <w:rPr>
          <w:rFonts w:ascii="Arial" w:hAnsi="Arial" w:cs="Arial"/>
          <w:bCs/>
          <w:sz w:val="20"/>
          <w:szCs w:val="20"/>
        </w:rPr>
        <w:t>8</w:t>
      </w:r>
    </w:p>
    <w:p w14:paraId="61A800AB" w14:textId="4B3765E2" w:rsidR="00FE2DCD" w:rsidRPr="009A5AD6" w:rsidRDefault="007B6B16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Participación </w:t>
      </w:r>
      <w:r w:rsidR="0094208C">
        <w:rPr>
          <w:rFonts w:ascii="Arial" w:hAnsi="Arial" w:cs="Arial"/>
          <w:b/>
          <w:bCs/>
          <w:smallCaps/>
        </w:rPr>
        <w:t>de los g</w:t>
      </w:r>
      <w:r w:rsidR="00FE2DCD" w:rsidRPr="009A5AD6">
        <w:rPr>
          <w:rFonts w:ascii="Arial" w:hAnsi="Arial" w:cs="Arial"/>
          <w:b/>
          <w:bCs/>
          <w:smallCaps/>
        </w:rPr>
        <w:t>astos de comercio internacional de servicios, por tamaño de empresa en 2021</w:t>
      </w:r>
    </w:p>
    <w:p w14:paraId="47EEF800" w14:textId="35ACFAAE" w:rsidR="00DA6643" w:rsidRPr="009A5AD6" w:rsidRDefault="00DA6643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(Porcentaje)</w:t>
      </w:r>
    </w:p>
    <w:p w14:paraId="27F55D0F" w14:textId="7294D57F" w:rsidR="0033245C" w:rsidRDefault="00A524C2" w:rsidP="002A0561">
      <w:pPr>
        <w:spacing w:after="0" w:line="240" w:lineRule="auto"/>
        <w:jc w:val="center"/>
        <w:rPr>
          <w:color w:val="404040" w:themeColor="text1" w:themeTint="BF"/>
        </w:rPr>
      </w:pPr>
      <w:r>
        <w:rPr>
          <w:noProof/>
        </w:rPr>
        <w:drawing>
          <wp:inline distT="0" distB="0" distL="0" distR="0" wp14:anchorId="52CF6657" wp14:editId="279BB8E9">
            <wp:extent cx="4981556" cy="2246400"/>
            <wp:effectExtent l="0" t="0" r="0" b="190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981556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AA356" w14:textId="5FB1BBA3" w:rsidR="007E7BEE" w:rsidRDefault="00FE2DCD" w:rsidP="007E7BEE">
      <w:pPr>
        <w:spacing w:after="0" w:line="240" w:lineRule="auto"/>
        <w:ind w:left="1418" w:right="1416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Nota: </w:t>
      </w:r>
      <w:r w:rsidR="007E7B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</w:t>
      </w:r>
      <w:r w:rsidR="00D13B2B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Porcentajes obtenidos respecto del total de gastos a precios constantes </w:t>
      </w:r>
      <w:r w:rsidR="007E7BEE" w:rsidRPr="007E7BEE">
        <w:rPr>
          <w:rFonts w:ascii="Arial" w:eastAsia="+mn-ea" w:hAnsi="Arial" w:cs="Arial"/>
          <w:bCs/>
          <w:smallCaps/>
          <w:kern w:val="24"/>
          <w:sz w:val="16"/>
          <w:szCs w:val="16"/>
          <w:lang w:eastAsia="es-MX"/>
        </w:rPr>
        <w:t>inpp</w:t>
      </w:r>
      <w:r w:rsidR="00D13B2B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promedio anual </w:t>
      </w:r>
    </w:p>
    <w:p w14:paraId="7063EAAF" w14:textId="79CB7F3E" w:rsidR="0033245C" w:rsidRPr="009A5AD6" w:rsidRDefault="007E7BEE" w:rsidP="002A0561">
      <w:pPr>
        <w:spacing w:after="0" w:line="240" w:lineRule="auto"/>
        <w:ind w:left="1418" w:right="1416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</w:t>
      </w:r>
      <w:r w:rsidR="00D13B2B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2021 por clase de actividad</w:t>
      </w:r>
      <w:r w:rsidR="0033245C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económica.</w:t>
      </w:r>
      <w:r w:rsidR="00D13B2B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    </w:t>
      </w:r>
      <w:r w:rsidR="00CB02AC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         </w:t>
      </w:r>
      <w:r w:rsidR="0033245C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</w:t>
      </w:r>
    </w:p>
    <w:p w14:paraId="501F3D03" w14:textId="005F978E" w:rsidR="00E07A9D" w:rsidRDefault="00A27FD6" w:rsidP="00902A81">
      <w:pPr>
        <w:spacing w:after="0" w:line="240" w:lineRule="auto"/>
        <w:ind w:left="1985" w:right="1416" w:hanging="567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</w:t>
      </w:r>
      <w:r w:rsidR="007E7B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</w:t>
      </w:r>
      <w:r w:rsidR="0033245C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Estratificación </w:t>
      </w:r>
      <w:proofErr w:type="spellStart"/>
      <w:r w:rsidR="0033245C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bivariada</w:t>
      </w:r>
      <w:proofErr w:type="spellEnd"/>
      <w:r w:rsidR="0033245C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del </w:t>
      </w:r>
      <w:proofErr w:type="spellStart"/>
      <w:r w:rsidR="007E7BEE" w:rsidRPr="007E7BEE">
        <w:rPr>
          <w:rFonts w:ascii="Arial" w:eastAsia="+mn-ea" w:hAnsi="Arial" w:cs="Arial"/>
          <w:bCs/>
          <w:smallCaps/>
          <w:kern w:val="24"/>
          <w:sz w:val="16"/>
          <w:szCs w:val="16"/>
          <w:lang w:eastAsia="es-MX"/>
        </w:rPr>
        <w:t>dof</w:t>
      </w:r>
      <w:proofErr w:type="spellEnd"/>
      <w:r w:rsidR="0033245C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del 30 de junio de 2009 de</w:t>
      </w:r>
      <w:r w:rsidR="002C46BD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r w:rsidR="0033245C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acuerdo con la clasificación de personal</w:t>
      </w:r>
      <w:r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</w:t>
      </w:r>
      <w:r w:rsidR="0033245C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ocupado y sector económico</w:t>
      </w:r>
      <w:r w:rsidR="007C2750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.</w:t>
      </w:r>
    </w:p>
    <w:p w14:paraId="063DB50C" w14:textId="77777777" w:rsidR="007E7BEE" w:rsidRPr="00B364EE" w:rsidRDefault="007E7BEE" w:rsidP="002A0561">
      <w:pPr>
        <w:spacing w:after="0" w:line="240" w:lineRule="auto"/>
        <w:ind w:left="1701" w:right="1699" w:hanging="283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inegi. ecis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, 2022.</w:t>
      </w:r>
    </w:p>
    <w:p w14:paraId="73BA1127" w14:textId="77777777" w:rsidR="007E7BEE" w:rsidRDefault="007E7BEE" w:rsidP="002A0561">
      <w:pPr>
        <w:spacing w:after="0" w:line="240" w:lineRule="auto"/>
        <w:ind w:left="1418" w:right="1416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</w:p>
    <w:p w14:paraId="103F65A5" w14:textId="77777777" w:rsidR="00527C89" w:rsidRPr="00A524C2" w:rsidRDefault="00527C89" w:rsidP="002A0561">
      <w:pPr>
        <w:spacing w:after="0" w:line="240" w:lineRule="auto"/>
        <w:ind w:left="1418" w:right="1416"/>
        <w:jc w:val="both"/>
        <w:rPr>
          <w:rFonts w:ascii="Arial" w:eastAsia="+mn-ea" w:hAnsi="Arial" w:cs="Arial"/>
          <w:bCs/>
          <w:kern w:val="24"/>
          <w:sz w:val="24"/>
          <w:szCs w:val="16"/>
          <w:lang w:eastAsia="es-MX"/>
        </w:rPr>
      </w:pPr>
    </w:p>
    <w:p w14:paraId="71C7DBA9" w14:textId="77777777" w:rsidR="008959B3" w:rsidRDefault="008959B3" w:rsidP="00B15892">
      <w:pPr>
        <w:tabs>
          <w:tab w:val="left" w:pos="189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1E57C6" w14:textId="77777777" w:rsidR="008959B3" w:rsidRDefault="008959B3" w:rsidP="00B15892">
      <w:pPr>
        <w:tabs>
          <w:tab w:val="left" w:pos="189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EC2818" w14:textId="1B42E380" w:rsidR="00B15892" w:rsidRPr="009A5AD6" w:rsidRDefault="00FE2DCD" w:rsidP="00B15892">
      <w:pPr>
        <w:tabs>
          <w:tab w:val="left" w:pos="189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AD6">
        <w:rPr>
          <w:rFonts w:ascii="Arial" w:hAnsi="Arial" w:cs="Arial"/>
          <w:sz w:val="24"/>
          <w:szCs w:val="24"/>
        </w:rPr>
        <w:t>Por gran sector de actividad económica, del total de gastos reportados en 2021, 62.5 % correspond</w:t>
      </w:r>
      <w:r w:rsidR="007E7BEE">
        <w:rPr>
          <w:rFonts w:ascii="Arial" w:hAnsi="Arial" w:cs="Arial"/>
          <w:sz w:val="24"/>
          <w:szCs w:val="24"/>
        </w:rPr>
        <w:t>ió</w:t>
      </w:r>
      <w:r w:rsidRPr="009A5AD6">
        <w:rPr>
          <w:rFonts w:ascii="Arial" w:hAnsi="Arial" w:cs="Arial"/>
          <w:sz w:val="24"/>
          <w:szCs w:val="24"/>
        </w:rPr>
        <w:t xml:space="preserve"> a las empresas del </w:t>
      </w:r>
      <w:r w:rsidRPr="00A73574">
        <w:rPr>
          <w:rFonts w:ascii="Arial" w:hAnsi="Arial" w:cs="Arial"/>
          <w:sz w:val="24"/>
          <w:szCs w:val="24"/>
        </w:rPr>
        <w:t xml:space="preserve">sector </w:t>
      </w:r>
      <w:r w:rsidR="00D0593F" w:rsidRPr="00A73574">
        <w:rPr>
          <w:rFonts w:ascii="Arial" w:hAnsi="Arial" w:cs="Arial"/>
          <w:sz w:val="24"/>
          <w:szCs w:val="24"/>
        </w:rPr>
        <w:t>«</w:t>
      </w:r>
      <w:r w:rsidRPr="00A73574">
        <w:rPr>
          <w:rFonts w:ascii="Arial" w:hAnsi="Arial" w:cs="Arial"/>
          <w:sz w:val="24"/>
          <w:szCs w:val="24"/>
        </w:rPr>
        <w:t>industria</w:t>
      </w:r>
      <w:r w:rsidR="00D0593F" w:rsidRPr="00A73574">
        <w:rPr>
          <w:rFonts w:ascii="Arial" w:hAnsi="Arial" w:cs="Arial"/>
          <w:sz w:val="24"/>
          <w:szCs w:val="24"/>
        </w:rPr>
        <w:t>»</w:t>
      </w:r>
      <w:r w:rsidRPr="00A73574">
        <w:rPr>
          <w:rFonts w:ascii="Arial" w:hAnsi="Arial" w:cs="Arial"/>
          <w:sz w:val="24"/>
          <w:szCs w:val="24"/>
        </w:rPr>
        <w:t xml:space="preserve">, 19.2 % a las del sector </w:t>
      </w:r>
      <w:r w:rsidR="00D0593F" w:rsidRPr="00A73574">
        <w:rPr>
          <w:rFonts w:ascii="Arial" w:hAnsi="Arial" w:cs="Arial"/>
          <w:sz w:val="24"/>
          <w:szCs w:val="24"/>
        </w:rPr>
        <w:t>«</w:t>
      </w:r>
      <w:r w:rsidRPr="00A73574">
        <w:rPr>
          <w:rFonts w:ascii="Arial" w:hAnsi="Arial" w:cs="Arial"/>
          <w:sz w:val="24"/>
          <w:szCs w:val="24"/>
        </w:rPr>
        <w:t>comercio</w:t>
      </w:r>
      <w:r w:rsidR="00D0593F" w:rsidRPr="00A73574">
        <w:rPr>
          <w:rFonts w:ascii="Arial" w:hAnsi="Arial" w:cs="Arial"/>
          <w:sz w:val="24"/>
          <w:szCs w:val="24"/>
        </w:rPr>
        <w:t>»</w:t>
      </w:r>
      <w:r w:rsidRPr="00A73574">
        <w:rPr>
          <w:rFonts w:ascii="Arial" w:hAnsi="Arial" w:cs="Arial"/>
          <w:sz w:val="24"/>
          <w:szCs w:val="24"/>
        </w:rPr>
        <w:t xml:space="preserve"> y</w:t>
      </w:r>
      <w:r w:rsidR="007C2750" w:rsidRPr="00A73574">
        <w:rPr>
          <w:rFonts w:ascii="Arial" w:hAnsi="Arial" w:cs="Arial"/>
          <w:sz w:val="24"/>
          <w:szCs w:val="24"/>
        </w:rPr>
        <w:t xml:space="preserve">   </w:t>
      </w:r>
      <w:r w:rsidRPr="00A73574">
        <w:rPr>
          <w:rFonts w:ascii="Arial" w:hAnsi="Arial" w:cs="Arial"/>
          <w:sz w:val="24"/>
          <w:szCs w:val="24"/>
        </w:rPr>
        <w:t xml:space="preserve"> 18.3 % a las pertenecientes a</w:t>
      </w:r>
      <w:r w:rsidR="0024445D" w:rsidRPr="00A73574">
        <w:rPr>
          <w:rFonts w:ascii="Arial" w:hAnsi="Arial" w:cs="Arial"/>
          <w:sz w:val="24"/>
          <w:szCs w:val="24"/>
        </w:rPr>
        <w:t xml:space="preserve"> los</w:t>
      </w:r>
      <w:r w:rsidRPr="00A73574">
        <w:rPr>
          <w:rFonts w:ascii="Arial" w:hAnsi="Arial" w:cs="Arial"/>
          <w:sz w:val="24"/>
          <w:szCs w:val="24"/>
        </w:rPr>
        <w:t xml:space="preserve"> </w:t>
      </w:r>
      <w:r w:rsidR="00D0593F" w:rsidRPr="00A73574">
        <w:rPr>
          <w:rFonts w:ascii="Arial" w:hAnsi="Arial" w:cs="Arial"/>
          <w:sz w:val="24"/>
          <w:szCs w:val="24"/>
        </w:rPr>
        <w:t>«</w:t>
      </w:r>
      <w:r w:rsidRPr="00A73574">
        <w:rPr>
          <w:rFonts w:ascii="Arial" w:hAnsi="Arial" w:cs="Arial"/>
          <w:sz w:val="24"/>
          <w:szCs w:val="24"/>
        </w:rPr>
        <w:t>servicios</w:t>
      </w:r>
      <w:r w:rsidR="00D0593F" w:rsidRPr="00A73574">
        <w:rPr>
          <w:rFonts w:ascii="Arial" w:hAnsi="Arial" w:cs="Arial"/>
          <w:sz w:val="24"/>
          <w:szCs w:val="24"/>
        </w:rPr>
        <w:t>»</w:t>
      </w:r>
      <w:r w:rsidRPr="00A73574">
        <w:rPr>
          <w:rFonts w:ascii="Arial" w:hAnsi="Arial" w:cs="Arial"/>
          <w:sz w:val="24"/>
          <w:szCs w:val="24"/>
        </w:rPr>
        <w:t xml:space="preserve">. Para 2020, los gastos reportados por las empresas del sector </w:t>
      </w:r>
      <w:r w:rsidR="00CB52B7" w:rsidRPr="00A73574">
        <w:rPr>
          <w:rFonts w:ascii="Arial" w:hAnsi="Arial" w:cs="Arial"/>
          <w:sz w:val="24"/>
          <w:szCs w:val="24"/>
        </w:rPr>
        <w:t>«</w:t>
      </w:r>
      <w:r w:rsidRPr="00A73574">
        <w:rPr>
          <w:rFonts w:ascii="Arial" w:hAnsi="Arial" w:cs="Arial"/>
          <w:sz w:val="24"/>
          <w:szCs w:val="24"/>
        </w:rPr>
        <w:t>industria</w:t>
      </w:r>
      <w:r w:rsidR="00CB52B7" w:rsidRPr="00A73574">
        <w:rPr>
          <w:rFonts w:ascii="Arial" w:hAnsi="Arial" w:cs="Arial"/>
          <w:sz w:val="24"/>
          <w:szCs w:val="24"/>
        </w:rPr>
        <w:t>»</w:t>
      </w:r>
      <w:r w:rsidRPr="00A73574">
        <w:rPr>
          <w:rFonts w:ascii="Arial" w:hAnsi="Arial" w:cs="Arial"/>
          <w:sz w:val="24"/>
          <w:szCs w:val="24"/>
        </w:rPr>
        <w:t xml:space="preserve"> cubrieron 67.9 %</w:t>
      </w:r>
      <w:r w:rsidR="0024445D" w:rsidRPr="00A73574">
        <w:rPr>
          <w:rFonts w:ascii="Arial" w:hAnsi="Arial" w:cs="Arial"/>
          <w:sz w:val="24"/>
          <w:szCs w:val="24"/>
        </w:rPr>
        <w:t>;</w:t>
      </w:r>
      <w:r w:rsidR="00E33405" w:rsidRPr="00A73574">
        <w:rPr>
          <w:rFonts w:ascii="Arial" w:hAnsi="Arial" w:cs="Arial"/>
          <w:sz w:val="24"/>
          <w:szCs w:val="24"/>
        </w:rPr>
        <w:t xml:space="preserve"> </w:t>
      </w:r>
      <w:r w:rsidR="007E7BEE" w:rsidRPr="00A73574">
        <w:rPr>
          <w:rFonts w:ascii="Arial" w:hAnsi="Arial" w:cs="Arial"/>
          <w:sz w:val="24"/>
          <w:szCs w:val="24"/>
        </w:rPr>
        <w:t>los d</w:t>
      </w:r>
      <w:r w:rsidRPr="00A73574">
        <w:rPr>
          <w:rFonts w:ascii="Arial" w:hAnsi="Arial" w:cs="Arial"/>
          <w:sz w:val="24"/>
          <w:szCs w:val="24"/>
        </w:rPr>
        <w:t xml:space="preserve">el sector </w:t>
      </w:r>
      <w:r w:rsidR="00CB52B7" w:rsidRPr="00A73574">
        <w:rPr>
          <w:rFonts w:ascii="Arial" w:hAnsi="Arial" w:cs="Arial"/>
          <w:sz w:val="24"/>
          <w:szCs w:val="24"/>
        </w:rPr>
        <w:t>«</w:t>
      </w:r>
      <w:r w:rsidRPr="00A73574">
        <w:rPr>
          <w:rFonts w:ascii="Arial" w:hAnsi="Arial" w:cs="Arial"/>
          <w:sz w:val="24"/>
          <w:szCs w:val="24"/>
        </w:rPr>
        <w:t>comercio</w:t>
      </w:r>
      <w:r w:rsidR="00CB52B7" w:rsidRPr="00A73574">
        <w:rPr>
          <w:rFonts w:ascii="Arial" w:hAnsi="Arial" w:cs="Arial"/>
          <w:sz w:val="24"/>
          <w:szCs w:val="24"/>
        </w:rPr>
        <w:t>»</w:t>
      </w:r>
      <w:r w:rsidR="0024445D" w:rsidRPr="00A73574">
        <w:rPr>
          <w:rFonts w:ascii="Arial" w:hAnsi="Arial" w:cs="Arial"/>
          <w:sz w:val="24"/>
          <w:szCs w:val="24"/>
        </w:rPr>
        <w:t>,</w:t>
      </w:r>
      <w:r w:rsidR="00CB52B7" w:rsidRPr="00A73574">
        <w:rPr>
          <w:rFonts w:ascii="Arial" w:hAnsi="Arial" w:cs="Arial"/>
          <w:sz w:val="24"/>
          <w:szCs w:val="24"/>
        </w:rPr>
        <w:t xml:space="preserve"> </w:t>
      </w:r>
      <w:r w:rsidR="007E7BEE" w:rsidRPr="00A73574">
        <w:rPr>
          <w:rFonts w:ascii="Arial" w:hAnsi="Arial" w:cs="Arial"/>
          <w:sz w:val="24"/>
          <w:szCs w:val="24"/>
        </w:rPr>
        <w:t xml:space="preserve">13.9 % </w:t>
      </w:r>
      <w:r w:rsidRPr="00A73574">
        <w:rPr>
          <w:rFonts w:ascii="Arial" w:hAnsi="Arial" w:cs="Arial"/>
          <w:sz w:val="24"/>
          <w:szCs w:val="24"/>
        </w:rPr>
        <w:t xml:space="preserve">y </w:t>
      </w:r>
      <w:r w:rsidR="007E7BEE" w:rsidRPr="00A73574">
        <w:rPr>
          <w:rFonts w:ascii="Arial" w:hAnsi="Arial" w:cs="Arial"/>
          <w:sz w:val="24"/>
          <w:szCs w:val="24"/>
        </w:rPr>
        <w:t>lo</w:t>
      </w:r>
      <w:r w:rsidR="00CB52B7" w:rsidRPr="00A73574">
        <w:rPr>
          <w:rFonts w:ascii="Arial" w:hAnsi="Arial" w:cs="Arial"/>
          <w:sz w:val="24"/>
          <w:szCs w:val="24"/>
        </w:rPr>
        <w:t>s</w:t>
      </w:r>
      <w:r w:rsidR="007E7BEE" w:rsidRPr="00A73574">
        <w:rPr>
          <w:rFonts w:ascii="Arial" w:hAnsi="Arial" w:cs="Arial"/>
          <w:sz w:val="24"/>
          <w:szCs w:val="24"/>
        </w:rPr>
        <w:t xml:space="preserve"> d</w:t>
      </w:r>
      <w:r w:rsidRPr="00A73574">
        <w:rPr>
          <w:rFonts w:ascii="Arial" w:hAnsi="Arial" w:cs="Arial"/>
          <w:sz w:val="24"/>
          <w:szCs w:val="24"/>
        </w:rPr>
        <w:t xml:space="preserve">el sector </w:t>
      </w:r>
      <w:r w:rsidR="00CB52B7" w:rsidRPr="00A73574">
        <w:rPr>
          <w:rFonts w:ascii="Arial" w:hAnsi="Arial" w:cs="Arial"/>
          <w:sz w:val="24"/>
          <w:szCs w:val="24"/>
        </w:rPr>
        <w:t>«</w:t>
      </w:r>
      <w:r w:rsidRPr="00A73574">
        <w:rPr>
          <w:rFonts w:ascii="Arial" w:hAnsi="Arial" w:cs="Arial"/>
          <w:sz w:val="24"/>
          <w:szCs w:val="24"/>
        </w:rPr>
        <w:t>servicios</w:t>
      </w:r>
      <w:r w:rsidR="00CB52B7" w:rsidRPr="00A73574">
        <w:rPr>
          <w:rFonts w:ascii="Arial" w:hAnsi="Arial" w:cs="Arial"/>
          <w:sz w:val="24"/>
          <w:szCs w:val="24"/>
        </w:rPr>
        <w:t>»</w:t>
      </w:r>
      <w:r w:rsidR="0024445D" w:rsidRPr="00FB328A">
        <w:rPr>
          <w:rFonts w:ascii="Arial" w:hAnsi="Arial" w:cs="Arial"/>
          <w:sz w:val="24"/>
          <w:szCs w:val="24"/>
        </w:rPr>
        <w:t>,</w:t>
      </w:r>
      <w:r w:rsidR="007E7BEE" w:rsidRPr="00FB328A">
        <w:rPr>
          <w:rFonts w:ascii="Arial" w:hAnsi="Arial" w:cs="Arial"/>
          <w:sz w:val="24"/>
          <w:szCs w:val="24"/>
        </w:rPr>
        <w:t xml:space="preserve"> </w:t>
      </w:r>
      <w:r w:rsidR="00B15892" w:rsidRPr="00FB328A">
        <w:rPr>
          <w:rFonts w:ascii="Arial" w:hAnsi="Arial" w:cs="Arial"/>
          <w:sz w:val="24"/>
          <w:szCs w:val="24"/>
        </w:rPr>
        <w:t xml:space="preserve">18.3 por ciento. </w:t>
      </w:r>
      <w:r w:rsidR="00B15892" w:rsidRPr="00EB2142">
        <w:rPr>
          <w:rFonts w:ascii="Arial" w:hAnsi="Arial" w:cs="Arial"/>
          <w:sz w:val="24"/>
          <w:szCs w:val="24"/>
        </w:rPr>
        <w:t xml:space="preserve">Con lo </w:t>
      </w:r>
      <w:r w:rsidR="00B15892" w:rsidRPr="003E33A8">
        <w:rPr>
          <w:rFonts w:ascii="Arial" w:hAnsi="Arial" w:cs="Arial"/>
          <w:sz w:val="24"/>
          <w:szCs w:val="24"/>
        </w:rPr>
        <w:t>anterior, al comparar los gastos entre 2020 y 2021, se registr</w:t>
      </w:r>
      <w:r w:rsidR="00B15892" w:rsidRPr="00902A81">
        <w:rPr>
          <w:rFonts w:ascii="Arial" w:hAnsi="Arial" w:cs="Arial"/>
          <w:sz w:val="24"/>
          <w:szCs w:val="24"/>
        </w:rPr>
        <w:t xml:space="preserve">ó un decremento de la participación del </w:t>
      </w:r>
      <w:r w:rsidR="00B15892" w:rsidRPr="00A73574">
        <w:rPr>
          <w:rFonts w:ascii="Arial" w:hAnsi="Arial" w:cs="Arial"/>
          <w:sz w:val="24"/>
          <w:szCs w:val="24"/>
        </w:rPr>
        <w:t>sector «industria»</w:t>
      </w:r>
      <w:r w:rsidR="00B15892" w:rsidRPr="009A5AD6">
        <w:rPr>
          <w:rFonts w:ascii="Arial" w:hAnsi="Arial" w:cs="Arial"/>
          <w:sz w:val="24"/>
          <w:szCs w:val="24"/>
        </w:rPr>
        <w:t xml:space="preserve"> de 5.4 puntos porcentuales</w:t>
      </w:r>
      <w:r w:rsidR="00B15892">
        <w:rPr>
          <w:rFonts w:ascii="Arial" w:hAnsi="Arial" w:cs="Arial"/>
          <w:sz w:val="24"/>
          <w:szCs w:val="24"/>
        </w:rPr>
        <w:t xml:space="preserve"> y</w:t>
      </w:r>
      <w:r w:rsidR="00B15892" w:rsidRPr="009A5AD6">
        <w:rPr>
          <w:rFonts w:ascii="Arial" w:hAnsi="Arial" w:cs="Arial"/>
          <w:sz w:val="24"/>
          <w:szCs w:val="24"/>
        </w:rPr>
        <w:t xml:space="preserve"> un incremento de 5.3 puntos porcentuales del sector </w:t>
      </w:r>
      <w:r w:rsidR="00B15892">
        <w:rPr>
          <w:rFonts w:ascii="Arial" w:hAnsi="Arial" w:cs="Arial"/>
          <w:sz w:val="24"/>
          <w:szCs w:val="24"/>
        </w:rPr>
        <w:t>«</w:t>
      </w:r>
      <w:r w:rsidR="00B15892" w:rsidRPr="009A5AD6">
        <w:rPr>
          <w:rFonts w:ascii="Arial" w:hAnsi="Arial" w:cs="Arial"/>
          <w:sz w:val="24"/>
          <w:szCs w:val="24"/>
        </w:rPr>
        <w:t>comercio</w:t>
      </w:r>
      <w:r w:rsidR="00B15892">
        <w:rPr>
          <w:rFonts w:ascii="Arial" w:hAnsi="Arial" w:cs="Arial"/>
          <w:sz w:val="24"/>
          <w:szCs w:val="24"/>
        </w:rPr>
        <w:t>». E</w:t>
      </w:r>
      <w:r w:rsidR="00B15892" w:rsidRPr="009A5AD6">
        <w:rPr>
          <w:rFonts w:ascii="Arial" w:hAnsi="Arial" w:cs="Arial"/>
          <w:sz w:val="24"/>
          <w:szCs w:val="24"/>
        </w:rPr>
        <w:t xml:space="preserve">l sector </w:t>
      </w:r>
      <w:r w:rsidR="00B15892">
        <w:rPr>
          <w:rFonts w:ascii="Arial" w:hAnsi="Arial" w:cs="Arial"/>
          <w:sz w:val="24"/>
          <w:szCs w:val="24"/>
        </w:rPr>
        <w:t>«</w:t>
      </w:r>
      <w:r w:rsidR="00B15892" w:rsidRPr="009A5AD6">
        <w:rPr>
          <w:rFonts w:ascii="Arial" w:hAnsi="Arial" w:cs="Arial"/>
          <w:sz w:val="24"/>
          <w:szCs w:val="24"/>
        </w:rPr>
        <w:t>servicios</w:t>
      </w:r>
      <w:r w:rsidR="00B15892">
        <w:rPr>
          <w:rFonts w:ascii="Arial" w:hAnsi="Arial" w:cs="Arial"/>
          <w:sz w:val="24"/>
          <w:szCs w:val="24"/>
        </w:rPr>
        <w:t>»</w:t>
      </w:r>
      <w:r w:rsidR="00B15892" w:rsidRPr="009A5AD6">
        <w:rPr>
          <w:rFonts w:ascii="Arial" w:hAnsi="Arial" w:cs="Arial"/>
          <w:sz w:val="24"/>
          <w:szCs w:val="24"/>
        </w:rPr>
        <w:t xml:space="preserve"> se mantuvo </w:t>
      </w:r>
      <w:r w:rsidR="00B15892">
        <w:rPr>
          <w:rFonts w:ascii="Arial" w:hAnsi="Arial" w:cs="Arial"/>
          <w:sz w:val="24"/>
          <w:szCs w:val="24"/>
        </w:rPr>
        <w:t xml:space="preserve">en </w:t>
      </w:r>
      <w:r w:rsidR="00B15892" w:rsidRPr="009A5AD6">
        <w:rPr>
          <w:rFonts w:ascii="Arial" w:hAnsi="Arial" w:cs="Arial"/>
          <w:sz w:val="24"/>
          <w:szCs w:val="24"/>
        </w:rPr>
        <w:t>ambos años</w:t>
      </w:r>
      <w:r w:rsidR="00B15892">
        <w:rPr>
          <w:rFonts w:ascii="Arial" w:hAnsi="Arial" w:cs="Arial"/>
          <w:sz w:val="24"/>
          <w:szCs w:val="24"/>
        </w:rPr>
        <w:t xml:space="preserve"> (ver gráfica 9).</w:t>
      </w:r>
    </w:p>
    <w:p w14:paraId="6B31AD86" w14:textId="77777777" w:rsidR="00527C89" w:rsidRPr="00A524C2" w:rsidRDefault="00527C89" w:rsidP="002A0561">
      <w:pPr>
        <w:spacing w:after="0" w:line="240" w:lineRule="auto"/>
        <w:ind w:right="21"/>
        <w:jc w:val="center"/>
        <w:rPr>
          <w:rFonts w:ascii="Arial" w:hAnsi="Arial" w:cs="Arial"/>
          <w:bCs/>
          <w:szCs w:val="20"/>
        </w:rPr>
      </w:pPr>
    </w:p>
    <w:p w14:paraId="64F4694E" w14:textId="2F4AFF52" w:rsidR="00E163C1" w:rsidRPr="009A5AD6" w:rsidRDefault="00FE2DCD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9A5AD6">
        <w:rPr>
          <w:rFonts w:ascii="Arial" w:hAnsi="Arial" w:cs="Arial"/>
          <w:bCs/>
          <w:sz w:val="20"/>
          <w:szCs w:val="20"/>
        </w:rPr>
        <w:t xml:space="preserve">Gráfica </w:t>
      </w:r>
      <w:r w:rsidR="00D1007F" w:rsidRPr="009A5AD6">
        <w:rPr>
          <w:rFonts w:ascii="Arial" w:hAnsi="Arial" w:cs="Arial"/>
          <w:bCs/>
          <w:sz w:val="20"/>
          <w:szCs w:val="20"/>
        </w:rPr>
        <w:t>9</w:t>
      </w:r>
    </w:p>
    <w:p w14:paraId="366D339E" w14:textId="08AD8FEE" w:rsidR="00FE2DCD" w:rsidRPr="009A5AD6" w:rsidRDefault="0094208C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</w:t>
      </w:r>
      <w:r w:rsidR="00B15892">
        <w:rPr>
          <w:rFonts w:ascii="Arial" w:hAnsi="Arial" w:cs="Arial"/>
          <w:b/>
          <w:bCs/>
          <w:smallCaps/>
        </w:rPr>
        <w:t>ti</w:t>
      </w:r>
      <w:r>
        <w:rPr>
          <w:rFonts w:ascii="Arial" w:hAnsi="Arial" w:cs="Arial"/>
          <w:b/>
          <w:bCs/>
          <w:smallCaps/>
        </w:rPr>
        <w:t>cipación de los g</w:t>
      </w:r>
      <w:r w:rsidR="00FE2DCD" w:rsidRPr="009A5AD6">
        <w:rPr>
          <w:rFonts w:ascii="Arial" w:hAnsi="Arial" w:cs="Arial"/>
          <w:b/>
          <w:bCs/>
          <w:smallCaps/>
        </w:rPr>
        <w:t>astos</w:t>
      </w:r>
      <w:r>
        <w:rPr>
          <w:rFonts w:ascii="Arial" w:hAnsi="Arial" w:cs="Arial"/>
          <w:b/>
          <w:bCs/>
          <w:smallCaps/>
        </w:rPr>
        <w:t xml:space="preserve"> </w:t>
      </w:r>
      <w:r w:rsidR="00FE2DCD" w:rsidRPr="009A5AD6">
        <w:rPr>
          <w:rFonts w:ascii="Arial" w:hAnsi="Arial" w:cs="Arial"/>
          <w:b/>
          <w:bCs/>
          <w:smallCaps/>
        </w:rPr>
        <w:t>de comercio internacional de servicios, por gran sector en 2020 y 2021</w:t>
      </w:r>
    </w:p>
    <w:p w14:paraId="3C47DFB3" w14:textId="1CBE47E9" w:rsidR="00DA6643" w:rsidRPr="009A5AD6" w:rsidRDefault="00DA6643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</w:t>
      </w:r>
      <w:r w:rsidR="007E7BEE">
        <w:rPr>
          <w:rFonts w:ascii="Arial" w:hAnsi="Arial" w:cs="Arial"/>
          <w:sz w:val="18"/>
          <w:szCs w:val="24"/>
        </w:rPr>
        <w:t>p</w:t>
      </w:r>
      <w:r w:rsidRPr="009A5AD6">
        <w:rPr>
          <w:rFonts w:ascii="Arial" w:hAnsi="Arial" w:cs="Arial"/>
          <w:sz w:val="18"/>
          <w:szCs w:val="24"/>
        </w:rPr>
        <w:t>orcentaje)</w:t>
      </w:r>
    </w:p>
    <w:p w14:paraId="166214E9" w14:textId="20EAC8CF" w:rsidR="00FE2DCD" w:rsidRPr="00572DB1" w:rsidRDefault="00A524C2" w:rsidP="00D73FB7">
      <w:pPr>
        <w:spacing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6A266D69" wp14:editId="457DDBAA">
            <wp:extent cx="5440500" cy="2246400"/>
            <wp:effectExtent l="0" t="0" r="825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40500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29E7C" w14:textId="3CF3FD9A" w:rsidR="007E7BEE" w:rsidRDefault="00FE2DCD" w:rsidP="007E7BEE">
      <w:pPr>
        <w:spacing w:after="0" w:line="240" w:lineRule="auto"/>
        <w:ind w:left="1276" w:right="1132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Nota: </w:t>
      </w:r>
      <w:r w:rsidR="007E7BEE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</w:t>
      </w:r>
      <w:r w:rsidR="005628C0" w:rsidRPr="009A5AD6">
        <w:rPr>
          <w:rFonts w:ascii="Arial" w:hAnsi="Arial" w:cs="Arial"/>
          <w:bCs/>
          <w:sz w:val="16"/>
          <w:szCs w:val="16"/>
        </w:rPr>
        <w:t xml:space="preserve">Porcentajes obtenidos respecto del total de gastos a precios constantes </w:t>
      </w:r>
      <w:r w:rsidR="007E7BEE" w:rsidRPr="007E7BEE">
        <w:rPr>
          <w:rFonts w:ascii="Arial" w:hAnsi="Arial" w:cs="Arial"/>
          <w:bCs/>
          <w:smallCaps/>
          <w:sz w:val="16"/>
          <w:szCs w:val="16"/>
        </w:rPr>
        <w:t>inpp</w:t>
      </w:r>
      <w:r w:rsidR="005628C0" w:rsidRPr="009A5AD6">
        <w:rPr>
          <w:rFonts w:ascii="Arial" w:hAnsi="Arial" w:cs="Arial"/>
          <w:bCs/>
          <w:sz w:val="16"/>
          <w:szCs w:val="16"/>
        </w:rPr>
        <w:t xml:space="preserve"> promedio anual </w:t>
      </w:r>
    </w:p>
    <w:p w14:paraId="4BC8EDF5" w14:textId="7B3407BA" w:rsidR="00FE2DCD" w:rsidRPr="009A5AD6" w:rsidRDefault="007E7BEE" w:rsidP="002A0561">
      <w:pPr>
        <w:spacing w:after="0" w:line="240" w:lineRule="auto"/>
        <w:ind w:left="1276" w:right="113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</w:t>
      </w:r>
      <w:r w:rsidR="005628C0" w:rsidRPr="009A5AD6">
        <w:rPr>
          <w:rFonts w:ascii="Arial" w:hAnsi="Arial" w:cs="Arial"/>
          <w:bCs/>
          <w:sz w:val="16"/>
          <w:szCs w:val="16"/>
        </w:rPr>
        <w:t>2021 por clase de actividad económica.</w:t>
      </w:r>
    </w:p>
    <w:p w14:paraId="765DBC7F" w14:textId="4A928386" w:rsidR="00FE2DCD" w:rsidRPr="009A5AD6" w:rsidRDefault="007A49BD" w:rsidP="002A0561">
      <w:pPr>
        <w:spacing w:after="0" w:line="240" w:lineRule="auto"/>
        <w:ind w:left="1276" w:right="1132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9A5AD6">
        <w:rPr>
          <w:rFonts w:ascii="Arial" w:eastAsia="+mn-ea" w:hAnsi="Arial" w:cs="Arial"/>
          <w:bCs/>
          <w:noProof/>
          <w:kern w:val="24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0291E" wp14:editId="20962057">
                <wp:simplePos x="0" y="0"/>
                <wp:positionH relativeFrom="column">
                  <wp:posOffset>854710</wp:posOffset>
                </wp:positionH>
                <wp:positionV relativeFrom="paragraph">
                  <wp:posOffset>115782</wp:posOffset>
                </wp:positionV>
                <wp:extent cx="99060" cy="106680"/>
                <wp:effectExtent l="0" t="0" r="0" b="7620"/>
                <wp:wrapNone/>
                <wp:docPr id="8" name="Triángulo isósce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EA6113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" o:spid="_x0000_s1026" type="#_x0000_t5" style="position:absolute;margin-left:67.3pt;margin-top:9.1pt;width:7.8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" fillcolor="#00b050" stroked="f" strokeweight="1pt"/>
            </w:pict>
          </mc:Fallback>
        </mc:AlternateContent>
      </w:r>
      <w:r w:rsidR="0033245C" w:rsidRPr="009A5AD6">
        <w:rPr>
          <w:rFonts w:ascii="Arial" w:eastAsia="+mn-ea" w:hAnsi="Arial" w:cs="Arial"/>
          <w:kern w:val="24"/>
          <w:sz w:val="16"/>
          <w:szCs w:val="16"/>
          <w:lang w:eastAsia="es-MX"/>
        </w:rPr>
        <w:t xml:space="preserve">          </w:t>
      </w:r>
      <w:r w:rsidR="007E7BEE">
        <w:rPr>
          <w:rFonts w:ascii="Arial" w:eastAsia="+mn-ea" w:hAnsi="Arial" w:cs="Arial"/>
          <w:kern w:val="24"/>
          <w:sz w:val="16"/>
          <w:szCs w:val="16"/>
          <w:lang w:eastAsia="es-MX"/>
        </w:rPr>
        <w:t xml:space="preserve">   </w:t>
      </w:r>
      <w:r w:rsidR="00FE2DCD" w:rsidRPr="009A5AD6">
        <w:rPr>
          <w:rFonts w:ascii="Arial" w:eastAsia="+mn-ea" w:hAnsi="Arial" w:cs="Arial"/>
          <w:kern w:val="24"/>
          <w:sz w:val="16"/>
          <w:szCs w:val="16"/>
          <w:lang w:eastAsia="es-MX"/>
        </w:rPr>
        <w:t xml:space="preserve">La suma de los porcentajes puede no </w:t>
      </w:r>
      <w:r>
        <w:rPr>
          <w:rFonts w:ascii="Arial" w:eastAsia="+mn-ea" w:hAnsi="Arial" w:cs="Arial"/>
          <w:kern w:val="24"/>
          <w:sz w:val="16"/>
          <w:szCs w:val="16"/>
          <w:lang w:eastAsia="es-MX"/>
        </w:rPr>
        <w:t xml:space="preserve">corresponder al </w:t>
      </w:r>
      <w:r w:rsidR="00FE2DCD" w:rsidRPr="009A5AD6">
        <w:rPr>
          <w:rFonts w:ascii="Arial" w:eastAsia="+mn-ea" w:hAnsi="Arial" w:cs="Arial"/>
          <w:kern w:val="24"/>
          <w:sz w:val="16"/>
          <w:szCs w:val="16"/>
          <w:lang w:eastAsia="es-MX"/>
        </w:rPr>
        <w:t>100</w:t>
      </w:r>
      <w:r>
        <w:rPr>
          <w:rFonts w:ascii="Arial" w:eastAsia="+mn-ea" w:hAnsi="Arial" w:cs="Arial"/>
          <w:kern w:val="24"/>
          <w:sz w:val="16"/>
          <w:szCs w:val="16"/>
          <w:lang w:eastAsia="es-MX"/>
        </w:rPr>
        <w:t>.0 %</w:t>
      </w:r>
      <w:r w:rsidR="00FE2DCD" w:rsidRPr="009A5AD6">
        <w:rPr>
          <w:rFonts w:ascii="Arial" w:eastAsia="+mn-ea" w:hAnsi="Arial" w:cs="Arial"/>
          <w:kern w:val="24"/>
          <w:sz w:val="16"/>
          <w:szCs w:val="16"/>
          <w:lang w:eastAsia="es-MX"/>
        </w:rPr>
        <w:t xml:space="preserve"> debido al redondeo</w:t>
      </w:r>
      <w:r>
        <w:rPr>
          <w:rFonts w:ascii="Arial" w:eastAsia="+mn-ea" w:hAnsi="Arial" w:cs="Arial"/>
          <w:kern w:val="24"/>
          <w:sz w:val="16"/>
          <w:szCs w:val="16"/>
          <w:lang w:eastAsia="es-MX"/>
        </w:rPr>
        <w:t>.</w:t>
      </w:r>
    </w:p>
    <w:p w14:paraId="051554F1" w14:textId="0E423E06" w:rsidR="00FE2DCD" w:rsidRPr="009A5AD6" w:rsidRDefault="007E7BEE" w:rsidP="002A0561">
      <w:pPr>
        <w:spacing w:after="0" w:line="240" w:lineRule="auto"/>
        <w:ind w:left="1276" w:right="1132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 xml:space="preserve">             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Cambio</w:t>
      </w:r>
      <w:r w:rsidR="00FE2DCD" w:rsidRPr="009A5AD6">
        <w:rPr>
          <w:rFonts w:ascii="Arial" w:hAnsi="Arial" w:cs="Arial"/>
          <w:noProof/>
          <w:sz w:val="16"/>
          <w:szCs w:val="16"/>
        </w:rPr>
        <w:t xml:space="preserve"> 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  <w:lang w:eastAsia="es-MX"/>
        </w:rPr>
        <w:t>positivo estadísticamente significativo</w:t>
      </w:r>
      <w:r w:rsidR="00FE2DCD" w:rsidRPr="009A5AD6">
        <w:rPr>
          <w:rFonts w:ascii="Arial" w:eastAsia="+mn-ea" w:hAnsi="Arial" w:cs="Arial"/>
          <w:kern w:val="24"/>
          <w:sz w:val="16"/>
          <w:szCs w:val="16"/>
          <w:lang w:eastAsia="es-MX"/>
        </w:rPr>
        <w:t>.</w:t>
      </w:r>
    </w:p>
    <w:p w14:paraId="5D689C02" w14:textId="658C0239" w:rsidR="007E7BEE" w:rsidRPr="00B364EE" w:rsidRDefault="007E7BEE" w:rsidP="002A0561">
      <w:pPr>
        <w:spacing w:after="0" w:line="240" w:lineRule="auto"/>
        <w:ind w:left="1701" w:right="1699" w:hanging="425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A73574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57F167E7" w14:textId="77777777" w:rsidR="00A301C3" w:rsidRPr="009A5AD6" w:rsidRDefault="00A301C3" w:rsidP="00D73F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3586C5" w14:textId="7DF0BB5A" w:rsidR="006B6DCE" w:rsidRDefault="000A0618" w:rsidP="00D73F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A5AD6">
        <w:rPr>
          <w:rFonts w:ascii="Arial" w:hAnsi="Arial" w:cs="Arial"/>
          <w:sz w:val="24"/>
          <w:szCs w:val="24"/>
        </w:rPr>
        <w:t xml:space="preserve">Al desglosar los ingresos de </w:t>
      </w:r>
      <w:r w:rsidR="007E7BEE" w:rsidRPr="007E7BEE">
        <w:rPr>
          <w:rFonts w:ascii="Arial" w:hAnsi="Arial" w:cs="Arial"/>
          <w:smallCaps/>
          <w:sz w:val="24"/>
          <w:szCs w:val="24"/>
        </w:rPr>
        <w:t>cis</w:t>
      </w:r>
      <w:r w:rsidRPr="009A5AD6">
        <w:rPr>
          <w:rFonts w:ascii="Arial" w:hAnsi="Arial" w:cs="Arial"/>
          <w:sz w:val="24"/>
          <w:szCs w:val="24"/>
        </w:rPr>
        <w:t xml:space="preserve"> por parte de </w:t>
      </w:r>
      <w:r w:rsidR="007F4AA7" w:rsidRPr="009A5AD6">
        <w:rPr>
          <w:rFonts w:ascii="Arial" w:hAnsi="Arial" w:cs="Arial"/>
          <w:sz w:val="24"/>
          <w:szCs w:val="24"/>
        </w:rPr>
        <w:t>las empresas</w:t>
      </w:r>
      <w:r w:rsidRPr="009A5AD6">
        <w:rPr>
          <w:rFonts w:ascii="Arial" w:hAnsi="Arial" w:cs="Arial"/>
          <w:sz w:val="24"/>
          <w:szCs w:val="24"/>
        </w:rPr>
        <w:t>, l</w:t>
      </w:r>
      <w:r w:rsidR="00FE2DCD" w:rsidRPr="009A5AD6">
        <w:rPr>
          <w:rFonts w:ascii="Arial" w:hAnsi="Arial" w:cs="Arial"/>
          <w:sz w:val="24"/>
          <w:szCs w:val="24"/>
        </w:rPr>
        <w:t xml:space="preserve">os </w:t>
      </w:r>
      <w:r w:rsidR="00CB52B7">
        <w:rPr>
          <w:rFonts w:ascii="Arial" w:hAnsi="Arial" w:cs="Arial"/>
          <w:sz w:val="24"/>
          <w:szCs w:val="24"/>
        </w:rPr>
        <w:t>«</w:t>
      </w:r>
      <w:r w:rsidR="00FE2DCD" w:rsidRPr="009A5AD6">
        <w:rPr>
          <w:rFonts w:ascii="Arial" w:hAnsi="Arial" w:cs="Arial"/>
          <w:sz w:val="24"/>
          <w:szCs w:val="24"/>
        </w:rPr>
        <w:t>servicios de manufactura en insumos físicos que son propiedad de otros</w:t>
      </w:r>
      <w:r w:rsidR="00CB52B7">
        <w:rPr>
          <w:rFonts w:ascii="Arial" w:hAnsi="Arial" w:cs="Arial"/>
          <w:sz w:val="24"/>
          <w:szCs w:val="24"/>
        </w:rPr>
        <w:t>»</w:t>
      </w:r>
      <w:r w:rsidR="00FE2DCD" w:rsidRPr="009A5AD6">
        <w:rPr>
          <w:rFonts w:ascii="Arial" w:hAnsi="Arial" w:cs="Arial"/>
          <w:sz w:val="24"/>
          <w:szCs w:val="24"/>
        </w:rPr>
        <w:t xml:space="preserve"> generaron 80.5 </w:t>
      </w:r>
      <w:r w:rsidR="002A5B10" w:rsidRPr="009A5AD6">
        <w:rPr>
          <w:rFonts w:ascii="Arial" w:hAnsi="Arial" w:cs="Arial"/>
          <w:sz w:val="24"/>
          <w:szCs w:val="24"/>
        </w:rPr>
        <w:t>%</w:t>
      </w:r>
      <w:r w:rsidR="00FE2DCD" w:rsidRPr="009A5AD6">
        <w:rPr>
          <w:rFonts w:ascii="Arial" w:hAnsi="Arial" w:cs="Arial"/>
          <w:sz w:val="24"/>
          <w:szCs w:val="24"/>
        </w:rPr>
        <w:t xml:space="preserve"> del total de ingresos, tanto en 2020 como en 2021</w:t>
      </w:r>
      <w:r w:rsidR="0024445D">
        <w:rPr>
          <w:rFonts w:ascii="Arial" w:hAnsi="Arial" w:cs="Arial"/>
          <w:sz w:val="24"/>
          <w:szCs w:val="24"/>
        </w:rPr>
        <w:t>. E</w:t>
      </w:r>
      <w:r w:rsidR="00FE2DCD" w:rsidRPr="009A5AD6">
        <w:rPr>
          <w:rFonts w:ascii="Arial" w:hAnsi="Arial" w:cs="Arial"/>
          <w:sz w:val="24"/>
          <w:szCs w:val="24"/>
        </w:rPr>
        <w:t xml:space="preserve">ste tipo de servicio </w:t>
      </w:r>
      <w:r w:rsidR="00FB0F1B">
        <w:rPr>
          <w:rFonts w:ascii="Arial" w:hAnsi="Arial" w:cs="Arial"/>
          <w:sz w:val="24"/>
          <w:szCs w:val="24"/>
        </w:rPr>
        <w:t>fue</w:t>
      </w:r>
      <w:r w:rsidR="00FE2DCD" w:rsidRPr="009A5AD6">
        <w:rPr>
          <w:rFonts w:ascii="Arial" w:hAnsi="Arial" w:cs="Arial"/>
          <w:sz w:val="24"/>
          <w:szCs w:val="24"/>
        </w:rPr>
        <w:t xml:space="preserve"> la principal fuente de ingresos por </w:t>
      </w:r>
      <w:r w:rsidR="00FB0F1B" w:rsidRPr="00FB0F1B">
        <w:rPr>
          <w:rFonts w:ascii="Arial" w:hAnsi="Arial" w:cs="Arial"/>
          <w:smallCaps/>
          <w:sz w:val="24"/>
          <w:szCs w:val="24"/>
        </w:rPr>
        <w:t>cis</w:t>
      </w:r>
      <w:r w:rsidR="00FE2DCD" w:rsidRPr="009A5AD6">
        <w:rPr>
          <w:rFonts w:ascii="Arial" w:hAnsi="Arial" w:cs="Arial"/>
          <w:sz w:val="24"/>
          <w:szCs w:val="24"/>
        </w:rPr>
        <w:t xml:space="preserve">. </w:t>
      </w:r>
      <w:r w:rsidR="00FB0F1B">
        <w:rPr>
          <w:rFonts w:ascii="Arial" w:hAnsi="Arial" w:cs="Arial"/>
          <w:sz w:val="24"/>
          <w:szCs w:val="24"/>
        </w:rPr>
        <w:t>L</w:t>
      </w:r>
      <w:r w:rsidR="00FE2DCD" w:rsidRPr="009A5AD6">
        <w:rPr>
          <w:rFonts w:ascii="Arial" w:hAnsi="Arial" w:cs="Arial"/>
          <w:sz w:val="24"/>
          <w:szCs w:val="24"/>
        </w:rPr>
        <w:t xml:space="preserve">os servicios de </w:t>
      </w:r>
      <w:r w:rsidR="00CB52B7">
        <w:rPr>
          <w:rFonts w:ascii="Arial" w:hAnsi="Arial" w:cs="Arial"/>
          <w:sz w:val="24"/>
          <w:szCs w:val="24"/>
        </w:rPr>
        <w:t>«</w:t>
      </w:r>
      <w:r w:rsidR="00FE2DCD" w:rsidRPr="009A5AD6">
        <w:rPr>
          <w:rFonts w:ascii="Arial" w:hAnsi="Arial" w:cs="Arial"/>
          <w:sz w:val="24"/>
          <w:szCs w:val="24"/>
        </w:rPr>
        <w:t>transporte</w:t>
      </w:r>
      <w:r w:rsidR="00CB52B7">
        <w:rPr>
          <w:rFonts w:ascii="Arial" w:hAnsi="Arial" w:cs="Arial"/>
          <w:sz w:val="24"/>
          <w:szCs w:val="24"/>
        </w:rPr>
        <w:t>»</w:t>
      </w:r>
      <w:r w:rsidR="00FE2DCD" w:rsidRPr="009A5AD6">
        <w:rPr>
          <w:rFonts w:ascii="Arial" w:hAnsi="Arial" w:cs="Arial"/>
          <w:sz w:val="24"/>
          <w:szCs w:val="24"/>
        </w:rPr>
        <w:t xml:space="preserve"> aportaron 8.9 % en 2021, lo que representó un incremento de </w:t>
      </w:r>
      <w:r w:rsidR="00FB0F1B">
        <w:rPr>
          <w:rFonts w:ascii="Arial" w:hAnsi="Arial" w:cs="Arial"/>
          <w:sz w:val="24"/>
          <w:szCs w:val="24"/>
        </w:rPr>
        <w:br/>
      </w:r>
      <w:r w:rsidR="00FE2DCD" w:rsidRPr="009A5AD6">
        <w:rPr>
          <w:rFonts w:ascii="Arial" w:hAnsi="Arial" w:cs="Arial"/>
          <w:sz w:val="24"/>
          <w:szCs w:val="24"/>
        </w:rPr>
        <w:t xml:space="preserve">0.5 </w:t>
      </w:r>
      <w:r w:rsidR="00E07A9D" w:rsidRPr="009A5AD6">
        <w:rPr>
          <w:rFonts w:ascii="Arial" w:hAnsi="Arial" w:cs="Arial"/>
          <w:sz w:val="24"/>
          <w:szCs w:val="24"/>
        </w:rPr>
        <w:t>puntos porcentuales</w:t>
      </w:r>
      <w:r w:rsidR="00FE2DCD" w:rsidRPr="009A5AD6">
        <w:rPr>
          <w:rFonts w:ascii="Arial" w:hAnsi="Arial" w:cs="Arial"/>
          <w:sz w:val="24"/>
          <w:szCs w:val="24"/>
        </w:rPr>
        <w:t xml:space="preserve"> respecto </w:t>
      </w:r>
      <w:r w:rsidR="00FB0F1B">
        <w:rPr>
          <w:rFonts w:ascii="Arial" w:hAnsi="Arial" w:cs="Arial"/>
          <w:sz w:val="24"/>
          <w:szCs w:val="24"/>
        </w:rPr>
        <w:t>a</w:t>
      </w:r>
      <w:r w:rsidR="00FE2DCD" w:rsidRPr="009A5AD6">
        <w:rPr>
          <w:rFonts w:ascii="Arial" w:hAnsi="Arial" w:cs="Arial"/>
          <w:sz w:val="24"/>
          <w:szCs w:val="24"/>
        </w:rPr>
        <w:t xml:space="preserve"> 2020 (8.4 </w:t>
      </w:r>
      <w:r w:rsidRPr="009A5AD6">
        <w:rPr>
          <w:rFonts w:ascii="Arial" w:hAnsi="Arial" w:cs="Arial"/>
          <w:sz w:val="24"/>
          <w:szCs w:val="24"/>
        </w:rPr>
        <w:t>%</w:t>
      </w:r>
      <w:r w:rsidR="00FE2DCD" w:rsidRPr="009A5AD6">
        <w:rPr>
          <w:rFonts w:ascii="Arial" w:hAnsi="Arial" w:cs="Arial"/>
          <w:sz w:val="24"/>
          <w:szCs w:val="24"/>
        </w:rPr>
        <w:t xml:space="preserve">). </w:t>
      </w:r>
      <w:r w:rsidR="00CB52B7">
        <w:rPr>
          <w:rFonts w:ascii="Arial" w:hAnsi="Arial" w:cs="Arial"/>
          <w:sz w:val="24"/>
          <w:szCs w:val="24"/>
        </w:rPr>
        <w:t>«</w:t>
      </w:r>
      <w:r w:rsidR="00FE2DCD" w:rsidRPr="009A5AD6">
        <w:rPr>
          <w:rFonts w:ascii="Arial" w:hAnsi="Arial" w:cs="Arial"/>
          <w:sz w:val="24"/>
          <w:szCs w:val="24"/>
        </w:rPr>
        <w:t>Otros servicios empresariales</w:t>
      </w:r>
      <w:r w:rsidR="00CB52B7">
        <w:rPr>
          <w:rFonts w:ascii="Arial" w:hAnsi="Arial" w:cs="Arial"/>
          <w:sz w:val="24"/>
          <w:szCs w:val="24"/>
        </w:rPr>
        <w:t>»</w:t>
      </w:r>
      <w:r w:rsidR="00FE2DCD" w:rsidRPr="009A5AD6">
        <w:rPr>
          <w:rFonts w:ascii="Arial" w:hAnsi="Arial" w:cs="Arial"/>
          <w:sz w:val="24"/>
          <w:szCs w:val="24"/>
        </w:rPr>
        <w:t xml:space="preserve"> c</w:t>
      </w:r>
      <w:r w:rsidR="00FB0F1B">
        <w:rPr>
          <w:rFonts w:ascii="Arial" w:hAnsi="Arial" w:cs="Arial"/>
          <w:sz w:val="24"/>
          <w:szCs w:val="24"/>
        </w:rPr>
        <w:t xml:space="preserve">ontribuyeron con </w:t>
      </w:r>
      <w:r w:rsidR="00FE2DCD" w:rsidRPr="009A5AD6">
        <w:rPr>
          <w:rFonts w:ascii="Arial" w:hAnsi="Arial" w:cs="Arial"/>
          <w:sz w:val="24"/>
          <w:szCs w:val="24"/>
        </w:rPr>
        <w:t>6.4 %</w:t>
      </w:r>
      <w:r w:rsidR="00FB0F1B">
        <w:rPr>
          <w:rFonts w:ascii="Arial" w:hAnsi="Arial" w:cs="Arial"/>
          <w:sz w:val="24"/>
          <w:szCs w:val="24"/>
        </w:rPr>
        <w:t>,</w:t>
      </w:r>
      <w:r w:rsidR="00FE2DCD" w:rsidRPr="009A5AD6">
        <w:rPr>
          <w:rFonts w:ascii="Arial" w:hAnsi="Arial" w:cs="Arial"/>
          <w:sz w:val="24"/>
          <w:szCs w:val="24"/>
        </w:rPr>
        <w:t xml:space="preserve"> a pesar de que tuvo un decremento de 0.8 </w:t>
      </w:r>
      <w:r w:rsidR="00E07A9D" w:rsidRPr="009A5AD6">
        <w:rPr>
          <w:rFonts w:ascii="Arial" w:hAnsi="Arial" w:cs="Arial"/>
          <w:sz w:val="24"/>
          <w:szCs w:val="24"/>
        </w:rPr>
        <w:t>puntos porcentuales</w:t>
      </w:r>
      <w:r w:rsidR="00FE2DCD" w:rsidRPr="009A5AD6">
        <w:rPr>
          <w:rFonts w:ascii="Arial" w:hAnsi="Arial" w:cs="Arial"/>
          <w:sz w:val="24"/>
          <w:szCs w:val="24"/>
        </w:rPr>
        <w:t xml:space="preserve"> respecto de 2020. </w:t>
      </w:r>
      <w:r w:rsidR="00FB0F1B">
        <w:rPr>
          <w:rFonts w:ascii="Arial" w:hAnsi="Arial" w:cs="Arial"/>
          <w:sz w:val="24"/>
          <w:szCs w:val="24"/>
        </w:rPr>
        <w:t>L</w:t>
      </w:r>
      <w:r w:rsidR="00FE2DCD" w:rsidRPr="009A5AD6">
        <w:rPr>
          <w:rFonts w:ascii="Arial" w:hAnsi="Arial" w:cs="Arial"/>
          <w:sz w:val="24"/>
          <w:szCs w:val="24"/>
        </w:rPr>
        <w:t xml:space="preserve">os </w:t>
      </w:r>
      <w:r w:rsidR="00392918">
        <w:rPr>
          <w:rFonts w:ascii="Arial" w:hAnsi="Arial" w:cs="Arial"/>
          <w:sz w:val="24"/>
          <w:szCs w:val="24"/>
        </w:rPr>
        <w:t>«</w:t>
      </w:r>
      <w:r w:rsidR="00FE2DCD" w:rsidRPr="009A5AD6">
        <w:rPr>
          <w:rFonts w:ascii="Arial" w:hAnsi="Arial" w:cs="Arial"/>
          <w:sz w:val="24"/>
          <w:szCs w:val="24"/>
        </w:rPr>
        <w:t>servicios personales, culturales y recreativos</w:t>
      </w:r>
      <w:r w:rsidR="00CB52B7">
        <w:rPr>
          <w:rFonts w:ascii="Arial" w:hAnsi="Arial" w:cs="Arial"/>
          <w:sz w:val="24"/>
          <w:szCs w:val="24"/>
        </w:rPr>
        <w:t>»</w:t>
      </w:r>
      <w:r w:rsidR="00FE2DCD" w:rsidRPr="009A5AD6">
        <w:rPr>
          <w:rFonts w:ascii="Arial" w:hAnsi="Arial" w:cs="Arial"/>
          <w:sz w:val="24"/>
          <w:szCs w:val="24"/>
        </w:rPr>
        <w:t xml:space="preserve"> registra</w:t>
      </w:r>
      <w:r w:rsidR="00FB0F1B">
        <w:rPr>
          <w:rFonts w:ascii="Arial" w:hAnsi="Arial" w:cs="Arial"/>
          <w:sz w:val="24"/>
          <w:szCs w:val="24"/>
        </w:rPr>
        <w:t>ro</w:t>
      </w:r>
      <w:r w:rsidR="00FE2DCD" w:rsidRPr="009A5AD6">
        <w:rPr>
          <w:rFonts w:ascii="Arial" w:hAnsi="Arial" w:cs="Arial"/>
          <w:sz w:val="24"/>
          <w:szCs w:val="24"/>
        </w:rPr>
        <w:t>n un menor aporte</w:t>
      </w:r>
      <w:r w:rsidR="00FB0F1B">
        <w:rPr>
          <w:rFonts w:ascii="Arial" w:hAnsi="Arial" w:cs="Arial"/>
          <w:sz w:val="24"/>
          <w:szCs w:val="24"/>
        </w:rPr>
        <w:t>,</w:t>
      </w:r>
      <w:r w:rsidR="00FE2DCD" w:rsidRPr="009A5AD6">
        <w:rPr>
          <w:rFonts w:ascii="Arial" w:hAnsi="Arial" w:cs="Arial"/>
          <w:sz w:val="24"/>
          <w:szCs w:val="24"/>
        </w:rPr>
        <w:t xml:space="preserve"> con 0.02 % en 2021 y</w:t>
      </w:r>
      <w:r w:rsidR="00CB52B7">
        <w:rPr>
          <w:rFonts w:ascii="Arial" w:hAnsi="Arial" w:cs="Arial"/>
          <w:sz w:val="24"/>
          <w:szCs w:val="24"/>
        </w:rPr>
        <w:t xml:space="preserve"> </w:t>
      </w:r>
      <w:r w:rsidR="00FE2DCD" w:rsidRPr="009A5AD6">
        <w:rPr>
          <w:rFonts w:ascii="Arial" w:hAnsi="Arial" w:cs="Arial"/>
          <w:sz w:val="24"/>
          <w:szCs w:val="24"/>
        </w:rPr>
        <w:t>0.03 % en 2020</w:t>
      </w:r>
      <w:r w:rsidR="00392918">
        <w:rPr>
          <w:rFonts w:ascii="Arial" w:hAnsi="Arial" w:cs="Arial"/>
          <w:sz w:val="24"/>
          <w:szCs w:val="24"/>
        </w:rPr>
        <w:t xml:space="preserve">: su </w:t>
      </w:r>
      <w:r w:rsidR="00FE2DCD" w:rsidRPr="009A5AD6">
        <w:rPr>
          <w:rFonts w:ascii="Arial" w:hAnsi="Arial" w:cs="Arial"/>
          <w:sz w:val="24"/>
          <w:szCs w:val="24"/>
        </w:rPr>
        <w:t>disminu</w:t>
      </w:r>
      <w:r w:rsidR="00FB0F1B">
        <w:rPr>
          <w:rFonts w:ascii="Arial" w:hAnsi="Arial" w:cs="Arial"/>
          <w:sz w:val="24"/>
          <w:szCs w:val="24"/>
        </w:rPr>
        <w:t xml:space="preserve">ción </w:t>
      </w:r>
      <w:r w:rsidR="00392918">
        <w:rPr>
          <w:rFonts w:ascii="Arial" w:hAnsi="Arial" w:cs="Arial"/>
          <w:sz w:val="24"/>
          <w:szCs w:val="24"/>
        </w:rPr>
        <w:t xml:space="preserve">fue </w:t>
      </w:r>
      <w:r w:rsidR="00FB0F1B">
        <w:rPr>
          <w:rFonts w:ascii="Arial" w:hAnsi="Arial" w:cs="Arial"/>
          <w:sz w:val="24"/>
          <w:szCs w:val="24"/>
        </w:rPr>
        <w:t xml:space="preserve">de </w:t>
      </w:r>
      <w:r w:rsidR="00FE2DCD" w:rsidRPr="009A5AD6">
        <w:rPr>
          <w:rFonts w:ascii="Arial" w:hAnsi="Arial" w:cs="Arial"/>
          <w:sz w:val="24"/>
          <w:szCs w:val="24"/>
        </w:rPr>
        <w:t xml:space="preserve">0.01 </w:t>
      </w:r>
      <w:r w:rsidR="00E07A9D" w:rsidRPr="009A5AD6">
        <w:rPr>
          <w:rFonts w:ascii="Arial" w:hAnsi="Arial" w:cs="Arial"/>
          <w:sz w:val="24"/>
          <w:szCs w:val="24"/>
        </w:rPr>
        <w:t>puntos porcentuales</w:t>
      </w:r>
      <w:r w:rsidR="00FB0F1B">
        <w:rPr>
          <w:rFonts w:ascii="Arial" w:hAnsi="Arial" w:cs="Arial"/>
          <w:sz w:val="24"/>
          <w:szCs w:val="24"/>
        </w:rPr>
        <w:t>, lo que se puede ver en la gráfica 10.</w:t>
      </w:r>
    </w:p>
    <w:p w14:paraId="5BE8AF34" w14:textId="77777777" w:rsidR="00FB0F1B" w:rsidRPr="009A5AD6" w:rsidRDefault="00FB0F1B" w:rsidP="00D73F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F8554C4" w14:textId="1E087BCD" w:rsidR="00E7158B" w:rsidRPr="00300A11" w:rsidRDefault="006B6DCE" w:rsidP="002A0561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0CDFB972" w14:textId="77777777" w:rsidR="00300A11" w:rsidRDefault="00300A11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745FDFF9" w14:textId="4682395F" w:rsidR="009B66BE" w:rsidRPr="009A5AD6" w:rsidRDefault="00FE2DCD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9A5AD6">
        <w:rPr>
          <w:rFonts w:ascii="Arial" w:hAnsi="Arial" w:cs="Arial"/>
          <w:bCs/>
          <w:sz w:val="20"/>
          <w:szCs w:val="20"/>
        </w:rPr>
        <w:t xml:space="preserve">Gráfica </w:t>
      </w:r>
      <w:r w:rsidR="002A5B10" w:rsidRPr="009A5AD6">
        <w:rPr>
          <w:rFonts w:ascii="Arial" w:hAnsi="Arial" w:cs="Arial"/>
          <w:bCs/>
          <w:sz w:val="20"/>
          <w:szCs w:val="20"/>
        </w:rPr>
        <w:t>10</w:t>
      </w:r>
    </w:p>
    <w:p w14:paraId="74635BB1" w14:textId="3A636EC4" w:rsidR="008464EB" w:rsidRPr="009A5AD6" w:rsidRDefault="00B7364E" w:rsidP="006933F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Participación de los i</w:t>
      </w:r>
      <w:r w:rsidR="00FE2DCD" w:rsidRPr="009A5AD6">
        <w:rPr>
          <w:rFonts w:ascii="Arial" w:hAnsi="Arial" w:cs="Arial"/>
          <w:b/>
          <w:bCs/>
          <w:smallCaps/>
        </w:rPr>
        <w:t xml:space="preserve">ngresos de empresas que realizaron comercio internacional de servicios, </w:t>
      </w:r>
      <w:r w:rsidR="006933F1">
        <w:rPr>
          <w:rFonts w:ascii="Arial" w:hAnsi="Arial" w:cs="Arial"/>
          <w:b/>
          <w:bCs/>
          <w:smallCaps/>
        </w:rPr>
        <w:t>según tipo de servicio en 2020 y 2021</w:t>
      </w:r>
    </w:p>
    <w:p w14:paraId="7CE390CE" w14:textId="04EEB55F" w:rsidR="00DA6643" w:rsidRPr="009A5AD6" w:rsidRDefault="00DA6643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</w:t>
      </w:r>
      <w:r w:rsidR="00FB0F1B">
        <w:rPr>
          <w:rFonts w:ascii="Arial" w:hAnsi="Arial" w:cs="Arial"/>
          <w:sz w:val="18"/>
          <w:szCs w:val="24"/>
        </w:rPr>
        <w:t>p</w:t>
      </w:r>
      <w:r w:rsidRPr="009A5AD6">
        <w:rPr>
          <w:rFonts w:ascii="Arial" w:hAnsi="Arial" w:cs="Arial"/>
          <w:sz w:val="18"/>
          <w:szCs w:val="24"/>
        </w:rPr>
        <w:t>orcentaje)</w:t>
      </w:r>
    </w:p>
    <w:p w14:paraId="5D7D33B1" w14:textId="55B4D238" w:rsidR="00FE2DCD" w:rsidRPr="00572DB1" w:rsidRDefault="00A524C2" w:rsidP="00D73FB7">
      <w:pPr>
        <w:spacing w:line="240" w:lineRule="auto"/>
        <w:jc w:val="center"/>
        <w:rPr>
          <w:color w:val="404040" w:themeColor="text1" w:themeTint="BF"/>
        </w:rPr>
      </w:pPr>
      <w:r>
        <w:rPr>
          <w:noProof/>
        </w:rPr>
        <w:drawing>
          <wp:inline distT="0" distB="0" distL="0" distR="0" wp14:anchorId="14F1A183" wp14:editId="2D0BC0CA">
            <wp:extent cx="5279477" cy="2246400"/>
            <wp:effectExtent l="0" t="0" r="0" b="190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9477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36B5F" w14:textId="23FABA48" w:rsidR="00FB0F1B" w:rsidRDefault="00FE2DCD" w:rsidP="00FB0F1B">
      <w:pPr>
        <w:pStyle w:val="NormalWeb"/>
        <w:spacing w:before="0" w:beforeAutospacing="0" w:after="0" w:afterAutospacing="0"/>
        <w:ind w:left="993" w:right="990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eastAsia="+mn-ea" w:hAnsi="Arial" w:cs="Arial"/>
          <w:bCs/>
          <w:kern w:val="24"/>
          <w:sz w:val="16"/>
          <w:szCs w:val="16"/>
        </w:rPr>
        <w:t xml:space="preserve">Nota: </w:t>
      </w:r>
      <w:r w:rsidR="00FB0F1B">
        <w:rPr>
          <w:rFonts w:ascii="Arial" w:eastAsia="+mn-ea" w:hAnsi="Arial" w:cs="Arial"/>
          <w:bCs/>
          <w:kern w:val="24"/>
          <w:sz w:val="16"/>
          <w:szCs w:val="16"/>
        </w:rPr>
        <w:t xml:space="preserve">    </w:t>
      </w:r>
      <w:r w:rsidR="001C4D86" w:rsidRPr="009A5AD6">
        <w:rPr>
          <w:rFonts w:ascii="Arial" w:hAnsi="Arial" w:cs="Arial"/>
          <w:bCs/>
          <w:sz w:val="16"/>
          <w:szCs w:val="16"/>
        </w:rPr>
        <w:t xml:space="preserve">Porcentajes obtenidos respecto del total de ingresos a precios constantes </w:t>
      </w:r>
      <w:r w:rsidR="00FB0F1B" w:rsidRPr="00FB0F1B">
        <w:rPr>
          <w:rFonts w:ascii="Arial" w:hAnsi="Arial" w:cs="Arial"/>
          <w:bCs/>
          <w:smallCaps/>
          <w:sz w:val="16"/>
          <w:szCs w:val="16"/>
        </w:rPr>
        <w:t>inpp</w:t>
      </w:r>
      <w:r w:rsidR="001C4D86" w:rsidRPr="009A5AD6">
        <w:rPr>
          <w:rFonts w:ascii="Arial" w:hAnsi="Arial" w:cs="Arial"/>
          <w:bCs/>
          <w:sz w:val="16"/>
          <w:szCs w:val="16"/>
        </w:rPr>
        <w:t xml:space="preserve"> promedio anual 2021 por </w:t>
      </w:r>
    </w:p>
    <w:p w14:paraId="5C70D083" w14:textId="590F0989" w:rsidR="001C4D86" w:rsidRPr="009A5AD6" w:rsidRDefault="00FB0F1B" w:rsidP="002A0561">
      <w:pPr>
        <w:pStyle w:val="NormalWeb"/>
        <w:spacing w:before="0" w:beforeAutospacing="0" w:after="0" w:afterAutospacing="0"/>
        <w:ind w:left="993" w:right="99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eastAsia="+mn-ea" w:hAnsi="Arial" w:cs="Arial"/>
          <w:bCs/>
          <w:kern w:val="24"/>
          <w:sz w:val="16"/>
          <w:szCs w:val="16"/>
        </w:rPr>
        <w:t xml:space="preserve">             </w:t>
      </w:r>
      <w:r w:rsidR="001C4D86" w:rsidRPr="009A5AD6">
        <w:rPr>
          <w:rFonts w:ascii="Arial" w:hAnsi="Arial" w:cs="Arial"/>
          <w:bCs/>
          <w:sz w:val="16"/>
          <w:szCs w:val="16"/>
        </w:rPr>
        <w:t>clase de actividad</w:t>
      </w:r>
      <w:r w:rsidR="0033245C" w:rsidRPr="009A5AD6">
        <w:rPr>
          <w:rFonts w:ascii="Arial" w:hAnsi="Arial" w:cs="Arial"/>
          <w:bCs/>
          <w:sz w:val="16"/>
          <w:szCs w:val="16"/>
        </w:rPr>
        <w:t xml:space="preserve"> </w:t>
      </w:r>
      <w:r w:rsidR="001C4D86" w:rsidRPr="009A5AD6">
        <w:rPr>
          <w:rFonts w:ascii="Arial" w:hAnsi="Arial" w:cs="Arial"/>
          <w:bCs/>
          <w:sz w:val="16"/>
          <w:szCs w:val="16"/>
        </w:rPr>
        <w:t>económica.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</w:rPr>
        <w:t xml:space="preserve">          </w:t>
      </w:r>
    </w:p>
    <w:p w14:paraId="63ED99AE" w14:textId="50A094AA" w:rsidR="00FE2DCD" w:rsidRPr="009A5AD6" w:rsidRDefault="00FB0F1B" w:rsidP="002A0561">
      <w:pPr>
        <w:pStyle w:val="NormalWeb"/>
        <w:spacing w:before="0" w:beforeAutospacing="0" w:after="0" w:afterAutospacing="0"/>
        <w:ind w:left="993" w:right="99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+mn-ea" w:hAnsi="Arial" w:cs="Arial"/>
          <w:bCs/>
          <w:kern w:val="24"/>
          <w:sz w:val="16"/>
          <w:szCs w:val="16"/>
        </w:rPr>
        <w:t xml:space="preserve">             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</w:rPr>
        <w:t>La suma de los porcentajes puede no</w:t>
      </w:r>
      <w:r w:rsidR="00392918">
        <w:rPr>
          <w:rFonts w:ascii="Arial" w:eastAsia="+mn-ea" w:hAnsi="Arial" w:cs="Arial"/>
          <w:bCs/>
          <w:kern w:val="24"/>
          <w:sz w:val="16"/>
          <w:szCs w:val="16"/>
        </w:rPr>
        <w:t xml:space="preserve"> </w:t>
      </w:r>
      <w:r w:rsidR="007A49BD">
        <w:rPr>
          <w:rFonts w:ascii="Arial" w:eastAsia="+mn-ea" w:hAnsi="Arial" w:cs="Arial"/>
          <w:bCs/>
          <w:kern w:val="24"/>
          <w:sz w:val="16"/>
          <w:szCs w:val="16"/>
        </w:rPr>
        <w:t xml:space="preserve">corresponder al 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</w:rPr>
        <w:t>100</w:t>
      </w:r>
      <w:r w:rsidR="007A49BD">
        <w:rPr>
          <w:rFonts w:ascii="Arial" w:eastAsia="+mn-ea" w:hAnsi="Arial" w:cs="Arial"/>
          <w:bCs/>
          <w:kern w:val="24"/>
          <w:sz w:val="16"/>
          <w:szCs w:val="16"/>
        </w:rPr>
        <w:t>.0 %</w:t>
      </w:r>
      <w:r w:rsidR="00392918">
        <w:rPr>
          <w:rFonts w:ascii="Arial" w:eastAsia="+mn-ea" w:hAnsi="Arial" w:cs="Arial"/>
          <w:bCs/>
          <w:kern w:val="24"/>
          <w:sz w:val="16"/>
          <w:szCs w:val="16"/>
        </w:rPr>
        <w:t xml:space="preserve"> 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</w:rPr>
        <w:t>debido al redondeo.</w:t>
      </w:r>
    </w:p>
    <w:p w14:paraId="397ACFF8" w14:textId="1583F329" w:rsidR="00FB0F1B" w:rsidRPr="00B364EE" w:rsidRDefault="00FB0F1B" w:rsidP="002A0561">
      <w:pPr>
        <w:spacing w:after="0" w:line="240" w:lineRule="auto"/>
        <w:ind w:left="1701" w:right="1699" w:hanging="708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A73574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2D1AB22F" w14:textId="77777777" w:rsidR="00A301C3" w:rsidRPr="009A5AD6" w:rsidRDefault="00A301C3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546E22" w14:textId="373B7A93" w:rsidR="002B4BCC" w:rsidRPr="009A5AD6" w:rsidRDefault="00FE2DCD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AD6">
        <w:rPr>
          <w:rFonts w:ascii="Arial" w:hAnsi="Arial" w:cs="Arial"/>
          <w:sz w:val="24"/>
          <w:szCs w:val="24"/>
        </w:rPr>
        <w:t xml:space="preserve">Para 2021, la principal fuente de ingresos por exportaciones </w:t>
      </w:r>
      <w:r w:rsidR="000A0618" w:rsidRPr="009A5AD6">
        <w:rPr>
          <w:rFonts w:ascii="Arial" w:hAnsi="Arial" w:cs="Arial"/>
          <w:sz w:val="24"/>
          <w:szCs w:val="24"/>
        </w:rPr>
        <w:t xml:space="preserve">de </w:t>
      </w:r>
      <w:r w:rsidR="00FB0F1B" w:rsidRPr="00FB0F1B">
        <w:rPr>
          <w:rFonts w:ascii="Arial" w:hAnsi="Arial" w:cs="Arial"/>
          <w:smallCaps/>
          <w:sz w:val="24"/>
          <w:szCs w:val="24"/>
        </w:rPr>
        <w:t>cis</w:t>
      </w:r>
      <w:r w:rsidR="000A0618" w:rsidRPr="009A5AD6">
        <w:rPr>
          <w:rFonts w:ascii="Arial" w:hAnsi="Arial" w:cs="Arial"/>
          <w:sz w:val="24"/>
          <w:szCs w:val="24"/>
        </w:rPr>
        <w:t xml:space="preserve"> </w:t>
      </w:r>
      <w:r w:rsidRPr="009A5AD6">
        <w:rPr>
          <w:rFonts w:ascii="Arial" w:hAnsi="Arial" w:cs="Arial"/>
          <w:sz w:val="24"/>
          <w:szCs w:val="24"/>
        </w:rPr>
        <w:t xml:space="preserve">de las empresas </w:t>
      </w:r>
      <w:r w:rsidR="00CB52B7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grandes</w:t>
      </w:r>
      <w:r w:rsidR="00CB52B7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</w:t>
      </w:r>
      <w:r w:rsidR="000A0618" w:rsidRPr="009A5AD6">
        <w:rPr>
          <w:rFonts w:ascii="Arial" w:hAnsi="Arial" w:cs="Arial"/>
          <w:sz w:val="24"/>
          <w:szCs w:val="24"/>
        </w:rPr>
        <w:t>correspond</w:t>
      </w:r>
      <w:r w:rsidR="00392918">
        <w:rPr>
          <w:rFonts w:ascii="Arial" w:hAnsi="Arial" w:cs="Arial"/>
          <w:sz w:val="24"/>
          <w:szCs w:val="24"/>
        </w:rPr>
        <w:t>ió</w:t>
      </w:r>
      <w:r w:rsidR="000A0618" w:rsidRPr="009A5AD6">
        <w:rPr>
          <w:rFonts w:ascii="Arial" w:hAnsi="Arial" w:cs="Arial"/>
          <w:sz w:val="24"/>
          <w:szCs w:val="24"/>
        </w:rPr>
        <w:t xml:space="preserve"> a </w:t>
      </w:r>
      <w:r w:rsidRPr="009A5AD6">
        <w:rPr>
          <w:rFonts w:ascii="Arial" w:hAnsi="Arial" w:cs="Arial"/>
          <w:sz w:val="24"/>
          <w:szCs w:val="24"/>
        </w:rPr>
        <w:t xml:space="preserve">los </w:t>
      </w:r>
      <w:r w:rsidR="00CB52B7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de manufactura en insumos físicos que son propiedad de otros</w:t>
      </w:r>
      <w:r w:rsidR="00CB52B7">
        <w:rPr>
          <w:rFonts w:ascii="Arial" w:hAnsi="Arial" w:cs="Arial"/>
          <w:sz w:val="24"/>
          <w:szCs w:val="24"/>
        </w:rPr>
        <w:t>»</w:t>
      </w:r>
      <w:r w:rsidR="00392918">
        <w:rPr>
          <w:rFonts w:ascii="Arial" w:hAnsi="Arial" w:cs="Arial"/>
          <w:sz w:val="24"/>
          <w:szCs w:val="24"/>
        </w:rPr>
        <w:t xml:space="preserve">. Estos captaron </w:t>
      </w:r>
      <w:r w:rsidRPr="009A5AD6">
        <w:rPr>
          <w:rFonts w:ascii="Arial" w:hAnsi="Arial" w:cs="Arial"/>
          <w:sz w:val="24"/>
          <w:szCs w:val="24"/>
        </w:rPr>
        <w:t>82.3 % del total de ingresos</w:t>
      </w:r>
      <w:r w:rsidR="00392918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caso similar al de las empresas </w:t>
      </w:r>
      <w:r w:rsidR="00CB52B7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medianas</w:t>
      </w:r>
      <w:r w:rsidR="00CB52B7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y </w:t>
      </w:r>
      <w:r w:rsidR="00CB52B7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micro</w:t>
      </w:r>
      <w:r w:rsidR="00CB52B7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, </w:t>
      </w:r>
      <w:r w:rsidR="00FB0F1B">
        <w:rPr>
          <w:rFonts w:ascii="Arial" w:hAnsi="Arial" w:cs="Arial"/>
          <w:sz w:val="24"/>
          <w:szCs w:val="24"/>
        </w:rPr>
        <w:t xml:space="preserve">a las </w:t>
      </w:r>
      <w:r w:rsidR="00392918">
        <w:rPr>
          <w:rFonts w:ascii="Arial" w:hAnsi="Arial" w:cs="Arial"/>
          <w:sz w:val="24"/>
          <w:szCs w:val="24"/>
        </w:rPr>
        <w:t xml:space="preserve">que se </w:t>
      </w:r>
      <w:r w:rsidRPr="009A5AD6">
        <w:rPr>
          <w:rFonts w:ascii="Arial" w:hAnsi="Arial" w:cs="Arial"/>
          <w:sz w:val="24"/>
          <w:szCs w:val="24"/>
        </w:rPr>
        <w:t>atribuye 85.8</w:t>
      </w:r>
      <w:r w:rsidR="00FB0F1B">
        <w:rPr>
          <w:rFonts w:ascii="Arial" w:hAnsi="Arial" w:cs="Arial"/>
          <w:sz w:val="24"/>
          <w:szCs w:val="24"/>
        </w:rPr>
        <w:t xml:space="preserve"> y</w:t>
      </w:r>
      <w:r w:rsidRPr="009A5AD6">
        <w:rPr>
          <w:rFonts w:ascii="Arial" w:hAnsi="Arial" w:cs="Arial"/>
          <w:sz w:val="24"/>
          <w:szCs w:val="24"/>
        </w:rPr>
        <w:t xml:space="preserve"> 78.6 % del total reportado, respectivamente. Para el caso de las empresas </w:t>
      </w:r>
      <w:r w:rsidR="00CB52B7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pequeñas</w:t>
      </w:r>
      <w:r w:rsidR="00CB52B7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, los </w:t>
      </w:r>
      <w:r w:rsidR="00CB52B7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de manufactura en insumos físicos que son propiedad de otros</w:t>
      </w:r>
      <w:r w:rsidR="00CB52B7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representa</w:t>
      </w:r>
      <w:r w:rsidR="00FB0F1B">
        <w:rPr>
          <w:rFonts w:ascii="Arial" w:hAnsi="Arial" w:cs="Arial"/>
          <w:sz w:val="24"/>
          <w:szCs w:val="24"/>
        </w:rPr>
        <w:t>ro</w:t>
      </w:r>
      <w:r w:rsidRPr="009A5AD6">
        <w:rPr>
          <w:rFonts w:ascii="Arial" w:hAnsi="Arial" w:cs="Arial"/>
          <w:sz w:val="24"/>
          <w:szCs w:val="24"/>
        </w:rPr>
        <w:t>n la principal fuente</w:t>
      </w:r>
      <w:r w:rsidR="00CB52B7">
        <w:rPr>
          <w:rFonts w:ascii="Arial" w:hAnsi="Arial" w:cs="Arial"/>
          <w:sz w:val="24"/>
          <w:szCs w:val="24"/>
        </w:rPr>
        <w:t xml:space="preserve"> de ingresos</w:t>
      </w:r>
      <w:r w:rsidR="00392918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con 52.4 </w:t>
      </w:r>
      <w:r w:rsidR="00392918">
        <w:rPr>
          <w:rFonts w:ascii="Arial" w:hAnsi="Arial" w:cs="Arial"/>
          <w:sz w:val="24"/>
          <w:szCs w:val="24"/>
        </w:rPr>
        <w:t xml:space="preserve">por ciento. El </w:t>
      </w:r>
      <w:r w:rsidRPr="009A5AD6">
        <w:rPr>
          <w:rFonts w:ascii="Arial" w:hAnsi="Arial" w:cs="Arial"/>
          <w:sz w:val="24"/>
          <w:szCs w:val="24"/>
        </w:rPr>
        <w:t xml:space="preserve">componente de </w:t>
      </w:r>
      <w:r w:rsidR="00CB52B7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otros servicios empresariales</w:t>
      </w:r>
      <w:r w:rsidR="00CB52B7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</w:t>
      </w:r>
      <w:r w:rsidR="00FB0F1B">
        <w:rPr>
          <w:rFonts w:ascii="Arial" w:hAnsi="Arial" w:cs="Arial"/>
          <w:sz w:val="24"/>
          <w:szCs w:val="24"/>
        </w:rPr>
        <w:t>aportó</w:t>
      </w:r>
      <w:r w:rsidRPr="009A5AD6">
        <w:rPr>
          <w:rFonts w:ascii="Arial" w:hAnsi="Arial" w:cs="Arial"/>
          <w:sz w:val="24"/>
          <w:szCs w:val="24"/>
        </w:rPr>
        <w:t xml:space="preserve"> 33.5 % de los ingresos</w:t>
      </w:r>
      <w:r w:rsidR="00FB0F1B">
        <w:rPr>
          <w:rFonts w:ascii="Arial" w:hAnsi="Arial" w:cs="Arial"/>
          <w:sz w:val="24"/>
          <w:szCs w:val="24"/>
        </w:rPr>
        <w:t xml:space="preserve"> (ver gráfica 11).</w:t>
      </w:r>
    </w:p>
    <w:p w14:paraId="18E591C1" w14:textId="68D020FA" w:rsidR="003A5CCE" w:rsidRPr="00572DB1" w:rsidRDefault="00167EB0" w:rsidP="002A0561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2BE0390B" w14:textId="77777777" w:rsidR="00A524C2" w:rsidRDefault="00A524C2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</w:p>
    <w:p w14:paraId="72ED4D9C" w14:textId="36EFE2E5" w:rsidR="00C45503" w:rsidRPr="009A5AD6" w:rsidRDefault="00FE2DCD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9A5AD6">
        <w:rPr>
          <w:rFonts w:ascii="Arial" w:hAnsi="Arial" w:cs="Arial"/>
          <w:bCs/>
          <w:sz w:val="20"/>
          <w:szCs w:val="20"/>
        </w:rPr>
        <w:t xml:space="preserve">Gráfica </w:t>
      </w:r>
      <w:r w:rsidR="00991322" w:rsidRPr="009A5AD6">
        <w:rPr>
          <w:rFonts w:ascii="Arial" w:hAnsi="Arial" w:cs="Arial"/>
          <w:bCs/>
          <w:sz w:val="20"/>
          <w:szCs w:val="20"/>
        </w:rPr>
        <w:t>11</w:t>
      </w:r>
    </w:p>
    <w:p w14:paraId="2A65AC25" w14:textId="0E7A90A5" w:rsidR="00FB0F1B" w:rsidRDefault="001D2563" w:rsidP="00FB0F1B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</w:t>
      </w:r>
      <w:r w:rsidR="007E7461">
        <w:rPr>
          <w:rFonts w:ascii="Arial" w:hAnsi="Arial" w:cs="Arial"/>
          <w:b/>
          <w:bCs/>
          <w:smallCaps/>
        </w:rPr>
        <w:t>t</w:t>
      </w:r>
      <w:r>
        <w:rPr>
          <w:rFonts w:ascii="Arial" w:hAnsi="Arial" w:cs="Arial"/>
          <w:b/>
          <w:bCs/>
          <w:smallCaps/>
        </w:rPr>
        <w:t>icipación de los i</w:t>
      </w:r>
      <w:r w:rsidR="00FE2DCD" w:rsidRPr="009A5AD6">
        <w:rPr>
          <w:rFonts w:ascii="Arial" w:hAnsi="Arial" w:cs="Arial"/>
          <w:b/>
          <w:bCs/>
          <w:smallCaps/>
        </w:rPr>
        <w:t xml:space="preserve">ngresos de empresas que realizaron comercio internacional de servicios </w:t>
      </w:r>
      <w:r w:rsidR="00380BD6">
        <w:rPr>
          <w:rFonts w:ascii="Arial" w:hAnsi="Arial" w:cs="Arial"/>
          <w:b/>
          <w:bCs/>
          <w:smallCaps/>
        </w:rPr>
        <w:t>por tamaño de empresa, según tipo de servicio en 2021</w:t>
      </w:r>
    </w:p>
    <w:p w14:paraId="78AFD64C" w14:textId="36611D24" w:rsidR="00DA6643" w:rsidRPr="009A5AD6" w:rsidRDefault="00DA6643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(Porcentaje)</w:t>
      </w:r>
    </w:p>
    <w:p w14:paraId="40C4D162" w14:textId="5A9A22BC" w:rsidR="00FE2DCD" w:rsidRPr="008F7A0F" w:rsidRDefault="00A524C2" w:rsidP="002A0561">
      <w:pPr>
        <w:spacing w:after="60" w:line="240" w:lineRule="auto"/>
        <w:jc w:val="center"/>
        <w:rPr>
          <w:rFonts w:ascii="Arial" w:hAnsi="Arial" w:cs="Arial"/>
          <w:bCs/>
          <w:smallCaps/>
          <w:color w:val="A6A6A6" w:themeColor="background1" w:themeShade="A6"/>
          <w:sz w:val="14"/>
        </w:rPr>
      </w:pPr>
      <w:r>
        <w:rPr>
          <w:noProof/>
        </w:rPr>
        <w:drawing>
          <wp:inline distT="0" distB="0" distL="0" distR="0" wp14:anchorId="66335DA9" wp14:editId="0AF660D2">
            <wp:extent cx="4651095" cy="2160000"/>
            <wp:effectExtent l="0" t="0" r="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651095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2B3B0" w14:textId="77777777" w:rsidR="00FB0F1B" w:rsidRDefault="00FE2DCD" w:rsidP="00FB0F1B">
      <w:pPr>
        <w:pStyle w:val="NormalWeb"/>
        <w:spacing w:before="0" w:beforeAutospacing="0" w:after="0" w:afterAutospacing="0"/>
        <w:ind w:left="1418" w:right="1416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eastAsia="+mn-ea" w:hAnsi="Arial" w:cs="Arial"/>
          <w:bCs/>
          <w:kern w:val="24"/>
          <w:sz w:val="16"/>
          <w:szCs w:val="16"/>
        </w:rPr>
        <w:t xml:space="preserve">Nota: </w:t>
      </w:r>
      <w:r w:rsidR="00FB0F1B">
        <w:rPr>
          <w:rFonts w:ascii="Arial" w:eastAsia="+mn-ea" w:hAnsi="Arial" w:cs="Arial"/>
          <w:bCs/>
          <w:kern w:val="24"/>
          <w:sz w:val="16"/>
          <w:szCs w:val="16"/>
        </w:rPr>
        <w:t xml:space="preserve">   </w:t>
      </w:r>
      <w:r w:rsidR="00FE203E" w:rsidRPr="009A5AD6">
        <w:rPr>
          <w:rFonts w:ascii="Arial" w:hAnsi="Arial" w:cs="Arial"/>
          <w:bCs/>
          <w:sz w:val="16"/>
          <w:szCs w:val="16"/>
        </w:rPr>
        <w:t xml:space="preserve">Porcentajes obtenidos respecto del total de ingresos a precios constantes </w:t>
      </w:r>
      <w:r w:rsidR="00FB0F1B" w:rsidRPr="00FB0F1B">
        <w:rPr>
          <w:rFonts w:ascii="Arial" w:hAnsi="Arial" w:cs="Arial"/>
          <w:bCs/>
          <w:smallCaps/>
          <w:sz w:val="16"/>
          <w:szCs w:val="16"/>
        </w:rPr>
        <w:t xml:space="preserve">inpp </w:t>
      </w:r>
      <w:r w:rsidR="00FE203E" w:rsidRPr="009A5AD6">
        <w:rPr>
          <w:rFonts w:ascii="Arial" w:hAnsi="Arial" w:cs="Arial"/>
          <w:bCs/>
          <w:sz w:val="16"/>
          <w:szCs w:val="16"/>
        </w:rPr>
        <w:t xml:space="preserve">promedio </w:t>
      </w:r>
    </w:p>
    <w:p w14:paraId="09F34AC6" w14:textId="244FA976" w:rsidR="0033245C" w:rsidRPr="009A5AD6" w:rsidRDefault="00FB0F1B" w:rsidP="002A0561">
      <w:pPr>
        <w:pStyle w:val="NormalWeb"/>
        <w:spacing w:before="0" w:beforeAutospacing="0" w:after="0" w:afterAutospacing="0"/>
        <w:ind w:left="1418" w:right="141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eastAsia="+mn-ea" w:hAnsi="Arial" w:cs="Arial"/>
          <w:bCs/>
          <w:kern w:val="24"/>
          <w:sz w:val="16"/>
          <w:szCs w:val="16"/>
        </w:rPr>
        <w:t xml:space="preserve">             </w:t>
      </w:r>
      <w:r w:rsidR="00FE203E" w:rsidRPr="009A5AD6">
        <w:rPr>
          <w:rFonts w:ascii="Arial" w:hAnsi="Arial" w:cs="Arial"/>
          <w:bCs/>
          <w:sz w:val="16"/>
          <w:szCs w:val="16"/>
        </w:rPr>
        <w:t>anual 2021 por clase de actividad</w:t>
      </w:r>
      <w:r w:rsidR="0033245C" w:rsidRPr="009A5AD6">
        <w:rPr>
          <w:rFonts w:ascii="Arial" w:hAnsi="Arial" w:cs="Arial"/>
          <w:bCs/>
          <w:sz w:val="16"/>
          <w:szCs w:val="16"/>
        </w:rPr>
        <w:t xml:space="preserve"> económica por tamaño de empresa.</w:t>
      </w:r>
    </w:p>
    <w:p w14:paraId="65A682D2" w14:textId="72663B79" w:rsidR="00133D7D" w:rsidRPr="009A5AD6" w:rsidRDefault="0033245C" w:rsidP="002A0561">
      <w:pPr>
        <w:pStyle w:val="NormalWeb"/>
        <w:spacing w:before="0" w:beforeAutospacing="0" w:after="0" w:afterAutospacing="0"/>
        <w:ind w:left="1418" w:right="1416"/>
        <w:jc w:val="both"/>
        <w:rPr>
          <w:rFonts w:ascii="Arial" w:eastAsia="+mn-ea" w:hAnsi="Arial" w:cs="Arial"/>
          <w:bCs/>
          <w:kern w:val="24"/>
          <w:sz w:val="16"/>
          <w:szCs w:val="16"/>
        </w:rPr>
      </w:pPr>
      <w:r w:rsidRPr="009A5AD6">
        <w:rPr>
          <w:rFonts w:ascii="Arial" w:eastAsia="+mn-ea" w:hAnsi="Arial" w:cs="Arial"/>
          <w:bCs/>
          <w:kern w:val="24"/>
          <w:sz w:val="16"/>
          <w:szCs w:val="16"/>
        </w:rPr>
        <w:t xml:space="preserve">          </w:t>
      </w:r>
      <w:r w:rsidR="00FB0F1B">
        <w:rPr>
          <w:rFonts w:ascii="Arial" w:eastAsia="+mn-ea" w:hAnsi="Arial" w:cs="Arial"/>
          <w:bCs/>
          <w:kern w:val="24"/>
          <w:sz w:val="16"/>
          <w:szCs w:val="16"/>
        </w:rPr>
        <w:t xml:space="preserve">   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</w:rPr>
        <w:t>La suma de los porcentajes puede no</w:t>
      </w:r>
      <w:r w:rsidR="006E0BA4">
        <w:rPr>
          <w:rFonts w:ascii="Arial" w:eastAsia="+mn-ea" w:hAnsi="Arial" w:cs="Arial"/>
          <w:bCs/>
          <w:kern w:val="24"/>
          <w:sz w:val="16"/>
          <w:szCs w:val="16"/>
        </w:rPr>
        <w:t xml:space="preserve"> </w:t>
      </w:r>
      <w:r w:rsidR="007A49BD">
        <w:rPr>
          <w:rFonts w:ascii="Arial" w:eastAsia="+mn-ea" w:hAnsi="Arial" w:cs="Arial"/>
          <w:bCs/>
          <w:kern w:val="24"/>
          <w:sz w:val="16"/>
          <w:szCs w:val="16"/>
        </w:rPr>
        <w:t xml:space="preserve">corresponder al 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</w:rPr>
        <w:t>100</w:t>
      </w:r>
      <w:r w:rsidR="007A49BD">
        <w:rPr>
          <w:rFonts w:ascii="Arial" w:eastAsia="+mn-ea" w:hAnsi="Arial" w:cs="Arial"/>
          <w:bCs/>
          <w:kern w:val="24"/>
          <w:sz w:val="16"/>
          <w:szCs w:val="16"/>
        </w:rPr>
        <w:t>.0 %</w:t>
      </w:r>
      <w:r w:rsidR="006E0BA4">
        <w:rPr>
          <w:rFonts w:ascii="Arial" w:eastAsia="+mn-ea" w:hAnsi="Arial" w:cs="Arial"/>
          <w:bCs/>
          <w:kern w:val="24"/>
          <w:sz w:val="16"/>
          <w:szCs w:val="16"/>
        </w:rPr>
        <w:t xml:space="preserve"> 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</w:rPr>
        <w:t>debido al redondeo.</w:t>
      </w:r>
    </w:p>
    <w:p w14:paraId="12807546" w14:textId="4F8EC038" w:rsidR="00FB0F1B" w:rsidRDefault="00FB0F1B" w:rsidP="00FB0F1B">
      <w:pPr>
        <w:pStyle w:val="NormalWeb"/>
        <w:spacing w:before="0" w:beforeAutospacing="0" w:after="0" w:afterAutospacing="0"/>
        <w:ind w:left="1418" w:right="1416"/>
        <w:jc w:val="both"/>
        <w:rPr>
          <w:rFonts w:ascii="Arial" w:eastAsia="+mn-ea" w:hAnsi="Arial" w:cs="Arial"/>
          <w:bCs/>
          <w:kern w:val="24"/>
          <w:sz w:val="16"/>
          <w:szCs w:val="16"/>
        </w:rPr>
      </w:pPr>
      <w:r>
        <w:rPr>
          <w:rFonts w:ascii="Arial" w:eastAsia="+mn-ea" w:hAnsi="Arial" w:cs="Arial"/>
          <w:bCs/>
          <w:kern w:val="24"/>
          <w:sz w:val="16"/>
          <w:szCs w:val="16"/>
        </w:rPr>
        <w:t xml:space="preserve">             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</w:rPr>
        <w:t xml:space="preserve">Estratificación bivariada del </w:t>
      </w:r>
      <w:r w:rsidRPr="00FB0F1B">
        <w:rPr>
          <w:rFonts w:ascii="Arial" w:eastAsia="+mn-ea" w:hAnsi="Arial" w:cs="Arial"/>
          <w:bCs/>
          <w:smallCaps/>
          <w:kern w:val="24"/>
          <w:sz w:val="16"/>
          <w:szCs w:val="16"/>
        </w:rPr>
        <w:t>dof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</w:rPr>
        <w:t xml:space="preserve"> del 30 de junio de 2009 de acuerdo con la clasificación de </w:t>
      </w:r>
    </w:p>
    <w:p w14:paraId="73825848" w14:textId="18B4F677" w:rsidR="00FE2DCD" w:rsidRDefault="00FB0F1B" w:rsidP="00FB0F1B">
      <w:pPr>
        <w:pStyle w:val="NormalWeb"/>
        <w:spacing w:before="0" w:beforeAutospacing="0" w:after="0" w:afterAutospacing="0"/>
        <w:ind w:left="1418" w:right="1416"/>
        <w:jc w:val="both"/>
        <w:rPr>
          <w:rFonts w:ascii="Arial" w:eastAsia="+mn-ea" w:hAnsi="Arial" w:cs="Arial"/>
          <w:bCs/>
          <w:kern w:val="24"/>
          <w:sz w:val="16"/>
          <w:szCs w:val="16"/>
        </w:rPr>
      </w:pPr>
      <w:r>
        <w:rPr>
          <w:rFonts w:ascii="Arial" w:eastAsia="+mn-ea" w:hAnsi="Arial" w:cs="Arial"/>
          <w:bCs/>
          <w:kern w:val="24"/>
          <w:sz w:val="16"/>
          <w:szCs w:val="16"/>
        </w:rPr>
        <w:t xml:space="preserve">             </w:t>
      </w:r>
      <w:r w:rsidR="005D1C02" w:rsidRPr="009A5AD6">
        <w:rPr>
          <w:rFonts w:ascii="Arial" w:eastAsia="+mn-ea" w:hAnsi="Arial" w:cs="Arial"/>
          <w:bCs/>
          <w:kern w:val="24"/>
          <w:sz w:val="16"/>
          <w:szCs w:val="16"/>
        </w:rPr>
        <w:t>personal</w:t>
      </w:r>
      <w:r w:rsidR="00133D7D" w:rsidRPr="009A5AD6">
        <w:rPr>
          <w:rFonts w:ascii="Arial" w:eastAsia="+mn-ea" w:hAnsi="Arial" w:cs="Arial"/>
          <w:bCs/>
          <w:kern w:val="24"/>
          <w:sz w:val="16"/>
          <w:szCs w:val="16"/>
        </w:rPr>
        <w:t xml:space="preserve"> </w:t>
      </w:r>
      <w:r w:rsidR="00FE2DCD" w:rsidRPr="009A5AD6">
        <w:rPr>
          <w:rFonts w:ascii="Arial" w:eastAsia="+mn-ea" w:hAnsi="Arial" w:cs="Arial"/>
          <w:bCs/>
          <w:kern w:val="24"/>
          <w:sz w:val="16"/>
          <w:szCs w:val="16"/>
        </w:rPr>
        <w:t>ocupado y sector económico.</w:t>
      </w:r>
    </w:p>
    <w:p w14:paraId="2761F025" w14:textId="77777777" w:rsidR="00FB0F1B" w:rsidRPr="00B364EE" w:rsidRDefault="00FB0F1B" w:rsidP="00FB0F1B">
      <w:pPr>
        <w:spacing w:after="0" w:line="240" w:lineRule="auto"/>
        <w:ind w:left="1701" w:right="1699" w:hanging="283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inegi. ecis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, 2022.</w:t>
      </w:r>
    </w:p>
    <w:p w14:paraId="6AB15D8F" w14:textId="77777777" w:rsidR="00FB0F1B" w:rsidRPr="009A5AD6" w:rsidRDefault="00FB0F1B" w:rsidP="002A0561">
      <w:pPr>
        <w:pStyle w:val="NormalWeb"/>
        <w:spacing w:before="0" w:beforeAutospacing="0" w:after="0" w:afterAutospacing="0"/>
        <w:ind w:left="1418" w:right="1416"/>
        <w:jc w:val="both"/>
        <w:rPr>
          <w:rFonts w:ascii="Arial" w:eastAsia="+mn-ea" w:hAnsi="Arial" w:cs="Arial"/>
          <w:bCs/>
          <w:kern w:val="24"/>
          <w:sz w:val="16"/>
          <w:szCs w:val="16"/>
        </w:rPr>
      </w:pPr>
    </w:p>
    <w:p w14:paraId="35E88E6A" w14:textId="30B6C155" w:rsidR="009B4D5B" w:rsidRPr="009A5AD6" w:rsidRDefault="00FE2DCD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AD6">
        <w:rPr>
          <w:rFonts w:ascii="Arial" w:hAnsi="Arial" w:cs="Arial"/>
          <w:sz w:val="24"/>
          <w:szCs w:val="24"/>
        </w:rPr>
        <w:t>En 2021</w:t>
      </w:r>
      <w:r w:rsidR="009F7BC7">
        <w:rPr>
          <w:rFonts w:ascii="Arial" w:hAnsi="Arial" w:cs="Arial"/>
          <w:sz w:val="24"/>
          <w:szCs w:val="24"/>
        </w:rPr>
        <w:t>,</w:t>
      </w:r>
      <w:r w:rsidR="00FB0F1B">
        <w:rPr>
          <w:rFonts w:ascii="Arial" w:hAnsi="Arial" w:cs="Arial"/>
          <w:sz w:val="24"/>
          <w:szCs w:val="24"/>
        </w:rPr>
        <w:t xml:space="preserve"> </w:t>
      </w:r>
      <w:r w:rsidRPr="009A5AD6">
        <w:rPr>
          <w:rFonts w:ascii="Arial" w:hAnsi="Arial" w:cs="Arial"/>
          <w:sz w:val="24"/>
          <w:szCs w:val="24"/>
        </w:rPr>
        <w:t xml:space="preserve">96.7 % de los ingresos por exportaciones </w:t>
      </w:r>
      <w:r w:rsidR="000A0618" w:rsidRPr="009A5AD6">
        <w:rPr>
          <w:rFonts w:ascii="Arial" w:hAnsi="Arial" w:cs="Arial"/>
          <w:sz w:val="24"/>
          <w:szCs w:val="24"/>
        </w:rPr>
        <w:t xml:space="preserve">de </w:t>
      </w:r>
      <w:r w:rsidR="00FB0F1B" w:rsidRPr="00FB0F1B">
        <w:rPr>
          <w:rFonts w:ascii="Arial" w:hAnsi="Arial" w:cs="Arial"/>
          <w:smallCaps/>
          <w:sz w:val="24"/>
          <w:szCs w:val="24"/>
        </w:rPr>
        <w:t>cis</w:t>
      </w:r>
      <w:r w:rsidR="000A0618" w:rsidRPr="009A5AD6">
        <w:rPr>
          <w:rFonts w:ascii="Arial" w:hAnsi="Arial" w:cs="Arial"/>
          <w:sz w:val="24"/>
          <w:szCs w:val="24"/>
        </w:rPr>
        <w:t xml:space="preserve"> </w:t>
      </w:r>
      <w:r w:rsidRPr="009A5AD6">
        <w:rPr>
          <w:rFonts w:ascii="Arial" w:hAnsi="Arial" w:cs="Arial"/>
          <w:sz w:val="24"/>
          <w:szCs w:val="24"/>
        </w:rPr>
        <w:t xml:space="preserve">del </w:t>
      </w:r>
      <w:r w:rsidRPr="00A73574">
        <w:rPr>
          <w:rFonts w:ascii="Arial" w:hAnsi="Arial" w:cs="Arial"/>
          <w:sz w:val="24"/>
          <w:szCs w:val="24"/>
        </w:rPr>
        <w:t xml:space="preserve">sector </w:t>
      </w:r>
      <w:r w:rsidR="00CB52B7" w:rsidRPr="00A73574">
        <w:rPr>
          <w:rFonts w:ascii="Arial" w:hAnsi="Arial" w:cs="Arial"/>
          <w:sz w:val="24"/>
          <w:szCs w:val="24"/>
        </w:rPr>
        <w:t>«</w:t>
      </w:r>
      <w:r w:rsidRPr="00A73574">
        <w:rPr>
          <w:rFonts w:ascii="Arial" w:hAnsi="Arial" w:cs="Arial"/>
          <w:sz w:val="24"/>
          <w:szCs w:val="24"/>
        </w:rPr>
        <w:t>industria</w:t>
      </w:r>
      <w:r w:rsidR="00CB52B7" w:rsidRPr="00A73574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correspond</w:t>
      </w:r>
      <w:r w:rsidR="00FB0F1B">
        <w:rPr>
          <w:rFonts w:ascii="Arial" w:hAnsi="Arial" w:cs="Arial"/>
          <w:sz w:val="24"/>
          <w:szCs w:val="24"/>
        </w:rPr>
        <w:t>ió</w:t>
      </w:r>
      <w:r w:rsidRPr="009A5AD6">
        <w:rPr>
          <w:rFonts w:ascii="Arial" w:hAnsi="Arial" w:cs="Arial"/>
          <w:sz w:val="24"/>
          <w:szCs w:val="24"/>
        </w:rPr>
        <w:t xml:space="preserve"> a los </w:t>
      </w:r>
      <w:r w:rsidR="00CB52B7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de manufactura en insumos físicos que son propiedad de otros</w:t>
      </w:r>
      <w:r w:rsidR="00CB52B7">
        <w:rPr>
          <w:rFonts w:ascii="Arial" w:hAnsi="Arial" w:cs="Arial"/>
          <w:sz w:val="24"/>
          <w:szCs w:val="24"/>
        </w:rPr>
        <w:t>»</w:t>
      </w:r>
      <w:r w:rsidR="008E3D56">
        <w:rPr>
          <w:rFonts w:ascii="Arial" w:hAnsi="Arial" w:cs="Arial"/>
          <w:sz w:val="24"/>
          <w:szCs w:val="24"/>
        </w:rPr>
        <w:t>, como se puede ver en la gráfica 12</w:t>
      </w:r>
      <w:r w:rsidR="009F7BC7">
        <w:rPr>
          <w:rFonts w:ascii="Arial" w:hAnsi="Arial" w:cs="Arial"/>
          <w:sz w:val="24"/>
          <w:szCs w:val="24"/>
        </w:rPr>
        <w:t>.</w:t>
      </w:r>
      <w:r w:rsidR="00FB0F1B">
        <w:rPr>
          <w:rFonts w:ascii="Arial" w:hAnsi="Arial" w:cs="Arial"/>
          <w:sz w:val="24"/>
          <w:szCs w:val="24"/>
        </w:rPr>
        <w:t xml:space="preserve"> E</w:t>
      </w:r>
      <w:r w:rsidRPr="009A5AD6">
        <w:rPr>
          <w:rFonts w:ascii="Arial" w:hAnsi="Arial" w:cs="Arial"/>
          <w:sz w:val="24"/>
          <w:szCs w:val="24"/>
        </w:rPr>
        <w:t xml:space="preserve">n cuanto al sector </w:t>
      </w:r>
      <w:r w:rsidR="00CB52B7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comercio</w:t>
      </w:r>
      <w:r w:rsidR="00CB52B7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, 71.5 % de sus ingresos se atribuye al componente de </w:t>
      </w:r>
      <w:r w:rsidR="00CB52B7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otros servicios empresariales</w:t>
      </w:r>
      <w:r w:rsidR="00CB52B7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y, respecto del sector </w:t>
      </w:r>
      <w:r w:rsidR="00CB52B7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</w:t>
      </w:r>
      <w:r w:rsidR="00CB52B7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, 52.7 % de sus ingresos </w:t>
      </w:r>
      <w:r w:rsidR="00FB0F1B">
        <w:rPr>
          <w:rFonts w:ascii="Arial" w:hAnsi="Arial" w:cs="Arial"/>
          <w:sz w:val="24"/>
          <w:szCs w:val="24"/>
        </w:rPr>
        <w:t>lo</w:t>
      </w:r>
      <w:r w:rsidRPr="009A5AD6">
        <w:rPr>
          <w:rFonts w:ascii="Arial" w:hAnsi="Arial" w:cs="Arial"/>
          <w:sz w:val="24"/>
          <w:szCs w:val="24"/>
        </w:rPr>
        <w:t xml:space="preserve"> </w:t>
      </w:r>
      <w:r w:rsidRPr="007A49BD">
        <w:rPr>
          <w:rFonts w:ascii="Arial" w:hAnsi="Arial" w:cs="Arial"/>
          <w:sz w:val="24"/>
          <w:szCs w:val="24"/>
        </w:rPr>
        <w:t>gener</w:t>
      </w:r>
      <w:r w:rsidR="00FB0F1B" w:rsidRPr="007A49BD">
        <w:rPr>
          <w:rFonts w:ascii="Arial" w:hAnsi="Arial" w:cs="Arial"/>
          <w:sz w:val="24"/>
          <w:szCs w:val="24"/>
        </w:rPr>
        <w:t>ó</w:t>
      </w:r>
      <w:r w:rsidRPr="007A49BD">
        <w:rPr>
          <w:rFonts w:ascii="Arial" w:hAnsi="Arial" w:cs="Arial"/>
          <w:sz w:val="24"/>
          <w:szCs w:val="24"/>
        </w:rPr>
        <w:t xml:space="preserve"> </w:t>
      </w:r>
      <w:r w:rsidR="00CB52B7" w:rsidRPr="007A49BD">
        <w:rPr>
          <w:rFonts w:ascii="Arial" w:hAnsi="Arial" w:cs="Arial"/>
          <w:sz w:val="24"/>
          <w:szCs w:val="24"/>
        </w:rPr>
        <w:t>«</w:t>
      </w:r>
      <w:r w:rsidRPr="007A49BD">
        <w:rPr>
          <w:rFonts w:ascii="Arial" w:hAnsi="Arial" w:cs="Arial"/>
          <w:sz w:val="24"/>
          <w:szCs w:val="24"/>
        </w:rPr>
        <w:t>transporte</w:t>
      </w:r>
      <w:r w:rsidR="00CB52B7" w:rsidRPr="007A49BD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>.</w:t>
      </w:r>
    </w:p>
    <w:p w14:paraId="10113B8D" w14:textId="77777777" w:rsidR="00DE59FB" w:rsidRPr="00572DB1" w:rsidRDefault="00DE59FB" w:rsidP="002A0561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8CB0E2B" w14:textId="2911AD9C" w:rsidR="00E163C1" w:rsidRPr="009A5AD6" w:rsidRDefault="00FE2DCD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9A5AD6">
        <w:rPr>
          <w:rFonts w:ascii="Arial" w:hAnsi="Arial" w:cs="Arial"/>
          <w:bCs/>
          <w:sz w:val="20"/>
          <w:szCs w:val="20"/>
        </w:rPr>
        <w:t xml:space="preserve">Gráfica </w:t>
      </w:r>
      <w:r w:rsidR="007E121B" w:rsidRPr="009A5AD6">
        <w:rPr>
          <w:rFonts w:ascii="Arial" w:hAnsi="Arial" w:cs="Arial"/>
          <w:bCs/>
          <w:sz w:val="20"/>
          <w:szCs w:val="20"/>
        </w:rPr>
        <w:t>12</w:t>
      </w:r>
    </w:p>
    <w:p w14:paraId="725076C2" w14:textId="0A028CE8" w:rsidR="007D77D8" w:rsidRPr="009A5AD6" w:rsidRDefault="00E94ABD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Participación de los i</w:t>
      </w:r>
      <w:r w:rsidR="00FE2DCD" w:rsidRPr="009A5AD6">
        <w:rPr>
          <w:rFonts w:ascii="Arial" w:hAnsi="Arial" w:cs="Arial"/>
          <w:b/>
          <w:bCs/>
          <w:smallCaps/>
        </w:rPr>
        <w:t xml:space="preserve">ngresos de empresas que realizaron </w:t>
      </w:r>
      <w:r w:rsidR="00F83BFE" w:rsidRPr="009A5AD6">
        <w:rPr>
          <w:rFonts w:ascii="Arial" w:hAnsi="Arial" w:cs="Arial"/>
          <w:b/>
          <w:bCs/>
          <w:smallCaps/>
        </w:rPr>
        <w:t>comercio internacional de servicios</w:t>
      </w:r>
      <w:r w:rsidR="00FE2DCD" w:rsidRPr="009A5AD6">
        <w:rPr>
          <w:rFonts w:ascii="Arial" w:hAnsi="Arial" w:cs="Arial"/>
          <w:b/>
          <w:bCs/>
          <w:smallCaps/>
        </w:rPr>
        <w:t xml:space="preserve"> por gran sector, según tipo de servicio en 2021</w:t>
      </w:r>
    </w:p>
    <w:p w14:paraId="050BB712" w14:textId="27A1CEA8" w:rsidR="00437D70" w:rsidRPr="009A5AD6" w:rsidRDefault="008F7A0F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</w:t>
      </w:r>
      <w:r w:rsidR="00FB0F1B">
        <w:rPr>
          <w:rFonts w:ascii="Arial" w:hAnsi="Arial" w:cs="Arial"/>
          <w:sz w:val="18"/>
          <w:szCs w:val="24"/>
        </w:rPr>
        <w:t>p</w:t>
      </w:r>
      <w:r w:rsidRPr="009A5AD6">
        <w:rPr>
          <w:rFonts w:ascii="Arial" w:hAnsi="Arial" w:cs="Arial"/>
          <w:sz w:val="18"/>
          <w:szCs w:val="24"/>
        </w:rPr>
        <w:t>orcentaje)</w:t>
      </w:r>
    </w:p>
    <w:p w14:paraId="4F1F5226" w14:textId="177BD79F" w:rsidR="00FE2DCD" w:rsidRPr="00572DB1" w:rsidRDefault="001B0472" w:rsidP="002A0561">
      <w:pPr>
        <w:spacing w:after="60" w:line="240" w:lineRule="auto"/>
        <w:jc w:val="center"/>
        <w:rPr>
          <w:rFonts w:ascii="Arial" w:hAnsi="Arial" w:cs="Arial"/>
          <w:color w:val="404040" w:themeColor="text1" w:themeTint="BF"/>
          <w:sz w:val="16"/>
        </w:rPr>
      </w:pPr>
      <w:r w:rsidRPr="00572DB1">
        <w:rPr>
          <w:rFonts w:ascii="Arial" w:hAnsi="Arial" w:cs="Arial"/>
          <w:noProof/>
          <w:color w:val="404040" w:themeColor="text1" w:themeTint="BF"/>
          <w:sz w:val="16"/>
        </w:rPr>
        <w:drawing>
          <wp:inline distT="0" distB="0" distL="0" distR="0" wp14:anchorId="7FD6CE2F" wp14:editId="3DE42E14">
            <wp:extent cx="4996886" cy="2246400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/>
                    <a:srcRect t="12348"/>
                    <a:stretch/>
                  </pic:blipFill>
                  <pic:spPr bwMode="auto">
                    <a:xfrm>
                      <a:off x="0" y="0"/>
                      <a:ext cx="4996886" cy="224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543F3" w14:textId="5FD1F3FF" w:rsidR="00FB0F1B" w:rsidRDefault="00FE2DCD" w:rsidP="00FB0F1B">
      <w:pPr>
        <w:pStyle w:val="NormalWeb"/>
        <w:spacing w:before="0" w:beforeAutospacing="0" w:after="0" w:afterAutospacing="0"/>
        <w:ind w:left="1134" w:right="1274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hAnsi="Arial" w:cs="Arial"/>
          <w:bCs/>
          <w:sz w:val="16"/>
          <w:szCs w:val="16"/>
        </w:rPr>
        <w:t xml:space="preserve">Nota: </w:t>
      </w:r>
      <w:r w:rsidR="00FB0F1B">
        <w:rPr>
          <w:rFonts w:ascii="Arial" w:hAnsi="Arial" w:cs="Arial"/>
          <w:bCs/>
          <w:sz w:val="16"/>
          <w:szCs w:val="16"/>
        </w:rPr>
        <w:t xml:space="preserve">   </w:t>
      </w:r>
      <w:r w:rsidR="00DF7165" w:rsidRPr="009A5AD6">
        <w:rPr>
          <w:rFonts w:ascii="Arial" w:hAnsi="Arial" w:cs="Arial"/>
          <w:bCs/>
          <w:sz w:val="16"/>
          <w:szCs w:val="16"/>
        </w:rPr>
        <w:t xml:space="preserve">Porcentajes obtenidos respecto del total de ingresos a precios constantes </w:t>
      </w:r>
      <w:r w:rsidR="00CD3EB4" w:rsidRPr="00CD3EB4">
        <w:rPr>
          <w:rFonts w:ascii="Arial" w:hAnsi="Arial" w:cs="Arial"/>
          <w:bCs/>
          <w:smallCaps/>
          <w:sz w:val="16"/>
          <w:szCs w:val="16"/>
        </w:rPr>
        <w:t>inpp</w:t>
      </w:r>
      <w:r w:rsidR="00DF7165" w:rsidRPr="009A5AD6">
        <w:rPr>
          <w:rFonts w:ascii="Arial" w:hAnsi="Arial" w:cs="Arial"/>
          <w:bCs/>
          <w:sz w:val="16"/>
          <w:szCs w:val="16"/>
        </w:rPr>
        <w:t xml:space="preserve"> promedio anual </w:t>
      </w:r>
    </w:p>
    <w:p w14:paraId="28473F6F" w14:textId="6FACEDFB" w:rsidR="002A20A2" w:rsidRPr="009A5AD6" w:rsidRDefault="00FB0F1B" w:rsidP="002A0561">
      <w:pPr>
        <w:pStyle w:val="NormalWeb"/>
        <w:spacing w:before="0" w:beforeAutospacing="0" w:after="0" w:afterAutospacing="0"/>
        <w:ind w:left="1134" w:right="1274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DF7165" w:rsidRPr="009A5AD6">
        <w:rPr>
          <w:rFonts w:ascii="Arial" w:hAnsi="Arial" w:cs="Arial"/>
          <w:bCs/>
          <w:sz w:val="16"/>
          <w:szCs w:val="16"/>
        </w:rPr>
        <w:t>2021 por clase de actividad</w:t>
      </w:r>
      <w:r w:rsidR="002A20A2" w:rsidRPr="009A5AD6">
        <w:rPr>
          <w:rFonts w:ascii="Arial" w:hAnsi="Arial" w:cs="Arial"/>
          <w:bCs/>
          <w:sz w:val="16"/>
          <w:szCs w:val="16"/>
        </w:rPr>
        <w:t xml:space="preserve"> </w:t>
      </w:r>
      <w:r w:rsidR="00DF7165" w:rsidRPr="009A5AD6">
        <w:rPr>
          <w:rFonts w:ascii="Arial" w:hAnsi="Arial" w:cs="Arial"/>
          <w:bCs/>
          <w:sz w:val="16"/>
          <w:szCs w:val="16"/>
        </w:rPr>
        <w:t xml:space="preserve">económica </w:t>
      </w:r>
      <w:r w:rsidR="002A20A2" w:rsidRPr="009A5AD6">
        <w:rPr>
          <w:rFonts w:ascii="Arial" w:hAnsi="Arial" w:cs="Arial"/>
          <w:bCs/>
          <w:sz w:val="16"/>
          <w:szCs w:val="16"/>
        </w:rPr>
        <w:t>por gran sector.</w:t>
      </w:r>
    </w:p>
    <w:p w14:paraId="3F05DBD0" w14:textId="61EEC9EC" w:rsidR="009B4D5B" w:rsidRDefault="002A20A2" w:rsidP="00FB0F1B">
      <w:pPr>
        <w:pStyle w:val="NormalWeb"/>
        <w:spacing w:before="0" w:beforeAutospacing="0" w:after="0" w:afterAutospacing="0"/>
        <w:ind w:left="1134" w:right="1274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hAnsi="Arial" w:cs="Arial"/>
          <w:bCs/>
          <w:sz w:val="16"/>
          <w:szCs w:val="16"/>
        </w:rPr>
        <w:t xml:space="preserve">          </w:t>
      </w:r>
      <w:r w:rsidR="00CD3EB4">
        <w:rPr>
          <w:rFonts w:ascii="Arial" w:hAnsi="Arial" w:cs="Arial"/>
          <w:bCs/>
          <w:sz w:val="16"/>
          <w:szCs w:val="16"/>
        </w:rPr>
        <w:t xml:space="preserve">   </w:t>
      </w:r>
      <w:r w:rsidR="00FE2DCD" w:rsidRPr="009A5AD6">
        <w:rPr>
          <w:rFonts w:ascii="Arial" w:hAnsi="Arial" w:cs="Arial"/>
          <w:bCs/>
          <w:sz w:val="16"/>
          <w:szCs w:val="16"/>
        </w:rPr>
        <w:t xml:space="preserve">La suma de los porcentajes puede no </w:t>
      </w:r>
      <w:r w:rsidR="007A49BD">
        <w:rPr>
          <w:rFonts w:ascii="Arial" w:hAnsi="Arial" w:cs="Arial"/>
          <w:bCs/>
          <w:sz w:val="16"/>
          <w:szCs w:val="16"/>
        </w:rPr>
        <w:t xml:space="preserve">corresponder al </w:t>
      </w:r>
      <w:r w:rsidR="00FE2DCD" w:rsidRPr="009A5AD6">
        <w:rPr>
          <w:rFonts w:ascii="Arial" w:hAnsi="Arial" w:cs="Arial"/>
          <w:bCs/>
          <w:sz w:val="16"/>
          <w:szCs w:val="16"/>
        </w:rPr>
        <w:t>100</w:t>
      </w:r>
      <w:r w:rsidR="007A49BD">
        <w:rPr>
          <w:rFonts w:ascii="Arial" w:hAnsi="Arial" w:cs="Arial"/>
          <w:bCs/>
          <w:sz w:val="16"/>
          <w:szCs w:val="16"/>
        </w:rPr>
        <w:t>.0 %</w:t>
      </w:r>
      <w:r w:rsidR="00FE2DCD" w:rsidRPr="009A5AD6">
        <w:rPr>
          <w:rFonts w:ascii="Arial" w:hAnsi="Arial" w:cs="Arial"/>
          <w:bCs/>
          <w:sz w:val="16"/>
          <w:szCs w:val="16"/>
        </w:rPr>
        <w:t xml:space="preserve"> debido al redondeo.</w:t>
      </w:r>
      <w:r w:rsidR="009B4D5B" w:rsidRPr="009A5AD6">
        <w:rPr>
          <w:rFonts w:ascii="Arial" w:hAnsi="Arial" w:cs="Arial"/>
          <w:bCs/>
          <w:sz w:val="16"/>
          <w:szCs w:val="16"/>
        </w:rPr>
        <w:tab/>
      </w:r>
    </w:p>
    <w:p w14:paraId="7AD07E4D" w14:textId="77777777" w:rsidR="00FB0F1B" w:rsidRPr="00B364EE" w:rsidRDefault="00FB0F1B" w:rsidP="002A0561">
      <w:pPr>
        <w:spacing w:after="0" w:line="240" w:lineRule="auto"/>
        <w:ind w:left="1701" w:right="1699" w:hanging="567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inegi. ecis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, 2022.</w:t>
      </w:r>
    </w:p>
    <w:p w14:paraId="57AFA521" w14:textId="77777777" w:rsidR="00073DC5" w:rsidRDefault="00073DC5" w:rsidP="00547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D82995" w14:textId="584AE6A9" w:rsidR="00547846" w:rsidRDefault="00FE2DCD" w:rsidP="00547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AD6">
        <w:rPr>
          <w:rFonts w:ascii="Arial" w:hAnsi="Arial" w:cs="Arial"/>
          <w:sz w:val="24"/>
          <w:szCs w:val="24"/>
        </w:rPr>
        <w:t xml:space="preserve">Del total de gastos </w:t>
      </w:r>
      <w:r w:rsidR="009E23FF" w:rsidRPr="009A5AD6">
        <w:rPr>
          <w:rFonts w:ascii="Arial" w:hAnsi="Arial" w:cs="Arial"/>
          <w:sz w:val="24"/>
          <w:szCs w:val="24"/>
        </w:rPr>
        <w:t xml:space="preserve">a precios constantes </w:t>
      </w:r>
      <w:r w:rsidRPr="009A5AD6">
        <w:rPr>
          <w:rFonts w:ascii="Arial" w:hAnsi="Arial" w:cs="Arial"/>
          <w:sz w:val="24"/>
          <w:szCs w:val="24"/>
        </w:rPr>
        <w:t xml:space="preserve">por importaciones </w:t>
      </w:r>
      <w:r w:rsidR="000A0618" w:rsidRPr="009A5AD6">
        <w:rPr>
          <w:rFonts w:ascii="Arial" w:hAnsi="Arial" w:cs="Arial"/>
          <w:sz w:val="24"/>
          <w:szCs w:val="24"/>
        </w:rPr>
        <w:t xml:space="preserve">de </w:t>
      </w:r>
      <w:r w:rsidR="00547846" w:rsidRPr="00547846">
        <w:rPr>
          <w:rFonts w:ascii="Arial" w:hAnsi="Arial" w:cs="Arial"/>
          <w:smallCaps/>
          <w:sz w:val="24"/>
          <w:szCs w:val="24"/>
        </w:rPr>
        <w:t>cis</w:t>
      </w:r>
      <w:r w:rsidR="000A0618" w:rsidRPr="009A5AD6">
        <w:rPr>
          <w:rFonts w:ascii="Arial" w:hAnsi="Arial" w:cs="Arial"/>
          <w:sz w:val="24"/>
          <w:szCs w:val="24"/>
        </w:rPr>
        <w:t xml:space="preserve"> </w:t>
      </w:r>
      <w:r w:rsidRPr="009A5AD6">
        <w:rPr>
          <w:rFonts w:ascii="Arial" w:hAnsi="Arial" w:cs="Arial"/>
          <w:sz w:val="24"/>
          <w:szCs w:val="24"/>
        </w:rPr>
        <w:t>en 2021,</w:t>
      </w:r>
      <w:r w:rsidR="00CF1019" w:rsidRPr="009A5AD6">
        <w:rPr>
          <w:rFonts w:ascii="Arial" w:hAnsi="Arial" w:cs="Arial"/>
          <w:sz w:val="24"/>
          <w:szCs w:val="24"/>
        </w:rPr>
        <w:t xml:space="preserve"> </w:t>
      </w:r>
      <w:r w:rsidRPr="009A5AD6">
        <w:rPr>
          <w:rFonts w:ascii="Arial" w:hAnsi="Arial" w:cs="Arial"/>
          <w:sz w:val="24"/>
          <w:szCs w:val="24"/>
        </w:rPr>
        <w:t>26.9 % correspond</w:t>
      </w:r>
      <w:r w:rsidR="006E0BA4">
        <w:rPr>
          <w:rFonts w:ascii="Arial" w:hAnsi="Arial" w:cs="Arial"/>
          <w:sz w:val="24"/>
          <w:szCs w:val="24"/>
        </w:rPr>
        <w:t>ió</w:t>
      </w:r>
      <w:r w:rsidRPr="009A5AD6">
        <w:rPr>
          <w:rFonts w:ascii="Arial" w:hAnsi="Arial" w:cs="Arial"/>
          <w:sz w:val="24"/>
          <w:szCs w:val="24"/>
        </w:rPr>
        <w:t xml:space="preserve"> a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cargos por el uso de la propiedad intelectual</w:t>
      </w:r>
      <w:r w:rsidR="005A482F">
        <w:rPr>
          <w:rFonts w:ascii="Arial" w:hAnsi="Arial" w:cs="Arial"/>
          <w:sz w:val="24"/>
          <w:szCs w:val="24"/>
        </w:rPr>
        <w:t>»</w:t>
      </w:r>
      <w:r w:rsidR="00547846">
        <w:rPr>
          <w:rFonts w:ascii="Arial" w:hAnsi="Arial" w:cs="Arial"/>
          <w:sz w:val="24"/>
          <w:szCs w:val="24"/>
        </w:rPr>
        <w:t xml:space="preserve">. Siguieron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otros servicios empresariales</w:t>
      </w:r>
      <w:r w:rsidR="005A482F">
        <w:rPr>
          <w:rFonts w:ascii="Arial" w:hAnsi="Arial" w:cs="Arial"/>
          <w:sz w:val="24"/>
          <w:szCs w:val="24"/>
        </w:rPr>
        <w:t>»</w:t>
      </w:r>
      <w:r w:rsidR="00547846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con 23.2 % y</w:t>
      </w:r>
      <w:r w:rsidR="00547846">
        <w:rPr>
          <w:rFonts w:ascii="Arial" w:hAnsi="Arial" w:cs="Arial"/>
          <w:sz w:val="24"/>
          <w:szCs w:val="24"/>
        </w:rPr>
        <w:t xml:space="preserve">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de m</w:t>
      </w:r>
      <w:r w:rsidR="006E0BA4">
        <w:rPr>
          <w:rFonts w:ascii="Arial" w:hAnsi="Arial" w:cs="Arial"/>
          <w:sz w:val="24"/>
          <w:szCs w:val="24"/>
        </w:rPr>
        <w:t>a</w:t>
      </w:r>
      <w:r w:rsidRPr="009A5AD6">
        <w:rPr>
          <w:rFonts w:ascii="Arial" w:hAnsi="Arial" w:cs="Arial"/>
          <w:sz w:val="24"/>
          <w:szCs w:val="24"/>
        </w:rPr>
        <w:t>nufactura en insumos físicos que son propiedad de otros</w:t>
      </w:r>
      <w:r w:rsidR="005A482F">
        <w:rPr>
          <w:rFonts w:ascii="Arial" w:hAnsi="Arial" w:cs="Arial"/>
          <w:sz w:val="24"/>
          <w:szCs w:val="24"/>
        </w:rPr>
        <w:t>»</w:t>
      </w:r>
      <w:r w:rsidR="00547846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con 19.3 por ciento. </w:t>
      </w:r>
      <w:r w:rsidR="00547846">
        <w:rPr>
          <w:rFonts w:ascii="Arial" w:hAnsi="Arial" w:cs="Arial"/>
          <w:sz w:val="24"/>
          <w:szCs w:val="24"/>
        </w:rPr>
        <w:t>L</w:t>
      </w:r>
      <w:r w:rsidRPr="009A5AD6">
        <w:rPr>
          <w:rFonts w:ascii="Arial" w:hAnsi="Arial" w:cs="Arial"/>
          <w:sz w:val="24"/>
          <w:szCs w:val="24"/>
        </w:rPr>
        <w:t xml:space="preserve">os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personales, culturales y recreativos</w:t>
      </w:r>
      <w:r w:rsidR="005A482F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representa</w:t>
      </w:r>
      <w:r w:rsidR="00547846">
        <w:rPr>
          <w:rFonts w:ascii="Arial" w:hAnsi="Arial" w:cs="Arial"/>
          <w:sz w:val="24"/>
          <w:szCs w:val="24"/>
        </w:rPr>
        <w:t>ro</w:t>
      </w:r>
      <w:r w:rsidRPr="009A5AD6">
        <w:rPr>
          <w:rFonts w:ascii="Arial" w:hAnsi="Arial" w:cs="Arial"/>
          <w:sz w:val="24"/>
          <w:szCs w:val="24"/>
        </w:rPr>
        <w:t>n la menor proporción con 0.1 por ciento. Para 2020, del total de gastos reportados, 27.4 % correspond</w:t>
      </w:r>
      <w:r w:rsidR="00547846">
        <w:rPr>
          <w:rFonts w:ascii="Arial" w:hAnsi="Arial" w:cs="Arial"/>
          <w:sz w:val="24"/>
          <w:szCs w:val="24"/>
        </w:rPr>
        <w:t>ió</w:t>
      </w:r>
      <w:r w:rsidRPr="009A5AD6">
        <w:rPr>
          <w:rFonts w:ascii="Arial" w:hAnsi="Arial" w:cs="Arial"/>
          <w:sz w:val="24"/>
          <w:szCs w:val="24"/>
        </w:rPr>
        <w:t xml:space="preserve"> a los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de manufactura en insumos físicos que son propiedad de otros</w:t>
      </w:r>
      <w:r w:rsidR="005A482F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, 24.9 % a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otros servicios empresariales</w:t>
      </w:r>
      <w:r w:rsidR="005A482F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, 22.4 % a los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cargos por</w:t>
      </w:r>
      <w:r w:rsidR="00A73574">
        <w:rPr>
          <w:rFonts w:ascii="Arial" w:hAnsi="Arial" w:cs="Arial"/>
          <w:sz w:val="24"/>
          <w:szCs w:val="24"/>
        </w:rPr>
        <w:t xml:space="preserve"> el</w:t>
      </w:r>
      <w:r w:rsidRPr="009A5AD6">
        <w:rPr>
          <w:rFonts w:ascii="Arial" w:hAnsi="Arial" w:cs="Arial"/>
          <w:sz w:val="24"/>
          <w:szCs w:val="24"/>
        </w:rPr>
        <w:t xml:space="preserve"> uso de</w:t>
      </w:r>
      <w:r w:rsidR="00A73574">
        <w:rPr>
          <w:rFonts w:ascii="Arial" w:hAnsi="Arial" w:cs="Arial"/>
          <w:sz w:val="24"/>
          <w:szCs w:val="24"/>
        </w:rPr>
        <w:t xml:space="preserve"> la</w:t>
      </w:r>
      <w:r w:rsidRPr="009A5AD6">
        <w:rPr>
          <w:rFonts w:ascii="Arial" w:hAnsi="Arial" w:cs="Arial"/>
          <w:sz w:val="24"/>
          <w:szCs w:val="24"/>
        </w:rPr>
        <w:t xml:space="preserve"> propiedad intelectual</w:t>
      </w:r>
      <w:r w:rsidR="005A482F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y</w:t>
      </w:r>
      <w:r w:rsidR="00547846">
        <w:rPr>
          <w:rFonts w:ascii="Arial" w:hAnsi="Arial" w:cs="Arial"/>
          <w:sz w:val="24"/>
          <w:szCs w:val="24"/>
        </w:rPr>
        <w:t xml:space="preserve"> </w:t>
      </w:r>
      <w:r w:rsidR="00547846" w:rsidRPr="009A5AD6">
        <w:rPr>
          <w:rFonts w:ascii="Arial" w:hAnsi="Arial" w:cs="Arial"/>
          <w:sz w:val="24"/>
          <w:szCs w:val="24"/>
        </w:rPr>
        <w:t>0.2</w:t>
      </w:r>
      <w:r w:rsidR="00547846">
        <w:rPr>
          <w:rFonts w:ascii="Arial" w:hAnsi="Arial" w:cs="Arial"/>
          <w:sz w:val="24"/>
          <w:szCs w:val="24"/>
        </w:rPr>
        <w:t xml:space="preserve"> % </w:t>
      </w:r>
      <w:r w:rsidRPr="009A5AD6">
        <w:rPr>
          <w:rFonts w:ascii="Arial" w:hAnsi="Arial" w:cs="Arial"/>
          <w:sz w:val="24"/>
          <w:szCs w:val="24"/>
        </w:rPr>
        <w:t xml:space="preserve">a los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personales, culturales y recreativos</w:t>
      </w:r>
      <w:r w:rsidR="005A482F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>.</w:t>
      </w:r>
    </w:p>
    <w:p w14:paraId="07D350F5" w14:textId="77777777" w:rsidR="00547846" w:rsidRDefault="00547846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92C6AB" w14:textId="003046B0" w:rsidR="00547846" w:rsidRPr="009A5AD6" w:rsidRDefault="00FE2DCD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AD6">
        <w:rPr>
          <w:rFonts w:ascii="Arial" w:hAnsi="Arial" w:cs="Arial"/>
          <w:sz w:val="24"/>
          <w:szCs w:val="24"/>
        </w:rPr>
        <w:t>De 2020 a 2021, se registró un decremento</w:t>
      </w:r>
      <w:r w:rsidR="00547846">
        <w:rPr>
          <w:rFonts w:ascii="Arial" w:hAnsi="Arial" w:cs="Arial"/>
          <w:sz w:val="24"/>
          <w:szCs w:val="24"/>
        </w:rPr>
        <w:t xml:space="preserve"> </w:t>
      </w:r>
      <w:r w:rsidR="00547846" w:rsidRPr="009A5AD6">
        <w:rPr>
          <w:rFonts w:ascii="Arial" w:hAnsi="Arial" w:cs="Arial"/>
          <w:sz w:val="24"/>
          <w:szCs w:val="24"/>
        </w:rPr>
        <w:t>de 8.1 puntos porcentuales</w:t>
      </w:r>
      <w:r w:rsidRPr="009A5AD6">
        <w:rPr>
          <w:rFonts w:ascii="Arial" w:hAnsi="Arial" w:cs="Arial"/>
          <w:sz w:val="24"/>
          <w:szCs w:val="24"/>
        </w:rPr>
        <w:t xml:space="preserve"> para los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de manufactura en insumos físicos que son propiedad de otros</w:t>
      </w:r>
      <w:r w:rsidR="005A482F">
        <w:rPr>
          <w:rFonts w:ascii="Arial" w:hAnsi="Arial" w:cs="Arial"/>
          <w:sz w:val="24"/>
          <w:szCs w:val="24"/>
        </w:rPr>
        <w:t>»</w:t>
      </w:r>
      <w:r w:rsidR="00FE6856">
        <w:rPr>
          <w:rFonts w:ascii="Arial" w:hAnsi="Arial" w:cs="Arial"/>
          <w:sz w:val="24"/>
          <w:szCs w:val="24"/>
        </w:rPr>
        <w:t>; uno</w:t>
      </w:r>
      <w:r w:rsidRPr="009A5AD6">
        <w:rPr>
          <w:rFonts w:ascii="Arial" w:hAnsi="Arial" w:cs="Arial"/>
          <w:sz w:val="24"/>
          <w:szCs w:val="24"/>
        </w:rPr>
        <w:t xml:space="preserve"> de 1.7 </w:t>
      </w:r>
      <w:r w:rsidR="00DA19DD" w:rsidRPr="009A5AD6">
        <w:rPr>
          <w:rFonts w:ascii="Arial" w:hAnsi="Arial" w:cs="Arial"/>
          <w:sz w:val="24"/>
          <w:szCs w:val="24"/>
        </w:rPr>
        <w:t>puntos porcentuales</w:t>
      </w:r>
      <w:r w:rsidRPr="009A5AD6">
        <w:rPr>
          <w:rFonts w:ascii="Arial" w:hAnsi="Arial" w:cs="Arial"/>
          <w:sz w:val="24"/>
          <w:szCs w:val="24"/>
        </w:rPr>
        <w:t xml:space="preserve"> para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otros servicios empresariales</w:t>
      </w:r>
      <w:r w:rsidR="005A482F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y un incremento de 4.5 </w:t>
      </w:r>
      <w:r w:rsidR="00DA19DD" w:rsidRPr="009A5AD6">
        <w:rPr>
          <w:rFonts w:ascii="Arial" w:hAnsi="Arial" w:cs="Arial"/>
          <w:sz w:val="24"/>
          <w:szCs w:val="24"/>
        </w:rPr>
        <w:t>puntos porcentuales</w:t>
      </w:r>
      <w:r w:rsidRPr="009A5AD6">
        <w:rPr>
          <w:rFonts w:ascii="Arial" w:hAnsi="Arial" w:cs="Arial"/>
          <w:sz w:val="24"/>
          <w:szCs w:val="24"/>
        </w:rPr>
        <w:t xml:space="preserve"> para los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cargos por</w:t>
      </w:r>
      <w:r w:rsidR="00A73574">
        <w:rPr>
          <w:rFonts w:ascii="Arial" w:hAnsi="Arial" w:cs="Arial"/>
          <w:sz w:val="24"/>
          <w:szCs w:val="24"/>
        </w:rPr>
        <w:t xml:space="preserve"> el</w:t>
      </w:r>
      <w:r w:rsidRPr="009A5AD6">
        <w:rPr>
          <w:rFonts w:ascii="Arial" w:hAnsi="Arial" w:cs="Arial"/>
          <w:sz w:val="24"/>
          <w:szCs w:val="24"/>
        </w:rPr>
        <w:t xml:space="preserve"> uso de</w:t>
      </w:r>
      <w:r w:rsidR="00A73574">
        <w:rPr>
          <w:rFonts w:ascii="Arial" w:hAnsi="Arial" w:cs="Arial"/>
          <w:sz w:val="24"/>
          <w:szCs w:val="24"/>
        </w:rPr>
        <w:t xml:space="preserve"> la</w:t>
      </w:r>
      <w:r w:rsidRPr="009A5AD6">
        <w:rPr>
          <w:rFonts w:ascii="Arial" w:hAnsi="Arial" w:cs="Arial"/>
          <w:sz w:val="24"/>
          <w:szCs w:val="24"/>
        </w:rPr>
        <w:t xml:space="preserve"> propiedad intelectual</w:t>
      </w:r>
      <w:r w:rsidR="005A482F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. Los </w:t>
      </w:r>
      <w:r w:rsidR="005A482F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personales, culturales y recreativos</w:t>
      </w:r>
      <w:r w:rsidR="005A482F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presenta</w:t>
      </w:r>
      <w:r w:rsidR="00547846">
        <w:rPr>
          <w:rFonts w:ascii="Arial" w:hAnsi="Arial" w:cs="Arial"/>
          <w:sz w:val="24"/>
          <w:szCs w:val="24"/>
        </w:rPr>
        <w:t>ro</w:t>
      </w:r>
      <w:r w:rsidRPr="009A5AD6">
        <w:rPr>
          <w:rFonts w:ascii="Arial" w:hAnsi="Arial" w:cs="Arial"/>
          <w:sz w:val="24"/>
          <w:szCs w:val="24"/>
        </w:rPr>
        <w:t xml:space="preserve">n una disminución de 0.1 </w:t>
      </w:r>
      <w:r w:rsidR="00DA19DD" w:rsidRPr="009A5AD6">
        <w:rPr>
          <w:rFonts w:ascii="Arial" w:hAnsi="Arial" w:cs="Arial"/>
          <w:sz w:val="24"/>
          <w:szCs w:val="24"/>
        </w:rPr>
        <w:t>puntos porcentuales</w:t>
      </w:r>
      <w:r w:rsidRPr="009A5AD6">
        <w:rPr>
          <w:rFonts w:ascii="Arial" w:hAnsi="Arial" w:cs="Arial"/>
          <w:sz w:val="24"/>
          <w:szCs w:val="24"/>
        </w:rPr>
        <w:t xml:space="preserve"> y se mant</w:t>
      </w:r>
      <w:r w:rsidR="00FE6856">
        <w:rPr>
          <w:rFonts w:ascii="Arial" w:hAnsi="Arial" w:cs="Arial"/>
          <w:sz w:val="24"/>
          <w:szCs w:val="24"/>
        </w:rPr>
        <w:t>uvieron</w:t>
      </w:r>
      <w:r w:rsidRPr="009A5AD6">
        <w:rPr>
          <w:rFonts w:ascii="Arial" w:hAnsi="Arial" w:cs="Arial"/>
          <w:sz w:val="24"/>
          <w:szCs w:val="24"/>
        </w:rPr>
        <w:t xml:space="preserve"> como el componente con menor participación</w:t>
      </w:r>
      <w:r w:rsidR="00547846">
        <w:rPr>
          <w:rFonts w:ascii="Arial" w:hAnsi="Arial" w:cs="Arial"/>
          <w:sz w:val="24"/>
          <w:szCs w:val="24"/>
        </w:rPr>
        <w:t xml:space="preserve"> (ver gráfica 13)</w:t>
      </w:r>
      <w:r w:rsidRPr="009A5AD6">
        <w:rPr>
          <w:rFonts w:ascii="Arial" w:hAnsi="Arial" w:cs="Arial"/>
          <w:sz w:val="24"/>
          <w:szCs w:val="24"/>
        </w:rPr>
        <w:t>.</w:t>
      </w:r>
    </w:p>
    <w:p w14:paraId="13F38B6F" w14:textId="77777777" w:rsidR="007571F8" w:rsidRPr="00572DB1" w:rsidRDefault="007571F8" w:rsidP="002A056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A7823D2" w14:textId="560BA523" w:rsidR="00CF1019" w:rsidRPr="009A5AD6" w:rsidRDefault="00FE2DCD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9A5AD6">
        <w:rPr>
          <w:rFonts w:ascii="Arial" w:hAnsi="Arial" w:cs="Arial"/>
          <w:bCs/>
          <w:sz w:val="20"/>
          <w:szCs w:val="20"/>
        </w:rPr>
        <w:t xml:space="preserve">Gráfica </w:t>
      </w:r>
      <w:r w:rsidR="00195162" w:rsidRPr="009A5AD6">
        <w:rPr>
          <w:rFonts w:ascii="Arial" w:hAnsi="Arial" w:cs="Arial"/>
          <w:bCs/>
          <w:sz w:val="20"/>
          <w:szCs w:val="20"/>
        </w:rPr>
        <w:t>13</w:t>
      </w:r>
    </w:p>
    <w:p w14:paraId="094D4889" w14:textId="7C405D32" w:rsidR="00547846" w:rsidRDefault="00E94ABD" w:rsidP="00547846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</w:t>
      </w:r>
      <w:r w:rsidR="0031581A">
        <w:rPr>
          <w:rFonts w:ascii="Arial" w:hAnsi="Arial" w:cs="Arial"/>
          <w:b/>
          <w:bCs/>
          <w:smallCaps/>
        </w:rPr>
        <w:t>articipación de los g</w:t>
      </w:r>
      <w:r w:rsidR="00FE2DCD" w:rsidRPr="009A5AD6">
        <w:rPr>
          <w:rFonts w:ascii="Arial" w:hAnsi="Arial" w:cs="Arial"/>
          <w:b/>
          <w:bCs/>
          <w:smallCaps/>
        </w:rPr>
        <w:t xml:space="preserve">astos de empresas que realizaron </w:t>
      </w:r>
      <w:r w:rsidR="00F83BFE" w:rsidRPr="009A5AD6">
        <w:rPr>
          <w:rFonts w:ascii="Arial" w:hAnsi="Arial" w:cs="Arial"/>
          <w:b/>
          <w:bCs/>
          <w:smallCaps/>
        </w:rPr>
        <w:t>comercio internacional de servicios</w:t>
      </w:r>
      <w:r w:rsidR="00FE2DCD" w:rsidRPr="009A5AD6">
        <w:rPr>
          <w:rFonts w:ascii="Arial" w:hAnsi="Arial" w:cs="Arial"/>
          <w:b/>
          <w:bCs/>
          <w:smallCaps/>
        </w:rPr>
        <w:t>,</w:t>
      </w:r>
      <w:r w:rsidR="000D1A64">
        <w:rPr>
          <w:rFonts w:ascii="Arial" w:hAnsi="Arial" w:cs="Arial"/>
          <w:b/>
          <w:bCs/>
          <w:smallCaps/>
        </w:rPr>
        <w:t xml:space="preserve"> según tipo</w:t>
      </w:r>
      <w:r w:rsidR="008B6998">
        <w:rPr>
          <w:rFonts w:ascii="Arial" w:hAnsi="Arial" w:cs="Arial"/>
          <w:b/>
          <w:bCs/>
          <w:smallCaps/>
        </w:rPr>
        <w:t xml:space="preserve"> de servicio en 2020 y 2021</w:t>
      </w:r>
      <w:r w:rsidR="000D1A64">
        <w:rPr>
          <w:rFonts w:ascii="Arial" w:hAnsi="Arial" w:cs="Arial"/>
          <w:b/>
          <w:bCs/>
          <w:smallCaps/>
        </w:rPr>
        <w:t xml:space="preserve"> </w:t>
      </w:r>
    </w:p>
    <w:p w14:paraId="58B6A2BC" w14:textId="28298E44" w:rsidR="00437D70" w:rsidRPr="009A5AD6" w:rsidRDefault="00437D70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</w:t>
      </w:r>
      <w:r w:rsidR="00547846">
        <w:rPr>
          <w:rFonts w:ascii="Arial" w:hAnsi="Arial" w:cs="Arial"/>
          <w:sz w:val="18"/>
          <w:szCs w:val="24"/>
        </w:rPr>
        <w:t>p</w:t>
      </w:r>
      <w:r w:rsidRPr="009A5AD6">
        <w:rPr>
          <w:rFonts w:ascii="Arial" w:hAnsi="Arial" w:cs="Arial"/>
          <w:sz w:val="18"/>
          <w:szCs w:val="24"/>
        </w:rPr>
        <w:t>orcentaje)</w:t>
      </w:r>
    </w:p>
    <w:p w14:paraId="7E953C38" w14:textId="1001E013" w:rsidR="00FE2DCD" w:rsidRPr="00572DB1" w:rsidRDefault="00A524C2" w:rsidP="00D73FB7">
      <w:pPr>
        <w:spacing w:line="240" w:lineRule="auto"/>
        <w:jc w:val="center"/>
        <w:rPr>
          <w:color w:val="404040" w:themeColor="text1" w:themeTint="BF"/>
        </w:rPr>
      </w:pPr>
      <w:r>
        <w:rPr>
          <w:noProof/>
        </w:rPr>
        <w:drawing>
          <wp:inline distT="0" distB="0" distL="0" distR="0" wp14:anchorId="32FDF3DF" wp14:editId="573171CA">
            <wp:extent cx="5098571" cy="2246400"/>
            <wp:effectExtent l="0" t="0" r="6985" b="190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098571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21F77" w14:textId="0899C520" w:rsidR="00E7144B" w:rsidRDefault="00FE2DCD" w:rsidP="00E7144B">
      <w:pPr>
        <w:pStyle w:val="NormalWeb"/>
        <w:spacing w:before="0" w:beforeAutospacing="0" w:after="0" w:afterAutospacing="0"/>
        <w:ind w:left="851" w:right="990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hAnsi="Arial" w:cs="Arial"/>
          <w:bCs/>
          <w:kern w:val="24"/>
          <w:sz w:val="16"/>
          <w:szCs w:val="16"/>
        </w:rPr>
        <w:t xml:space="preserve">Nota: </w:t>
      </w:r>
      <w:r w:rsidR="00E7144B">
        <w:rPr>
          <w:rFonts w:ascii="Arial" w:hAnsi="Arial" w:cs="Arial"/>
          <w:bCs/>
          <w:kern w:val="24"/>
          <w:sz w:val="16"/>
          <w:szCs w:val="16"/>
        </w:rPr>
        <w:t xml:space="preserve">   </w:t>
      </w:r>
      <w:r w:rsidR="00E410B7" w:rsidRPr="009A5AD6">
        <w:rPr>
          <w:rFonts w:ascii="Arial" w:hAnsi="Arial" w:cs="Arial"/>
          <w:bCs/>
          <w:sz w:val="16"/>
          <w:szCs w:val="16"/>
        </w:rPr>
        <w:t>Porcentajes obtenidos respecto del total de gastos a precios constantes</w:t>
      </w:r>
      <w:r w:rsidR="00E7144B" w:rsidRPr="00E7144B">
        <w:rPr>
          <w:rFonts w:ascii="Arial" w:hAnsi="Arial" w:cs="Arial"/>
          <w:bCs/>
          <w:smallCaps/>
          <w:sz w:val="16"/>
          <w:szCs w:val="16"/>
        </w:rPr>
        <w:t xml:space="preserve"> inpp</w:t>
      </w:r>
      <w:r w:rsidR="00E410B7" w:rsidRPr="009A5AD6">
        <w:rPr>
          <w:rFonts w:ascii="Arial" w:hAnsi="Arial" w:cs="Arial"/>
          <w:bCs/>
          <w:sz w:val="16"/>
          <w:szCs w:val="16"/>
        </w:rPr>
        <w:t xml:space="preserve"> promedio anual 2021 por </w:t>
      </w:r>
    </w:p>
    <w:p w14:paraId="0E21F653" w14:textId="179A101D" w:rsidR="00FE2DCD" w:rsidRPr="009A5AD6" w:rsidRDefault="00E7144B" w:rsidP="002A0561">
      <w:pPr>
        <w:pStyle w:val="NormalWeb"/>
        <w:spacing w:before="0" w:beforeAutospacing="0" w:after="0" w:afterAutospacing="0"/>
        <w:ind w:left="851" w:right="99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E410B7" w:rsidRPr="009A5AD6">
        <w:rPr>
          <w:rFonts w:ascii="Arial" w:hAnsi="Arial" w:cs="Arial"/>
          <w:bCs/>
          <w:sz w:val="16"/>
          <w:szCs w:val="16"/>
        </w:rPr>
        <w:t>clase de actividad</w:t>
      </w:r>
      <w:r w:rsidR="002A20A2" w:rsidRPr="009A5AD6">
        <w:rPr>
          <w:rFonts w:ascii="Arial" w:hAnsi="Arial" w:cs="Arial"/>
          <w:bCs/>
          <w:sz w:val="16"/>
          <w:szCs w:val="16"/>
        </w:rPr>
        <w:t xml:space="preserve"> </w:t>
      </w:r>
      <w:r w:rsidR="00E410B7" w:rsidRPr="009A5AD6">
        <w:rPr>
          <w:rFonts w:ascii="Arial" w:hAnsi="Arial" w:cs="Arial"/>
          <w:bCs/>
          <w:sz w:val="16"/>
          <w:szCs w:val="16"/>
        </w:rPr>
        <w:t>económica.</w:t>
      </w:r>
    </w:p>
    <w:p w14:paraId="64913F90" w14:textId="5D4380B2" w:rsidR="00E7144B" w:rsidRDefault="00E7144B" w:rsidP="00E7144B">
      <w:pPr>
        <w:pStyle w:val="NormalWeb"/>
        <w:spacing w:before="0" w:beforeAutospacing="0" w:after="0" w:afterAutospacing="0"/>
        <w:ind w:left="851" w:right="990"/>
        <w:jc w:val="both"/>
        <w:rPr>
          <w:rFonts w:ascii="Arial" w:hAnsi="Arial" w:cs="Arial"/>
          <w:bCs/>
          <w:kern w:val="24"/>
          <w:sz w:val="16"/>
          <w:szCs w:val="16"/>
        </w:rPr>
      </w:pPr>
      <w:r w:rsidRPr="009A5A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4498A" wp14:editId="2A1A0B89">
                <wp:simplePos x="0" y="0"/>
                <wp:positionH relativeFrom="margin">
                  <wp:posOffset>541655</wp:posOffset>
                </wp:positionH>
                <wp:positionV relativeFrom="paragraph">
                  <wp:posOffset>27940</wp:posOffset>
                </wp:positionV>
                <wp:extent cx="109855" cy="95250"/>
                <wp:effectExtent l="0" t="0" r="4445" b="0"/>
                <wp:wrapNone/>
                <wp:docPr id="14" name="Triángulo isósce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9525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2AB0927" id="Triángulo isósceles 9" o:spid="_x0000_s1026" type="#_x0000_t5" style="position:absolute;margin-left:42.65pt;margin-top:2.2pt;width:8.6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" fillcolor="#00b050" stroked="f" strokeweight="1pt">
                <w10:wrap anchorx="margin"/>
              </v:shape>
            </w:pict>
          </mc:Fallback>
        </mc:AlternateContent>
      </w:r>
      <w:r w:rsidR="002A20A2" w:rsidRPr="009A5AD6">
        <w:rPr>
          <w:rFonts w:ascii="Arial" w:hAnsi="Arial" w:cs="Arial"/>
          <w:bCs/>
          <w:kern w:val="24"/>
          <w:sz w:val="16"/>
          <w:szCs w:val="16"/>
        </w:rPr>
        <w:t xml:space="preserve">             </w:t>
      </w:r>
      <w:r w:rsidR="00FE2DCD" w:rsidRPr="009A5AD6">
        <w:rPr>
          <w:rFonts w:ascii="Arial" w:hAnsi="Arial" w:cs="Arial"/>
          <w:bCs/>
          <w:kern w:val="24"/>
          <w:sz w:val="16"/>
          <w:szCs w:val="16"/>
        </w:rPr>
        <w:t>Cambio positivo estadísticamente significativo</w:t>
      </w:r>
      <w:r w:rsidR="00CF1019" w:rsidRPr="009A5AD6">
        <w:rPr>
          <w:rFonts w:ascii="Arial" w:hAnsi="Arial" w:cs="Arial"/>
          <w:bCs/>
          <w:kern w:val="24"/>
          <w:sz w:val="16"/>
          <w:szCs w:val="16"/>
        </w:rPr>
        <w:t>.</w:t>
      </w:r>
      <w:r w:rsidR="00FE2DCD" w:rsidRPr="009A5AD6">
        <w:rPr>
          <w:rFonts w:ascii="Arial" w:hAnsi="Arial" w:cs="Arial"/>
          <w:bCs/>
          <w:kern w:val="24"/>
          <w:sz w:val="16"/>
          <w:szCs w:val="16"/>
        </w:rPr>
        <w:t xml:space="preserve">      </w:t>
      </w:r>
    </w:p>
    <w:p w14:paraId="47F3939C" w14:textId="2C619386" w:rsidR="00FE2DCD" w:rsidRDefault="00E7144B" w:rsidP="00E7144B">
      <w:pPr>
        <w:pStyle w:val="NormalWeb"/>
        <w:spacing w:before="0" w:beforeAutospacing="0" w:after="0" w:afterAutospacing="0"/>
        <w:ind w:left="851" w:right="990"/>
        <w:jc w:val="both"/>
        <w:rPr>
          <w:rFonts w:ascii="Arial" w:hAnsi="Arial" w:cs="Arial"/>
          <w:kern w:val="24"/>
          <w:sz w:val="16"/>
          <w:szCs w:val="16"/>
        </w:rPr>
      </w:pPr>
      <w:r w:rsidRPr="009A5AD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29322" wp14:editId="4E51B209">
                <wp:simplePos x="0" y="0"/>
                <wp:positionH relativeFrom="column">
                  <wp:posOffset>541020</wp:posOffset>
                </wp:positionH>
                <wp:positionV relativeFrom="paragraph">
                  <wp:posOffset>48260</wp:posOffset>
                </wp:positionV>
                <wp:extent cx="114899" cy="76598"/>
                <wp:effectExtent l="0" t="0" r="0" b="0"/>
                <wp:wrapNone/>
                <wp:docPr id="15" name="Triángulo isósce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899" cy="76598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9D168C" id="Triángulo isósceles 10" o:spid="_x0000_s1026" type="#_x0000_t5" style="position:absolute;margin-left:42.6pt;margin-top:3.8pt;width:9.05pt;height:6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" fillcolor="red" stroked="f" strokeweight="1pt"/>
            </w:pict>
          </mc:Fallback>
        </mc:AlternateContent>
      </w:r>
      <w:r>
        <w:rPr>
          <w:rFonts w:ascii="Arial" w:hAnsi="Arial" w:cs="Arial"/>
          <w:bCs/>
          <w:kern w:val="24"/>
          <w:sz w:val="16"/>
          <w:szCs w:val="16"/>
        </w:rPr>
        <w:t xml:space="preserve">             </w:t>
      </w:r>
      <w:r w:rsidR="00FE2DCD" w:rsidRPr="009A5AD6">
        <w:rPr>
          <w:rFonts w:ascii="Arial" w:hAnsi="Arial" w:cs="Arial"/>
          <w:kern w:val="24"/>
          <w:sz w:val="16"/>
          <w:szCs w:val="16"/>
        </w:rPr>
        <w:t>Cambio negativo estadísticamente significativo.</w:t>
      </w:r>
    </w:p>
    <w:p w14:paraId="1B43B0E9" w14:textId="04C8E954" w:rsidR="00E7144B" w:rsidRPr="00B364EE" w:rsidRDefault="00E7144B" w:rsidP="002A0561">
      <w:pPr>
        <w:spacing w:after="0" w:line="240" w:lineRule="auto"/>
        <w:ind w:left="1701" w:right="1699" w:hanging="850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A73574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24D8572A" w14:textId="77777777" w:rsidR="00E7144B" w:rsidRPr="009A5AD6" w:rsidRDefault="00E7144B" w:rsidP="002A0561">
      <w:pPr>
        <w:pStyle w:val="NormalWeb"/>
        <w:spacing w:before="0" w:beforeAutospacing="0" w:after="0" w:afterAutospacing="0"/>
        <w:ind w:left="851" w:right="990"/>
        <w:jc w:val="both"/>
        <w:rPr>
          <w:rFonts w:ascii="Arial" w:hAnsi="Arial" w:cs="Arial"/>
          <w:sz w:val="16"/>
          <w:szCs w:val="16"/>
        </w:rPr>
      </w:pPr>
    </w:p>
    <w:p w14:paraId="58DB770B" w14:textId="7AAD9415" w:rsidR="00FE2DCD" w:rsidRPr="009A5AD6" w:rsidRDefault="00FE2DCD" w:rsidP="002A05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1816B0" w14:textId="6B6B06C6" w:rsidR="00560802" w:rsidRPr="009A5AD6" w:rsidRDefault="00E7144B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</w:t>
      </w:r>
      <w:r w:rsidR="00FE2DCD" w:rsidRPr="009A5AD6">
        <w:rPr>
          <w:rFonts w:ascii="Arial" w:hAnsi="Arial" w:cs="Arial"/>
          <w:sz w:val="24"/>
          <w:szCs w:val="24"/>
        </w:rPr>
        <w:t>onsidera</w:t>
      </w:r>
      <w:r>
        <w:rPr>
          <w:rFonts w:ascii="Arial" w:hAnsi="Arial" w:cs="Arial"/>
          <w:sz w:val="24"/>
          <w:szCs w:val="24"/>
        </w:rPr>
        <w:t>r</w:t>
      </w:r>
      <w:r w:rsidR="00FE2DCD" w:rsidRPr="009A5AD6">
        <w:rPr>
          <w:rFonts w:ascii="Arial" w:hAnsi="Arial" w:cs="Arial"/>
          <w:sz w:val="24"/>
          <w:szCs w:val="24"/>
        </w:rPr>
        <w:t xml:space="preserve"> los gastos </w:t>
      </w:r>
      <w:r w:rsidR="009E23FF" w:rsidRPr="009A5AD6">
        <w:rPr>
          <w:rFonts w:ascii="Arial" w:hAnsi="Arial" w:cs="Arial"/>
          <w:sz w:val="24"/>
          <w:szCs w:val="24"/>
        </w:rPr>
        <w:t xml:space="preserve">a precios constantes </w:t>
      </w:r>
      <w:r w:rsidR="00FE2DCD" w:rsidRPr="009A5AD6">
        <w:rPr>
          <w:rFonts w:ascii="Arial" w:hAnsi="Arial" w:cs="Arial"/>
          <w:sz w:val="24"/>
          <w:szCs w:val="24"/>
        </w:rPr>
        <w:t xml:space="preserve">de las empresas que realizaron </w:t>
      </w:r>
      <w:r w:rsidRPr="00E7144B">
        <w:rPr>
          <w:rFonts w:ascii="Arial" w:hAnsi="Arial" w:cs="Arial"/>
          <w:smallCaps/>
          <w:sz w:val="24"/>
          <w:szCs w:val="24"/>
        </w:rPr>
        <w:t>cis</w:t>
      </w:r>
      <w:r>
        <w:rPr>
          <w:rFonts w:ascii="Arial" w:hAnsi="Arial" w:cs="Arial"/>
          <w:smallCaps/>
          <w:sz w:val="24"/>
          <w:szCs w:val="24"/>
        </w:rPr>
        <w:t>,</w:t>
      </w:r>
      <w:r w:rsidR="00FE2DCD" w:rsidRPr="009A5AD6">
        <w:rPr>
          <w:rFonts w:ascii="Arial" w:hAnsi="Arial" w:cs="Arial"/>
          <w:sz w:val="24"/>
          <w:szCs w:val="24"/>
        </w:rPr>
        <w:t xml:space="preserve"> </w:t>
      </w:r>
      <w:r w:rsidR="009E23FF" w:rsidRPr="009A5AD6">
        <w:rPr>
          <w:rFonts w:ascii="Arial" w:hAnsi="Arial" w:cs="Arial"/>
          <w:sz w:val="24"/>
          <w:szCs w:val="24"/>
        </w:rPr>
        <w:t xml:space="preserve">por tamaño de empresa, </w:t>
      </w:r>
      <w:r w:rsidR="00FE2DCD" w:rsidRPr="009A5AD6">
        <w:rPr>
          <w:rFonts w:ascii="Arial" w:hAnsi="Arial" w:cs="Arial"/>
          <w:sz w:val="24"/>
          <w:szCs w:val="24"/>
        </w:rPr>
        <w:t xml:space="preserve">los </w:t>
      </w:r>
      <w:r w:rsidR="00663F9D">
        <w:rPr>
          <w:rFonts w:ascii="Arial" w:hAnsi="Arial" w:cs="Arial"/>
          <w:sz w:val="24"/>
          <w:szCs w:val="24"/>
        </w:rPr>
        <w:t>«</w:t>
      </w:r>
      <w:r w:rsidR="00FE2DCD" w:rsidRPr="009A5AD6">
        <w:rPr>
          <w:rFonts w:ascii="Arial" w:hAnsi="Arial" w:cs="Arial"/>
          <w:sz w:val="24"/>
          <w:szCs w:val="24"/>
        </w:rPr>
        <w:t>cargos por el uso de la propiedad intelectual</w:t>
      </w:r>
      <w:r w:rsidR="00663F9D">
        <w:rPr>
          <w:rFonts w:ascii="Arial" w:hAnsi="Arial" w:cs="Arial"/>
          <w:sz w:val="24"/>
          <w:szCs w:val="24"/>
        </w:rPr>
        <w:t>»</w:t>
      </w:r>
      <w:r w:rsidR="00FE2DCD" w:rsidRPr="009A5AD6">
        <w:rPr>
          <w:rFonts w:ascii="Arial" w:hAnsi="Arial" w:cs="Arial"/>
          <w:sz w:val="24"/>
          <w:szCs w:val="24"/>
        </w:rPr>
        <w:t xml:space="preserve"> representa</w:t>
      </w:r>
      <w:r>
        <w:rPr>
          <w:rFonts w:ascii="Arial" w:hAnsi="Arial" w:cs="Arial"/>
          <w:sz w:val="24"/>
          <w:szCs w:val="24"/>
        </w:rPr>
        <w:t>ro</w:t>
      </w:r>
      <w:r w:rsidR="00FE2DCD" w:rsidRPr="009A5AD6">
        <w:rPr>
          <w:rFonts w:ascii="Arial" w:hAnsi="Arial" w:cs="Arial"/>
          <w:sz w:val="24"/>
          <w:szCs w:val="24"/>
        </w:rPr>
        <w:t xml:space="preserve">n 29.8 % del total de gastos para </w:t>
      </w:r>
      <w:r w:rsidR="009E23FF" w:rsidRPr="009A5AD6">
        <w:rPr>
          <w:rFonts w:ascii="Arial" w:hAnsi="Arial" w:cs="Arial"/>
          <w:sz w:val="24"/>
          <w:szCs w:val="24"/>
        </w:rPr>
        <w:t xml:space="preserve">las empresas </w:t>
      </w:r>
      <w:r w:rsidR="00663F9D">
        <w:rPr>
          <w:rFonts w:ascii="Arial" w:hAnsi="Arial" w:cs="Arial"/>
          <w:sz w:val="24"/>
          <w:szCs w:val="24"/>
        </w:rPr>
        <w:t>«</w:t>
      </w:r>
      <w:r w:rsidR="009E23FF" w:rsidRPr="009A5AD6">
        <w:rPr>
          <w:rFonts w:ascii="Arial" w:hAnsi="Arial" w:cs="Arial"/>
          <w:sz w:val="24"/>
          <w:szCs w:val="24"/>
        </w:rPr>
        <w:t>grandes</w:t>
      </w:r>
      <w:r w:rsidR="00663F9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 P</w:t>
      </w:r>
      <w:r w:rsidR="009E23FF" w:rsidRPr="009A5AD6">
        <w:rPr>
          <w:rFonts w:ascii="Arial" w:hAnsi="Arial" w:cs="Arial"/>
          <w:sz w:val="24"/>
          <w:szCs w:val="24"/>
        </w:rPr>
        <w:t>or su parte</w:t>
      </w:r>
      <w:r>
        <w:rPr>
          <w:rFonts w:ascii="Arial" w:hAnsi="Arial" w:cs="Arial"/>
          <w:sz w:val="24"/>
          <w:szCs w:val="24"/>
        </w:rPr>
        <w:t>,</w:t>
      </w:r>
      <w:r w:rsidR="00FE2DCD" w:rsidRPr="009A5AD6">
        <w:rPr>
          <w:rFonts w:ascii="Arial" w:hAnsi="Arial" w:cs="Arial"/>
          <w:sz w:val="24"/>
          <w:szCs w:val="24"/>
        </w:rPr>
        <w:t xml:space="preserve"> </w:t>
      </w:r>
      <w:r w:rsidR="00663F9D">
        <w:rPr>
          <w:rFonts w:ascii="Arial" w:hAnsi="Arial" w:cs="Arial"/>
          <w:sz w:val="24"/>
          <w:szCs w:val="24"/>
        </w:rPr>
        <w:t>«</w:t>
      </w:r>
      <w:r w:rsidR="00FE2DCD" w:rsidRPr="009A5AD6">
        <w:rPr>
          <w:rFonts w:ascii="Arial" w:hAnsi="Arial" w:cs="Arial"/>
          <w:sz w:val="24"/>
          <w:szCs w:val="24"/>
        </w:rPr>
        <w:t>otros servicios empresariales</w:t>
      </w:r>
      <w:r w:rsidR="00663F9D">
        <w:rPr>
          <w:rFonts w:ascii="Arial" w:hAnsi="Arial" w:cs="Arial"/>
          <w:sz w:val="24"/>
          <w:szCs w:val="24"/>
        </w:rPr>
        <w:t>»</w:t>
      </w:r>
      <w:r w:rsidR="00FE2DCD" w:rsidRPr="009A5AD6">
        <w:rPr>
          <w:rFonts w:ascii="Arial" w:hAnsi="Arial" w:cs="Arial"/>
          <w:sz w:val="24"/>
          <w:szCs w:val="24"/>
        </w:rPr>
        <w:t xml:space="preserve"> representa</w:t>
      </w:r>
      <w:r>
        <w:rPr>
          <w:rFonts w:ascii="Arial" w:hAnsi="Arial" w:cs="Arial"/>
          <w:sz w:val="24"/>
          <w:szCs w:val="24"/>
        </w:rPr>
        <w:t>ro</w:t>
      </w:r>
      <w:r w:rsidR="00FE2DCD" w:rsidRPr="009A5AD6">
        <w:rPr>
          <w:rFonts w:ascii="Arial" w:hAnsi="Arial" w:cs="Arial"/>
          <w:sz w:val="24"/>
          <w:szCs w:val="24"/>
        </w:rPr>
        <w:t xml:space="preserve">n </w:t>
      </w:r>
      <w:r w:rsidR="006D31FD" w:rsidRPr="009A5AD6">
        <w:rPr>
          <w:rFonts w:ascii="Arial" w:hAnsi="Arial" w:cs="Arial"/>
          <w:sz w:val="24"/>
          <w:szCs w:val="24"/>
        </w:rPr>
        <w:t xml:space="preserve">el </w:t>
      </w:r>
      <w:r w:rsidR="00FE2DCD" w:rsidRPr="009A5AD6">
        <w:rPr>
          <w:rFonts w:ascii="Arial" w:hAnsi="Arial" w:cs="Arial"/>
          <w:sz w:val="24"/>
          <w:szCs w:val="24"/>
        </w:rPr>
        <w:t xml:space="preserve">principal </w:t>
      </w:r>
      <w:r w:rsidR="009E23FF" w:rsidRPr="009A5AD6">
        <w:rPr>
          <w:rFonts w:ascii="Arial" w:hAnsi="Arial" w:cs="Arial"/>
          <w:sz w:val="24"/>
          <w:szCs w:val="24"/>
        </w:rPr>
        <w:t>destino</w:t>
      </w:r>
      <w:r w:rsidR="00FE2DCD" w:rsidRPr="009A5AD6">
        <w:rPr>
          <w:rFonts w:ascii="Arial" w:hAnsi="Arial" w:cs="Arial"/>
          <w:sz w:val="24"/>
          <w:szCs w:val="24"/>
        </w:rPr>
        <w:t xml:space="preserve"> de gastos para las empresas </w:t>
      </w:r>
      <w:r w:rsidR="00663F9D">
        <w:rPr>
          <w:rFonts w:ascii="Arial" w:hAnsi="Arial" w:cs="Arial"/>
          <w:sz w:val="24"/>
          <w:szCs w:val="24"/>
        </w:rPr>
        <w:t>«</w:t>
      </w:r>
      <w:r w:rsidR="00FE2DCD" w:rsidRPr="009A5AD6">
        <w:rPr>
          <w:rFonts w:ascii="Arial" w:hAnsi="Arial" w:cs="Arial"/>
          <w:sz w:val="24"/>
          <w:szCs w:val="24"/>
        </w:rPr>
        <w:t>medianas</w:t>
      </w:r>
      <w:r w:rsidR="00663F9D">
        <w:rPr>
          <w:rFonts w:ascii="Arial" w:hAnsi="Arial" w:cs="Arial"/>
          <w:sz w:val="24"/>
          <w:szCs w:val="24"/>
        </w:rPr>
        <w:t>»</w:t>
      </w:r>
      <w:r w:rsidR="00FE2DCD" w:rsidRPr="009A5AD6">
        <w:rPr>
          <w:rFonts w:ascii="Arial" w:hAnsi="Arial" w:cs="Arial"/>
          <w:sz w:val="24"/>
          <w:szCs w:val="24"/>
        </w:rPr>
        <w:t xml:space="preserve"> y </w:t>
      </w:r>
      <w:r w:rsidR="00663F9D">
        <w:rPr>
          <w:rFonts w:ascii="Arial" w:hAnsi="Arial" w:cs="Arial"/>
          <w:sz w:val="24"/>
          <w:szCs w:val="24"/>
        </w:rPr>
        <w:t>«</w:t>
      </w:r>
      <w:r w:rsidR="00FE2DCD" w:rsidRPr="009A5AD6">
        <w:rPr>
          <w:rFonts w:ascii="Arial" w:hAnsi="Arial" w:cs="Arial"/>
          <w:sz w:val="24"/>
          <w:szCs w:val="24"/>
        </w:rPr>
        <w:t>pequeñas</w:t>
      </w:r>
      <w:r w:rsidR="00663F9D">
        <w:rPr>
          <w:rFonts w:ascii="Arial" w:hAnsi="Arial" w:cs="Arial"/>
          <w:sz w:val="24"/>
          <w:szCs w:val="24"/>
        </w:rPr>
        <w:t>»</w:t>
      </w:r>
      <w:r w:rsidR="00FE2DCD" w:rsidRPr="009A5AD6">
        <w:rPr>
          <w:rFonts w:ascii="Arial" w:hAnsi="Arial" w:cs="Arial"/>
          <w:sz w:val="24"/>
          <w:szCs w:val="24"/>
        </w:rPr>
        <w:t>, con 25.8 y 41.0 %</w:t>
      </w:r>
      <w:r w:rsidR="00CE0F17" w:rsidRPr="009A5AD6">
        <w:rPr>
          <w:rFonts w:ascii="Arial" w:hAnsi="Arial" w:cs="Arial"/>
          <w:sz w:val="24"/>
          <w:szCs w:val="24"/>
        </w:rPr>
        <w:t>,</w:t>
      </w:r>
      <w:r w:rsidR="00FE2DCD" w:rsidRPr="009A5AD6">
        <w:rPr>
          <w:rFonts w:ascii="Arial" w:hAnsi="Arial" w:cs="Arial"/>
          <w:sz w:val="24"/>
          <w:szCs w:val="24"/>
        </w:rPr>
        <w:t xml:space="preserve"> respectivamente. Los </w:t>
      </w:r>
      <w:r w:rsidR="00663F9D">
        <w:rPr>
          <w:rFonts w:ascii="Arial" w:hAnsi="Arial" w:cs="Arial"/>
          <w:sz w:val="24"/>
          <w:szCs w:val="24"/>
        </w:rPr>
        <w:t>«</w:t>
      </w:r>
      <w:r w:rsidR="00FE2DCD" w:rsidRPr="009A5AD6">
        <w:rPr>
          <w:rFonts w:ascii="Arial" w:hAnsi="Arial" w:cs="Arial"/>
          <w:sz w:val="24"/>
          <w:szCs w:val="24"/>
        </w:rPr>
        <w:t>servicios de manufactura en insumos físicos que son propiedad de otros</w:t>
      </w:r>
      <w:r w:rsidR="00663F9D">
        <w:rPr>
          <w:rFonts w:ascii="Arial" w:hAnsi="Arial" w:cs="Arial"/>
          <w:sz w:val="24"/>
          <w:szCs w:val="24"/>
        </w:rPr>
        <w:t>»</w:t>
      </w:r>
      <w:r w:rsidR="00FE2DCD" w:rsidRPr="009A5AD6">
        <w:rPr>
          <w:rFonts w:ascii="Arial" w:hAnsi="Arial" w:cs="Arial"/>
          <w:sz w:val="24"/>
          <w:szCs w:val="24"/>
        </w:rPr>
        <w:t xml:space="preserve"> representa</w:t>
      </w:r>
      <w:r>
        <w:rPr>
          <w:rFonts w:ascii="Arial" w:hAnsi="Arial" w:cs="Arial"/>
          <w:sz w:val="24"/>
          <w:szCs w:val="24"/>
        </w:rPr>
        <w:t>ro</w:t>
      </w:r>
      <w:r w:rsidR="00FE2DCD" w:rsidRPr="009A5AD6">
        <w:rPr>
          <w:rFonts w:ascii="Arial" w:hAnsi="Arial" w:cs="Arial"/>
          <w:sz w:val="24"/>
          <w:szCs w:val="24"/>
        </w:rPr>
        <w:t xml:space="preserve">n 32.1 % del total de gastos para las empresas </w:t>
      </w:r>
      <w:r w:rsidR="00663F9D">
        <w:rPr>
          <w:rFonts w:ascii="Arial" w:hAnsi="Arial" w:cs="Arial"/>
          <w:sz w:val="24"/>
          <w:szCs w:val="24"/>
        </w:rPr>
        <w:t>«</w:t>
      </w:r>
      <w:r w:rsidR="00FE2DCD" w:rsidRPr="009A5AD6">
        <w:rPr>
          <w:rFonts w:ascii="Arial" w:hAnsi="Arial" w:cs="Arial"/>
          <w:sz w:val="24"/>
          <w:szCs w:val="24"/>
        </w:rPr>
        <w:t>micro</w:t>
      </w:r>
      <w:r w:rsidR="00663F9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como se puede ver en la gráfica 14.</w:t>
      </w:r>
    </w:p>
    <w:p w14:paraId="41107D61" w14:textId="77777777" w:rsidR="00EB5952" w:rsidRDefault="00EB5952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</w:p>
    <w:p w14:paraId="55F696D4" w14:textId="53B093DD" w:rsidR="004F37B7" w:rsidRPr="009A5AD6" w:rsidRDefault="00FE2DCD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9A5AD6">
        <w:rPr>
          <w:rFonts w:ascii="Arial" w:hAnsi="Arial" w:cs="Arial"/>
          <w:bCs/>
          <w:sz w:val="20"/>
          <w:szCs w:val="20"/>
        </w:rPr>
        <w:t xml:space="preserve">Gráfica </w:t>
      </w:r>
      <w:r w:rsidR="00195162" w:rsidRPr="009A5AD6">
        <w:rPr>
          <w:rFonts w:ascii="Arial" w:hAnsi="Arial" w:cs="Arial"/>
          <w:bCs/>
          <w:sz w:val="20"/>
          <w:szCs w:val="20"/>
        </w:rPr>
        <w:t>14</w:t>
      </w:r>
    </w:p>
    <w:p w14:paraId="294C7182" w14:textId="4C4437B5" w:rsidR="00E7144B" w:rsidRDefault="002436D9" w:rsidP="00E7144B">
      <w:pPr>
        <w:tabs>
          <w:tab w:val="left" w:pos="1198"/>
          <w:tab w:val="center" w:pos="5043"/>
        </w:tabs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Participación de los g</w:t>
      </w:r>
      <w:r w:rsidR="00FE2DCD" w:rsidRPr="009A5AD6">
        <w:rPr>
          <w:rFonts w:ascii="Arial" w:hAnsi="Arial" w:cs="Arial"/>
          <w:b/>
          <w:bCs/>
          <w:smallCaps/>
        </w:rPr>
        <w:t xml:space="preserve">astos de empresas que realizaron </w:t>
      </w:r>
      <w:r w:rsidR="00F83BFE" w:rsidRPr="009A5AD6">
        <w:rPr>
          <w:rFonts w:ascii="Arial" w:hAnsi="Arial" w:cs="Arial"/>
          <w:b/>
          <w:bCs/>
          <w:smallCaps/>
        </w:rPr>
        <w:t>comercio internacional de servicios,</w:t>
      </w:r>
      <w:r w:rsidR="00FE2DCD" w:rsidRPr="009A5AD6">
        <w:rPr>
          <w:rFonts w:ascii="Arial" w:hAnsi="Arial" w:cs="Arial"/>
          <w:b/>
          <w:bCs/>
          <w:smallCaps/>
        </w:rPr>
        <w:t xml:space="preserve"> </w:t>
      </w:r>
      <w:r w:rsidR="005A1D7F">
        <w:rPr>
          <w:rFonts w:ascii="Arial" w:hAnsi="Arial" w:cs="Arial"/>
          <w:b/>
          <w:bCs/>
          <w:smallCaps/>
        </w:rPr>
        <w:t>por tamaño de empresa, según tipo de servicio en 2021</w:t>
      </w:r>
    </w:p>
    <w:p w14:paraId="09492AE2" w14:textId="3B38F337" w:rsidR="00DA19DD" w:rsidRPr="009A5AD6" w:rsidRDefault="00437D70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</w:t>
      </w:r>
      <w:r w:rsidR="00E7144B">
        <w:rPr>
          <w:rFonts w:ascii="Arial" w:hAnsi="Arial" w:cs="Arial"/>
          <w:sz w:val="18"/>
          <w:szCs w:val="24"/>
        </w:rPr>
        <w:t>p</w:t>
      </w:r>
      <w:r w:rsidRPr="009A5AD6">
        <w:rPr>
          <w:rFonts w:ascii="Arial" w:hAnsi="Arial" w:cs="Arial"/>
          <w:sz w:val="18"/>
          <w:szCs w:val="24"/>
        </w:rPr>
        <w:t>orcentaje)</w:t>
      </w:r>
    </w:p>
    <w:p w14:paraId="1AB0FD41" w14:textId="32C24D1F" w:rsidR="00FE2DCD" w:rsidRPr="00572DB1" w:rsidRDefault="00A524C2" w:rsidP="002A0561">
      <w:pPr>
        <w:spacing w:after="60" w:line="240" w:lineRule="auto"/>
        <w:jc w:val="center"/>
        <w:rPr>
          <w:rFonts w:ascii="Arial" w:hAnsi="Arial" w:cs="Arial"/>
          <w:color w:val="404040" w:themeColor="text1" w:themeTint="BF"/>
        </w:rPr>
      </w:pPr>
      <w:r>
        <w:rPr>
          <w:noProof/>
        </w:rPr>
        <w:drawing>
          <wp:inline distT="0" distB="0" distL="0" distR="0" wp14:anchorId="631579D3" wp14:editId="40E12B6A">
            <wp:extent cx="4672200" cy="2246400"/>
            <wp:effectExtent l="0" t="0" r="0" b="1905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672200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1AFFA" w14:textId="77777777" w:rsidR="00E7144B" w:rsidRDefault="00FE2DCD" w:rsidP="00E7144B">
      <w:pPr>
        <w:pStyle w:val="NormalWeb"/>
        <w:spacing w:before="0" w:beforeAutospacing="0" w:after="0" w:afterAutospacing="0"/>
        <w:ind w:left="1418" w:right="1557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hAnsi="Arial" w:cs="Arial"/>
          <w:bCs/>
          <w:kern w:val="24"/>
          <w:sz w:val="16"/>
          <w:szCs w:val="16"/>
        </w:rPr>
        <w:t xml:space="preserve">Nota: </w:t>
      </w:r>
      <w:r w:rsidR="00E7144B">
        <w:rPr>
          <w:rFonts w:ascii="Arial" w:hAnsi="Arial" w:cs="Arial"/>
          <w:bCs/>
          <w:kern w:val="24"/>
          <w:sz w:val="16"/>
          <w:szCs w:val="16"/>
        </w:rPr>
        <w:t xml:space="preserve">   </w:t>
      </w:r>
      <w:r w:rsidR="006D31FD" w:rsidRPr="009A5AD6">
        <w:rPr>
          <w:rFonts w:ascii="Arial" w:hAnsi="Arial" w:cs="Arial"/>
          <w:bCs/>
          <w:sz w:val="16"/>
          <w:szCs w:val="16"/>
        </w:rPr>
        <w:t xml:space="preserve">Porcentajes obtenidos respecto del total de gastos a precios constantes </w:t>
      </w:r>
      <w:r w:rsidR="00E7144B" w:rsidRPr="00E7144B">
        <w:rPr>
          <w:rFonts w:ascii="Arial" w:hAnsi="Arial" w:cs="Arial"/>
          <w:bCs/>
          <w:smallCaps/>
          <w:sz w:val="16"/>
          <w:szCs w:val="16"/>
        </w:rPr>
        <w:t>inpp</w:t>
      </w:r>
      <w:r w:rsidR="006D31FD" w:rsidRPr="009A5AD6">
        <w:rPr>
          <w:rFonts w:ascii="Arial" w:hAnsi="Arial" w:cs="Arial"/>
          <w:bCs/>
          <w:sz w:val="16"/>
          <w:szCs w:val="16"/>
        </w:rPr>
        <w:t xml:space="preserve"> promedio </w:t>
      </w:r>
    </w:p>
    <w:p w14:paraId="23FB6C94" w14:textId="27310D92" w:rsidR="00C3578C" w:rsidRPr="009A5AD6" w:rsidRDefault="00E7144B" w:rsidP="002A0561">
      <w:pPr>
        <w:pStyle w:val="NormalWeb"/>
        <w:spacing w:before="0" w:beforeAutospacing="0" w:after="0" w:afterAutospacing="0"/>
        <w:ind w:left="1418" w:right="155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6D31FD" w:rsidRPr="009A5AD6">
        <w:rPr>
          <w:rFonts w:ascii="Arial" w:hAnsi="Arial" w:cs="Arial"/>
          <w:bCs/>
          <w:sz w:val="16"/>
          <w:szCs w:val="16"/>
        </w:rPr>
        <w:t>anual 2021 por clase de actividad</w:t>
      </w:r>
      <w:r w:rsidR="00C3578C" w:rsidRPr="009A5AD6">
        <w:rPr>
          <w:rFonts w:ascii="Arial" w:hAnsi="Arial" w:cs="Arial"/>
          <w:bCs/>
          <w:sz w:val="16"/>
          <w:szCs w:val="16"/>
        </w:rPr>
        <w:t xml:space="preserve"> </w:t>
      </w:r>
      <w:r w:rsidR="006D31FD" w:rsidRPr="009A5AD6">
        <w:rPr>
          <w:rFonts w:ascii="Arial" w:hAnsi="Arial" w:cs="Arial"/>
          <w:bCs/>
          <w:sz w:val="16"/>
          <w:szCs w:val="16"/>
        </w:rPr>
        <w:t>económica</w:t>
      </w:r>
      <w:r w:rsidR="00133D7D" w:rsidRPr="009A5AD6">
        <w:rPr>
          <w:rFonts w:ascii="Arial" w:hAnsi="Arial" w:cs="Arial"/>
          <w:bCs/>
          <w:sz w:val="16"/>
          <w:szCs w:val="16"/>
        </w:rPr>
        <w:t xml:space="preserve"> por</w:t>
      </w:r>
      <w:r w:rsidR="009A5AD6">
        <w:rPr>
          <w:rFonts w:ascii="Arial" w:hAnsi="Arial" w:cs="Arial"/>
          <w:bCs/>
          <w:sz w:val="16"/>
          <w:szCs w:val="16"/>
        </w:rPr>
        <w:t xml:space="preserve"> </w:t>
      </w:r>
      <w:r w:rsidR="00C3578C" w:rsidRPr="009A5AD6">
        <w:rPr>
          <w:rFonts w:ascii="Arial" w:hAnsi="Arial" w:cs="Arial"/>
          <w:bCs/>
          <w:sz w:val="16"/>
          <w:szCs w:val="16"/>
        </w:rPr>
        <w:t>tamaño de empresa.</w:t>
      </w:r>
    </w:p>
    <w:p w14:paraId="04CBB4F3" w14:textId="7019EDFF" w:rsidR="00133D7D" w:rsidRPr="009A5AD6" w:rsidRDefault="00C3578C" w:rsidP="002A0561">
      <w:pPr>
        <w:pStyle w:val="NormalWeb"/>
        <w:spacing w:before="0" w:beforeAutospacing="0" w:after="0" w:afterAutospacing="0"/>
        <w:ind w:left="1418" w:right="1557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hAnsi="Arial" w:cs="Arial"/>
          <w:bCs/>
          <w:kern w:val="24"/>
          <w:sz w:val="16"/>
          <w:szCs w:val="16"/>
        </w:rPr>
        <w:t xml:space="preserve">         </w:t>
      </w:r>
      <w:r w:rsidR="00133D7D" w:rsidRPr="009A5AD6">
        <w:rPr>
          <w:rFonts w:ascii="Arial" w:hAnsi="Arial" w:cs="Arial"/>
          <w:bCs/>
          <w:kern w:val="24"/>
          <w:sz w:val="16"/>
          <w:szCs w:val="16"/>
        </w:rPr>
        <w:t xml:space="preserve"> </w:t>
      </w:r>
      <w:r w:rsidR="00E7144B">
        <w:rPr>
          <w:rFonts w:ascii="Arial" w:hAnsi="Arial" w:cs="Arial"/>
          <w:bCs/>
          <w:kern w:val="24"/>
          <w:sz w:val="16"/>
          <w:szCs w:val="16"/>
        </w:rPr>
        <w:t xml:space="preserve">   </w:t>
      </w:r>
      <w:r w:rsidR="00FE2DCD" w:rsidRPr="009A5AD6">
        <w:rPr>
          <w:rFonts w:ascii="Arial" w:hAnsi="Arial" w:cs="Arial"/>
          <w:bCs/>
          <w:kern w:val="24"/>
          <w:sz w:val="16"/>
          <w:szCs w:val="16"/>
        </w:rPr>
        <w:t>La suma de los porcentajes puede no corresponder a</w:t>
      </w:r>
      <w:r w:rsidR="007A49BD">
        <w:rPr>
          <w:rFonts w:ascii="Arial" w:hAnsi="Arial" w:cs="Arial"/>
          <w:bCs/>
          <w:kern w:val="24"/>
          <w:sz w:val="16"/>
          <w:szCs w:val="16"/>
        </w:rPr>
        <w:t>l</w:t>
      </w:r>
      <w:r w:rsidR="00FE2DCD" w:rsidRPr="009A5AD6">
        <w:rPr>
          <w:rFonts w:ascii="Arial" w:hAnsi="Arial" w:cs="Arial"/>
          <w:bCs/>
          <w:kern w:val="24"/>
          <w:sz w:val="16"/>
          <w:szCs w:val="16"/>
        </w:rPr>
        <w:t xml:space="preserve"> 100.0 % debido al redondeo.</w:t>
      </w:r>
    </w:p>
    <w:p w14:paraId="5AC2A18E" w14:textId="3210F4D7" w:rsidR="00E7144B" w:rsidRDefault="00E7144B" w:rsidP="00E7144B">
      <w:pPr>
        <w:pStyle w:val="NormalWeb"/>
        <w:spacing w:before="0" w:beforeAutospacing="0" w:after="0" w:afterAutospacing="0"/>
        <w:ind w:left="1418" w:right="1557"/>
        <w:jc w:val="both"/>
        <w:rPr>
          <w:rFonts w:ascii="Arial" w:hAnsi="Arial" w:cs="Arial"/>
          <w:bCs/>
          <w:kern w:val="24"/>
          <w:sz w:val="16"/>
          <w:szCs w:val="16"/>
        </w:rPr>
      </w:pPr>
      <w:r>
        <w:rPr>
          <w:rFonts w:ascii="Arial" w:hAnsi="Arial" w:cs="Arial"/>
          <w:bCs/>
          <w:kern w:val="24"/>
          <w:sz w:val="16"/>
          <w:szCs w:val="16"/>
        </w:rPr>
        <w:t xml:space="preserve">             </w:t>
      </w:r>
      <w:r w:rsidR="00FE2DCD" w:rsidRPr="009A5AD6">
        <w:rPr>
          <w:rFonts w:ascii="Arial" w:hAnsi="Arial" w:cs="Arial"/>
          <w:bCs/>
          <w:kern w:val="24"/>
          <w:sz w:val="16"/>
          <w:szCs w:val="16"/>
        </w:rPr>
        <w:t xml:space="preserve">Estratificación bivariada del </w:t>
      </w:r>
      <w:r w:rsidRPr="00E7144B">
        <w:rPr>
          <w:rFonts w:ascii="Arial" w:hAnsi="Arial" w:cs="Arial"/>
          <w:bCs/>
          <w:smallCaps/>
          <w:kern w:val="24"/>
          <w:sz w:val="16"/>
          <w:szCs w:val="16"/>
        </w:rPr>
        <w:t>dof</w:t>
      </w:r>
      <w:r w:rsidR="00FE2DCD" w:rsidRPr="009A5AD6">
        <w:rPr>
          <w:rFonts w:ascii="Arial" w:hAnsi="Arial" w:cs="Arial"/>
          <w:bCs/>
          <w:kern w:val="24"/>
          <w:sz w:val="16"/>
          <w:szCs w:val="16"/>
        </w:rPr>
        <w:t xml:space="preserve"> del 30 de junio de 2009 de acuerdo con la clasificación </w:t>
      </w:r>
    </w:p>
    <w:p w14:paraId="1068F464" w14:textId="0BF8960A" w:rsidR="00FE2DCD" w:rsidRDefault="00E7144B" w:rsidP="00E7144B">
      <w:pPr>
        <w:pStyle w:val="NormalWeb"/>
        <w:spacing w:before="0" w:beforeAutospacing="0" w:after="0" w:afterAutospacing="0"/>
        <w:ind w:left="1418" w:right="1557"/>
        <w:jc w:val="both"/>
        <w:rPr>
          <w:rFonts w:ascii="Arial" w:hAnsi="Arial" w:cs="Arial"/>
          <w:bCs/>
          <w:kern w:val="24"/>
          <w:sz w:val="16"/>
          <w:szCs w:val="16"/>
        </w:rPr>
      </w:pPr>
      <w:r>
        <w:rPr>
          <w:rFonts w:ascii="Arial" w:hAnsi="Arial" w:cs="Arial"/>
          <w:bCs/>
          <w:kern w:val="24"/>
          <w:sz w:val="16"/>
          <w:szCs w:val="16"/>
        </w:rPr>
        <w:t xml:space="preserve">             </w:t>
      </w:r>
      <w:r w:rsidR="00FE2DCD" w:rsidRPr="009A5AD6">
        <w:rPr>
          <w:rFonts w:ascii="Arial" w:hAnsi="Arial" w:cs="Arial"/>
          <w:bCs/>
          <w:kern w:val="24"/>
          <w:sz w:val="16"/>
          <w:szCs w:val="16"/>
        </w:rPr>
        <w:t xml:space="preserve">de personal </w:t>
      </w:r>
      <w:r w:rsidR="00693D81" w:rsidRPr="009A5AD6">
        <w:rPr>
          <w:rFonts w:ascii="Arial" w:hAnsi="Arial" w:cs="Arial"/>
          <w:bCs/>
          <w:kern w:val="24"/>
          <w:sz w:val="16"/>
          <w:szCs w:val="16"/>
        </w:rPr>
        <w:t>ocupado y sector económico.</w:t>
      </w:r>
    </w:p>
    <w:p w14:paraId="1488B2BE" w14:textId="77777777" w:rsidR="00E7144B" w:rsidRPr="00B364EE" w:rsidRDefault="00E7144B" w:rsidP="002A0561">
      <w:pPr>
        <w:spacing w:after="0" w:line="240" w:lineRule="auto"/>
        <w:ind w:left="1701" w:right="1699" w:hanging="283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inegi. ecis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, 2022.</w:t>
      </w:r>
    </w:p>
    <w:p w14:paraId="764462AC" w14:textId="77777777" w:rsidR="00E7144B" w:rsidRDefault="00E7144B" w:rsidP="002A0561">
      <w:pPr>
        <w:pStyle w:val="NormalWeb"/>
        <w:spacing w:before="0" w:beforeAutospacing="0" w:after="0" w:afterAutospacing="0"/>
        <w:ind w:left="1418" w:right="1557"/>
        <w:jc w:val="both"/>
        <w:rPr>
          <w:rFonts w:ascii="Arial" w:hAnsi="Arial" w:cs="Arial"/>
          <w:bCs/>
          <w:sz w:val="16"/>
          <w:szCs w:val="16"/>
        </w:rPr>
      </w:pPr>
    </w:p>
    <w:p w14:paraId="63275755" w14:textId="77777777" w:rsidR="00EB5952" w:rsidRPr="009A5AD6" w:rsidRDefault="00EB5952" w:rsidP="002A0561">
      <w:pPr>
        <w:pStyle w:val="NormalWeb"/>
        <w:spacing w:before="0" w:beforeAutospacing="0" w:after="0" w:afterAutospacing="0"/>
        <w:ind w:left="1418" w:right="1557"/>
        <w:jc w:val="both"/>
        <w:rPr>
          <w:rFonts w:ascii="Arial" w:hAnsi="Arial" w:cs="Arial"/>
          <w:bCs/>
          <w:sz w:val="16"/>
          <w:szCs w:val="16"/>
        </w:rPr>
      </w:pPr>
    </w:p>
    <w:p w14:paraId="58AFC086" w14:textId="6C699B26" w:rsidR="00FF36F0" w:rsidRPr="006B6DCE" w:rsidRDefault="00E7144B" w:rsidP="002A0561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</w:t>
      </w:r>
      <w:r w:rsidR="004105CA" w:rsidRPr="009A5AD6">
        <w:rPr>
          <w:rFonts w:ascii="Arial" w:hAnsi="Arial" w:cs="Arial"/>
          <w:sz w:val="24"/>
          <w:szCs w:val="24"/>
        </w:rPr>
        <w:t xml:space="preserve"> gran sector de actividad económica</w:t>
      </w:r>
      <w:r>
        <w:rPr>
          <w:rFonts w:ascii="Arial" w:hAnsi="Arial" w:cs="Arial"/>
          <w:sz w:val="24"/>
          <w:szCs w:val="24"/>
        </w:rPr>
        <w:t>,</w:t>
      </w:r>
      <w:r w:rsidR="004105CA" w:rsidRPr="009A5AD6">
        <w:rPr>
          <w:rFonts w:ascii="Arial" w:hAnsi="Arial" w:cs="Arial"/>
          <w:sz w:val="24"/>
          <w:szCs w:val="24"/>
        </w:rPr>
        <w:t xml:space="preserve"> en 2021, 27.7 % de los gastos </w:t>
      </w:r>
      <w:r w:rsidR="009E23FF" w:rsidRPr="009A5AD6">
        <w:rPr>
          <w:rFonts w:ascii="Arial" w:hAnsi="Arial" w:cs="Arial"/>
          <w:sz w:val="24"/>
          <w:szCs w:val="24"/>
        </w:rPr>
        <w:t xml:space="preserve">a precios constantes </w:t>
      </w:r>
      <w:r w:rsidR="004105CA" w:rsidRPr="009A5AD6">
        <w:rPr>
          <w:rFonts w:ascii="Arial" w:hAnsi="Arial" w:cs="Arial"/>
          <w:sz w:val="24"/>
          <w:szCs w:val="24"/>
        </w:rPr>
        <w:t xml:space="preserve">por importaciones </w:t>
      </w:r>
      <w:r w:rsidR="009E23FF" w:rsidRPr="009A5AD6">
        <w:rPr>
          <w:rFonts w:ascii="Arial" w:hAnsi="Arial" w:cs="Arial"/>
          <w:sz w:val="24"/>
          <w:szCs w:val="24"/>
        </w:rPr>
        <w:t xml:space="preserve">de </w:t>
      </w:r>
      <w:r w:rsidRPr="00E7144B">
        <w:rPr>
          <w:rFonts w:ascii="Arial" w:hAnsi="Arial" w:cs="Arial"/>
          <w:smallCaps/>
          <w:sz w:val="24"/>
          <w:szCs w:val="24"/>
        </w:rPr>
        <w:t>cis</w:t>
      </w:r>
      <w:r w:rsidR="009E23FF" w:rsidRPr="009A5AD6">
        <w:rPr>
          <w:rFonts w:ascii="Arial" w:hAnsi="Arial" w:cs="Arial"/>
          <w:sz w:val="24"/>
          <w:szCs w:val="24"/>
        </w:rPr>
        <w:t xml:space="preserve"> </w:t>
      </w:r>
      <w:r w:rsidR="004105CA" w:rsidRPr="009A5AD6">
        <w:rPr>
          <w:rFonts w:ascii="Arial" w:hAnsi="Arial" w:cs="Arial"/>
          <w:sz w:val="24"/>
          <w:szCs w:val="24"/>
        </w:rPr>
        <w:t xml:space="preserve">del sector </w:t>
      </w:r>
      <w:r w:rsidR="00663F9D">
        <w:rPr>
          <w:rFonts w:ascii="Arial" w:hAnsi="Arial" w:cs="Arial"/>
          <w:sz w:val="24"/>
          <w:szCs w:val="24"/>
        </w:rPr>
        <w:t>«</w:t>
      </w:r>
      <w:r w:rsidR="004105CA" w:rsidRPr="009A5AD6">
        <w:rPr>
          <w:rFonts w:ascii="Arial" w:hAnsi="Arial" w:cs="Arial"/>
          <w:sz w:val="24"/>
          <w:szCs w:val="24"/>
        </w:rPr>
        <w:t>industria</w:t>
      </w:r>
      <w:r w:rsidR="00663F9D">
        <w:rPr>
          <w:rFonts w:ascii="Arial" w:hAnsi="Arial" w:cs="Arial"/>
          <w:sz w:val="24"/>
          <w:szCs w:val="24"/>
        </w:rPr>
        <w:t>»</w:t>
      </w:r>
      <w:r w:rsidR="004105CA" w:rsidRPr="009A5AD6">
        <w:rPr>
          <w:rFonts w:ascii="Arial" w:hAnsi="Arial" w:cs="Arial"/>
          <w:sz w:val="24"/>
          <w:szCs w:val="24"/>
        </w:rPr>
        <w:t xml:space="preserve"> se realizaron a través de los </w:t>
      </w:r>
      <w:r w:rsidR="00663F9D">
        <w:rPr>
          <w:rFonts w:ascii="Arial" w:hAnsi="Arial" w:cs="Arial"/>
          <w:sz w:val="24"/>
          <w:szCs w:val="24"/>
        </w:rPr>
        <w:t>«</w:t>
      </w:r>
      <w:r w:rsidR="004105CA" w:rsidRPr="009A5AD6">
        <w:rPr>
          <w:rFonts w:ascii="Arial" w:hAnsi="Arial" w:cs="Arial"/>
          <w:sz w:val="24"/>
          <w:szCs w:val="24"/>
        </w:rPr>
        <w:t>servicios de manufactura en insumos físicos que son propiedad de otros</w:t>
      </w:r>
      <w:r w:rsidR="00663F9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 Siguieron</w:t>
      </w:r>
      <w:r w:rsidR="004105CA" w:rsidRPr="009A5AD6">
        <w:rPr>
          <w:rFonts w:ascii="Arial" w:hAnsi="Arial" w:cs="Arial"/>
          <w:sz w:val="24"/>
          <w:szCs w:val="24"/>
        </w:rPr>
        <w:t xml:space="preserve"> los </w:t>
      </w:r>
      <w:r w:rsidR="00663F9D">
        <w:rPr>
          <w:rFonts w:ascii="Arial" w:hAnsi="Arial" w:cs="Arial"/>
          <w:sz w:val="24"/>
          <w:szCs w:val="24"/>
        </w:rPr>
        <w:t>«</w:t>
      </w:r>
      <w:r w:rsidR="004105CA" w:rsidRPr="009A5AD6">
        <w:rPr>
          <w:rFonts w:ascii="Arial" w:hAnsi="Arial" w:cs="Arial"/>
          <w:sz w:val="24"/>
          <w:szCs w:val="24"/>
        </w:rPr>
        <w:t>cargos por el uso de la propiedad intelectual</w:t>
      </w:r>
      <w:r w:rsidR="00663F9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="004105CA" w:rsidRPr="009A5AD6">
        <w:rPr>
          <w:rFonts w:ascii="Arial" w:hAnsi="Arial" w:cs="Arial"/>
          <w:sz w:val="24"/>
          <w:szCs w:val="24"/>
        </w:rPr>
        <w:t xml:space="preserve"> con 24.8 % y los </w:t>
      </w:r>
      <w:r w:rsidR="004105CA" w:rsidRPr="007A49BD">
        <w:rPr>
          <w:rFonts w:ascii="Arial" w:hAnsi="Arial" w:cs="Arial"/>
          <w:sz w:val="24"/>
          <w:szCs w:val="24"/>
        </w:rPr>
        <w:t xml:space="preserve">servicios de </w:t>
      </w:r>
      <w:r w:rsidR="007A49BD" w:rsidRPr="007A49BD">
        <w:rPr>
          <w:rFonts w:ascii="Arial" w:hAnsi="Arial" w:cs="Arial"/>
          <w:sz w:val="24"/>
          <w:szCs w:val="24"/>
        </w:rPr>
        <w:t>«</w:t>
      </w:r>
      <w:r w:rsidR="004105CA" w:rsidRPr="007A49BD">
        <w:rPr>
          <w:rFonts w:ascii="Arial" w:hAnsi="Arial" w:cs="Arial"/>
          <w:sz w:val="24"/>
          <w:szCs w:val="24"/>
        </w:rPr>
        <w:t>transporte</w:t>
      </w:r>
      <w:r w:rsidR="00663F9D" w:rsidRPr="007A49BD">
        <w:rPr>
          <w:rFonts w:ascii="Arial" w:hAnsi="Arial" w:cs="Arial"/>
          <w:sz w:val="24"/>
          <w:szCs w:val="24"/>
        </w:rPr>
        <w:t>»</w:t>
      </w:r>
      <w:r w:rsidRPr="007A49BD">
        <w:rPr>
          <w:rFonts w:ascii="Arial" w:hAnsi="Arial" w:cs="Arial"/>
          <w:sz w:val="24"/>
          <w:szCs w:val="24"/>
        </w:rPr>
        <w:t>,</w:t>
      </w:r>
      <w:r w:rsidR="004105CA" w:rsidRPr="009A5AD6">
        <w:rPr>
          <w:rFonts w:ascii="Arial" w:hAnsi="Arial" w:cs="Arial"/>
          <w:sz w:val="24"/>
          <w:szCs w:val="24"/>
        </w:rPr>
        <w:t xml:space="preserve"> con 20.4</w:t>
      </w:r>
      <w:r>
        <w:rPr>
          <w:rFonts w:ascii="Arial" w:hAnsi="Arial" w:cs="Arial"/>
          <w:sz w:val="24"/>
          <w:szCs w:val="24"/>
        </w:rPr>
        <w:t xml:space="preserve"> por ciento</w:t>
      </w:r>
      <w:r w:rsidR="000C57FF" w:rsidRPr="009A5AD6">
        <w:rPr>
          <w:rFonts w:ascii="Arial" w:hAnsi="Arial" w:cs="Arial"/>
          <w:sz w:val="24"/>
          <w:szCs w:val="24"/>
        </w:rPr>
        <w:t>.</w:t>
      </w:r>
      <w:r w:rsidR="00552F8B" w:rsidRPr="009A5AD6">
        <w:rPr>
          <w:rFonts w:ascii="Arial" w:hAnsi="Arial" w:cs="Arial"/>
          <w:sz w:val="24"/>
          <w:szCs w:val="24"/>
        </w:rPr>
        <w:t xml:space="preserve"> </w:t>
      </w:r>
      <w:r w:rsidR="004105CA" w:rsidRPr="009A5AD6">
        <w:rPr>
          <w:rFonts w:ascii="Arial" w:hAnsi="Arial" w:cs="Arial"/>
          <w:sz w:val="24"/>
          <w:szCs w:val="24"/>
        </w:rPr>
        <w:t xml:space="preserve">Respecto del sector </w:t>
      </w:r>
      <w:r w:rsidR="00663F9D">
        <w:rPr>
          <w:rFonts w:ascii="Arial" w:hAnsi="Arial" w:cs="Arial"/>
          <w:sz w:val="24"/>
          <w:szCs w:val="24"/>
        </w:rPr>
        <w:t>«</w:t>
      </w:r>
      <w:r w:rsidR="004105CA" w:rsidRPr="009A5AD6">
        <w:rPr>
          <w:rFonts w:ascii="Arial" w:hAnsi="Arial" w:cs="Arial"/>
          <w:sz w:val="24"/>
          <w:szCs w:val="24"/>
        </w:rPr>
        <w:t>comercio</w:t>
      </w:r>
      <w:r w:rsidR="00663F9D">
        <w:rPr>
          <w:rFonts w:ascii="Arial" w:hAnsi="Arial" w:cs="Arial"/>
          <w:sz w:val="24"/>
          <w:szCs w:val="24"/>
        </w:rPr>
        <w:t>»</w:t>
      </w:r>
      <w:r w:rsidR="004105CA" w:rsidRPr="009A5AD6">
        <w:rPr>
          <w:rFonts w:ascii="Arial" w:hAnsi="Arial" w:cs="Arial"/>
          <w:sz w:val="24"/>
          <w:szCs w:val="24"/>
        </w:rPr>
        <w:t>, 44.6 % de los gastos realizados correspond</w:t>
      </w:r>
      <w:r>
        <w:rPr>
          <w:rFonts w:ascii="Arial" w:hAnsi="Arial" w:cs="Arial"/>
          <w:sz w:val="24"/>
          <w:szCs w:val="24"/>
        </w:rPr>
        <w:t>ió</w:t>
      </w:r>
      <w:r w:rsidR="004105CA" w:rsidRPr="009A5AD6">
        <w:rPr>
          <w:rFonts w:ascii="Arial" w:hAnsi="Arial" w:cs="Arial"/>
          <w:sz w:val="24"/>
          <w:szCs w:val="24"/>
        </w:rPr>
        <w:t xml:space="preserve"> a </w:t>
      </w:r>
      <w:r w:rsidR="00663F9D">
        <w:rPr>
          <w:rFonts w:ascii="Arial" w:hAnsi="Arial" w:cs="Arial"/>
          <w:sz w:val="24"/>
          <w:szCs w:val="24"/>
        </w:rPr>
        <w:t>«</w:t>
      </w:r>
      <w:r w:rsidR="004105CA" w:rsidRPr="009A5AD6">
        <w:rPr>
          <w:rFonts w:ascii="Arial" w:hAnsi="Arial" w:cs="Arial"/>
          <w:sz w:val="24"/>
          <w:szCs w:val="24"/>
        </w:rPr>
        <w:t>cargos por el uso de la propiedad intelectual</w:t>
      </w:r>
      <w:r w:rsidR="00663F9D">
        <w:rPr>
          <w:rFonts w:ascii="Arial" w:hAnsi="Arial" w:cs="Arial"/>
          <w:sz w:val="24"/>
          <w:szCs w:val="24"/>
        </w:rPr>
        <w:t>»</w:t>
      </w:r>
      <w:r w:rsidR="004105CA" w:rsidRPr="009A5AD6">
        <w:rPr>
          <w:rFonts w:ascii="Arial" w:hAnsi="Arial" w:cs="Arial"/>
          <w:sz w:val="24"/>
          <w:szCs w:val="24"/>
        </w:rPr>
        <w:t xml:space="preserve">, 20.7 % a </w:t>
      </w:r>
      <w:r w:rsidR="00663F9D">
        <w:rPr>
          <w:rFonts w:ascii="Arial" w:hAnsi="Arial" w:cs="Arial"/>
          <w:sz w:val="24"/>
          <w:szCs w:val="24"/>
        </w:rPr>
        <w:t>«</w:t>
      </w:r>
      <w:r w:rsidR="004105CA" w:rsidRPr="009A5AD6">
        <w:rPr>
          <w:rFonts w:ascii="Arial" w:hAnsi="Arial" w:cs="Arial"/>
          <w:sz w:val="24"/>
          <w:szCs w:val="24"/>
        </w:rPr>
        <w:t>otros servicios empresariales</w:t>
      </w:r>
      <w:r w:rsidR="00663F9D">
        <w:rPr>
          <w:rFonts w:ascii="Arial" w:hAnsi="Arial" w:cs="Arial"/>
          <w:sz w:val="24"/>
          <w:szCs w:val="24"/>
        </w:rPr>
        <w:t>»</w:t>
      </w:r>
      <w:r w:rsidR="004105CA" w:rsidRPr="009A5AD6">
        <w:rPr>
          <w:rFonts w:ascii="Arial" w:hAnsi="Arial" w:cs="Arial"/>
          <w:sz w:val="24"/>
          <w:szCs w:val="24"/>
        </w:rPr>
        <w:t xml:space="preserve"> y 12.3 % a los </w:t>
      </w:r>
      <w:r w:rsidR="00663F9D">
        <w:rPr>
          <w:rFonts w:ascii="Arial" w:hAnsi="Arial" w:cs="Arial"/>
          <w:sz w:val="24"/>
          <w:szCs w:val="24"/>
        </w:rPr>
        <w:t>«</w:t>
      </w:r>
      <w:r w:rsidR="004105CA" w:rsidRPr="009A5AD6">
        <w:rPr>
          <w:rFonts w:ascii="Arial" w:hAnsi="Arial" w:cs="Arial"/>
          <w:sz w:val="24"/>
          <w:szCs w:val="24"/>
        </w:rPr>
        <w:t>servicios de telecomunicaciones, informática e información</w:t>
      </w:r>
      <w:r w:rsidR="00663F9D">
        <w:rPr>
          <w:rFonts w:ascii="Arial" w:hAnsi="Arial" w:cs="Arial"/>
          <w:sz w:val="24"/>
          <w:szCs w:val="24"/>
        </w:rPr>
        <w:t>»</w:t>
      </w:r>
      <w:r w:rsidR="004105CA" w:rsidRPr="009A5AD6">
        <w:rPr>
          <w:rFonts w:ascii="Arial" w:hAnsi="Arial" w:cs="Arial"/>
          <w:sz w:val="24"/>
          <w:szCs w:val="24"/>
        </w:rPr>
        <w:t xml:space="preserve">. En cuanto al sector </w:t>
      </w:r>
      <w:r w:rsidR="00663F9D">
        <w:rPr>
          <w:rFonts w:ascii="Arial" w:hAnsi="Arial" w:cs="Arial"/>
          <w:sz w:val="24"/>
          <w:szCs w:val="24"/>
        </w:rPr>
        <w:t>«</w:t>
      </w:r>
      <w:r w:rsidR="004105CA" w:rsidRPr="009A5AD6">
        <w:rPr>
          <w:rFonts w:ascii="Arial" w:hAnsi="Arial" w:cs="Arial"/>
          <w:sz w:val="24"/>
          <w:szCs w:val="24"/>
        </w:rPr>
        <w:t>servicios</w:t>
      </w:r>
      <w:r w:rsidR="00663F9D">
        <w:rPr>
          <w:rFonts w:ascii="Arial" w:hAnsi="Arial" w:cs="Arial"/>
          <w:sz w:val="24"/>
          <w:szCs w:val="24"/>
        </w:rPr>
        <w:t>»</w:t>
      </w:r>
      <w:r w:rsidR="004105CA" w:rsidRPr="009A5AD6">
        <w:rPr>
          <w:rFonts w:ascii="Arial" w:hAnsi="Arial" w:cs="Arial"/>
          <w:sz w:val="24"/>
          <w:szCs w:val="24"/>
        </w:rPr>
        <w:t>,</w:t>
      </w:r>
      <w:r w:rsidR="00EE1199">
        <w:rPr>
          <w:rFonts w:ascii="Arial" w:hAnsi="Arial" w:cs="Arial"/>
          <w:sz w:val="24"/>
          <w:szCs w:val="24"/>
        </w:rPr>
        <w:t xml:space="preserve"> </w:t>
      </w:r>
      <w:r w:rsidR="004105CA" w:rsidRPr="009A5AD6">
        <w:rPr>
          <w:rFonts w:ascii="Arial" w:hAnsi="Arial" w:cs="Arial"/>
          <w:sz w:val="24"/>
          <w:szCs w:val="24"/>
        </w:rPr>
        <w:t xml:space="preserve">43.9 % de los gastos se realizaron por concepto de </w:t>
      </w:r>
      <w:r w:rsidR="00663F9D">
        <w:rPr>
          <w:rFonts w:ascii="Arial" w:hAnsi="Arial" w:cs="Arial"/>
          <w:sz w:val="24"/>
          <w:szCs w:val="24"/>
        </w:rPr>
        <w:t>«</w:t>
      </w:r>
      <w:r w:rsidR="004105CA" w:rsidRPr="009A5AD6">
        <w:rPr>
          <w:rFonts w:ascii="Arial" w:hAnsi="Arial" w:cs="Arial"/>
          <w:sz w:val="24"/>
          <w:szCs w:val="24"/>
        </w:rPr>
        <w:t>otros servicios empresariales</w:t>
      </w:r>
      <w:r w:rsidR="00663F9D">
        <w:rPr>
          <w:rFonts w:ascii="Arial" w:hAnsi="Arial" w:cs="Arial"/>
          <w:sz w:val="24"/>
          <w:szCs w:val="24"/>
        </w:rPr>
        <w:t>»</w:t>
      </w:r>
      <w:r w:rsidR="004105CA" w:rsidRPr="009A5AD6">
        <w:rPr>
          <w:rFonts w:ascii="Arial" w:hAnsi="Arial" w:cs="Arial"/>
          <w:sz w:val="24"/>
          <w:szCs w:val="24"/>
        </w:rPr>
        <w:t>, 19.4 %</w:t>
      </w:r>
      <w:r>
        <w:rPr>
          <w:rFonts w:ascii="Arial" w:hAnsi="Arial" w:cs="Arial"/>
          <w:sz w:val="24"/>
          <w:szCs w:val="24"/>
        </w:rPr>
        <w:t>,</w:t>
      </w:r>
      <w:r w:rsidR="004105CA" w:rsidRPr="009A5AD6">
        <w:rPr>
          <w:rFonts w:ascii="Arial" w:hAnsi="Arial" w:cs="Arial"/>
          <w:sz w:val="24"/>
          <w:szCs w:val="24"/>
        </w:rPr>
        <w:t xml:space="preserve"> </w:t>
      </w:r>
      <w:r w:rsidR="004105CA" w:rsidRPr="007A49BD">
        <w:rPr>
          <w:rFonts w:ascii="Arial" w:hAnsi="Arial" w:cs="Arial"/>
          <w:sz w:val="24"/>
          <w:szCs w:val="24"/>
        </w:rPr>
        <w:t xml:space="preserve">por servicios de </w:t>
      </w:r>
      <w:r w:rsidR="007A49BD" w:rsidRPr="007A49BD">
        <w:rPr>
          <w:rFonts w:ascii="Arial" w:hAnsi="Arial" w:cs="Arial"/>
          <w:sz w:val="24"/>
          <w:szCs w:val="24"/>
        </w:rPr>
        <w:t>«</w:t>
      </w:r>
      <w:r w:rsidR="004105CA" w:rsidRPr="007A49BD">
        <w:rPr>
          <w:rFonts w:ascii="Arial" w:hAnsi="Arial" w:cs="Arial"/>
          <w:sz w:val="24"/>
          <w:szCs w:val="24"/>
        </w:rPr>
        <w:t>transporte</w:t>
      </w:r>
      <w:r w:rsidR="00663F9D" w:rsidRPr="007A49BD">
        <w:rPr>
          <w:rFonts w:ascii="Arial" w:hAnsi="Arial" w:cs="Arial"/>
          <w:sz w:val="24"/>
          <w:szCs w:val="24"/>
        </w:rPr>
        <w:t>»</w:t>
      </w:r>
      <w:r w:rsidR="004105CA" w:rsidRPr="009A5AD6">
        <w:rPr>
          <w:rFonts w:ascii="Arial" w:hAnsi="Arial" w:cs="Arial"/>
          <w:sz w:val="24"/>
          <w:szCs w:val="24"/>
        </w:rPr>
        <w:t xml:space="preserve"> y 15.4 %</w:t>
      </w:r>
      <w:r>
        <w:rPr>
          <w:rFonts w:ascii="Arial" w:hAnsi="Arial" w:cs="Arial"/>
          <w:sz w:val="24"/>
          <w:szCs w:val="24"/>
        </w:rPr>
        <w:t>,</w:t>
      </w:r>
      <w:r w:rsidR="004105CA" w:rsidRPr="009A5AD6">
        <w:rPr>
          <w:rFonts w:ascii="Arial" w:hAnsi="Arial" w:cs="Arial"/>
          <w:sz w:val="24"/>
          <w:szCs w:val="24"/>
        </w:rPr>
        <w:t xml:space="preserve"> por </w:t>
      </w:r>
      <w:r w:rsidR="00663F9D">
        <w:rPr>
          <w:rFonts w:ascii="Arial" w:hAnsi="Arial" w:cs="Arial"/>
          <w:sz w:val="24"/>
          <w:szCs w:val="24"/>
        </w:rPr>
        <w:t>«</w:t>
      </w:r>
      <w:r w:rsidR="004105CA" w:rsidRPr="009A5AD6">
        <w:rPr>
          <w:rFonts w:ascii="Arial" w:hAnsi="Arial" w:cs="Arial"/>
          <w:sz w:val="24"/>
          <w:szCs w:val="24"/>
        </w:rPr>
        <w:t>cargos por el uso de la propiedad intelectual</w:t>
      </w:r>
      <w:r w:rsidR="00663F9D">
        <w:rPr>
          <w:rFonts w:ascii="Arial" w:hAnsi="Arial" w:cs="Arial"/>
          <w:sz w:val="24"/>
          <w:szCs w:val="24"/>
        </w:rPr>
        <w:t>»</w:t>
      </w:r>
      <w:r w:rsidR="00EE1199">
        <w:rPr>
          <w:rFonts w:ascii="Arial" w:hAnsi="Arial" w:cs="Arial"/>
          <w:sz w:val="24"/>
          <w:szCs w:val="24"/>
        </w:rPr>
        <w:t xml:space="preserve"> (ver gráfica 15).</w:t>
      </w:r>
    </w:p>
    <w:p w14:paraId="12CE4098" w14:textId="77777777" w:rsidR="006B6DCE" w:rsidRDefault="006B6DCE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64BD1ED5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1713B78D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1334EF2B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10595464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06A152F9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2AE3802E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501B8628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2DB50996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235FCED5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50299C46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4ABAAE90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6D229B54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0BA98FE4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0155EEA4" w14:textId="77777777" w:rsidR="00EB5952" w:rsidRDefault="00EB5952" w:rsidP="00EB5952">
      <w:pPr>
        <w:spacing w:after="0" w:line="240" w:lineRule="auto"/>
        <w:ind w:right="21"/>
        <w:jc w:val="center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535105CF" w14:textId="77777777" w:rsidR="00EB5952" w:rsidRDefault="00EB5952" w:rsidP="002A0561">
      <w:pPr>
        <w:spacing w:after="0" w:line="240" w:lineRule="auto"/>
        <w:ind w:right="21"/>
        <w:jc w:val="right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2E9486D6" w14:textId="77777777" w:rsidR="00A73574" w:rsidRDefault="00A73574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</w:p>
    <w:p w14:paraId="2CBEF1E4" w14:textId="2A94EEA9" w:rsidR="00584831" w:rsidRPr="009A5AD6" w:rsidRDefault="004105CA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9A5AD6">
        <w:rPr>
          <w:rFonts w:ascii="Arial" w:hAnsi="Arial" w:cs="Arial"/>
          <w:bCs/>
          <w:sz w:val="20"/>
          <w:szCs w:val="20"/>
        </w:rPr>
        <w:t>Gráfica 15</w:t>
      </w:r>
    </w:p>
    <w:p w14:paraId="7B05FA4D" w14:textId="631E12FA" w:rsidR="004105CA" w:rsidRPr="009A5AD6" w:rsidRDefault="00EC2B5E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Participación de los g</w:t>
      </w:r>
      <w:r w:rsidR="004105CA" w:rsidRPr="009A5AD6">
        <w:rPr>
          <w:rFonts w:ascii="Arial" w:hAnsi="Arial" w:cs="Arial"/>
          <w:b/>
          <w:bCs/>
          <w:smallCaps/>
        </w:rPr>
        <w:t xml:space="preserve">astos de empresas que realizaron </w:t>
      </w:r>
      <w:r w:rsidR="00F83BFE" w:rsidRPr="009A5AD6">
        <w:rPr>
          <w:rFonts w:ascii="Arial" w:hAnsi="Arial" w:cs="Arial"/>
          <w:b/>
          <w:bCs/>
          <w:smallCaps/>
        </w:rPr>
        <w:t>comercio internacional de servicios</w:t>
      </w:r>
      <w:r w:rsidR="004105CA" w:rsidRPr="009A5AD6">
        <w:rPr>
          <w:rFonts w:ascii="Arial" w:hAnsi="Arial" w:cs="Arial"/>
          <w:b/>
          <w:bCs/>
          <w:smallCaps/>
        </w:rPr>
        <w:t xml:space="preserve"> por gran sector, según tipo de servicio en 2021</w:t>
      </w:r>
    </w:p>
    <w:p w14:paraId="65DAEAAF" w14:textId="0F7B1FF4" w:rsidR="00437D70" w:rsidRPr="009A5AD6" w:rsidRDefault="00437D70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</w:t>
      </w:r>
      <w:r w:rsidR="00E7144B">
        <w:rPr>
          <w:rFonts w:ascii="Arial" w:hAnsi="Arial" w:cs="Arial"/>
          <w:sz w:val="18"/>
          <w:szCs w:val="24"/>
        </w:rPr>
        <w:t>p</w:t>
      </w:r>
      <w:r w:rsidRPr="009A5AD6">
        <w:rPr>
          <w:rFonts w:ascii="Arial" w:hAnsi="Arial" w:cs="Arial"/>
          <w:sz w:val="18"/>
          <w:szCs w:val="24"/>
        </w:rPr>
        <w:t>orcentaje)</w:t>
      </w:r>
    </w:p>
    <w:p w14:paraId="2F6052CF" w14:textId="22F32B90" w:rsidR="004105CA" w:rsidRPr="00572DB1" w:rsidRDefault="007D77D8" w:rsidP="002A0561">
      <w:pPr>
        <w:spacing w:after="60" w:line="240" w:lineRule="auto"/>
        <w:jc w:val="center"/>
        <w:rPr>
          <w:rFonts w:ascii="Arial" w:hAnsi="Arial" w:cs="Arial"/>
          <w:bCs/>
          <w:color w:val="404040" w:themeColor="text1" w:themeTint="BF"/>
          <w:sz w:val="16"/>
          <w:szCs w:val="16"/>
        </w:rPr>
      </w:pPr>
      <w:r w:rsidRPr="00572DB1">
        <w:rPr>
          <w:rFonts w:ascii="Arial" w:hAnsi="Arial" w:cs="Arial"/>
          <w:bCs/>
          <w:noProof/>
          <w:color w:val="404040" w:themeColor="text1" w:themeTint="BF"/>
          <w:sz w:val="16"/>
          <w:szCs w:val="16"/>
        </w:rPr>
        <w:drawing>
          <wp:inline distT="0" distB="0" distL="0" distR="0" wp14:anchorId="28BD8EFA" wp14:editId="0245C2D8">
            <wp:extent cx="4898485" cy="1598213"/>
            <wp:effectExtent l="0" t="0" r="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8"/>
                    <a:srcRect t="7461"/>
                    <a:stretch/>
                  </pic:blipFill>
                  <pic:spPr bwMode="auto">
                    <a:xfrm>
                      <a:off x="0" y="0"/>
                      <a:ext cx="5027740" cy="1640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81717C" w14:textId="62BB8E46" w:rsidR="00E7144B" w:rsidRDefault="004105CA" w:rsidP="00EE1199">
      <w:pPr>
        <w:pStyle w:val="NormalWeb"/>
        <w:spacing w:before="0" w:beforeAutospacing="0" w:after="0" w:afterAutospacing="0"/>
        <w:ind w:left="1134" w:right="1557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hAnsi="Arial" w:cs="Arial"/>
          <w:bCs/>
          <w:kern w:val="24"/>
          <w:sz w:val="16"/>
          <w:szCs w:val="16"/>
        </w:rPr>
        <w:t xml:space="preserve">Nota: </w:t>
      </w:r>
      <w:r w:rsidR="00E7144B">
        <w:rPr>
          <w:rFonts w:ascii="Arial" w:hAnsi="Arial" w:cs="Arial"/>
          <w:bCs/>
          <w:kern w:val="24"/>
          <w:sz w:val="16"/>
          <w:szCs w:val="16"/>
        </w:rPr>
        <w:t xml:space="preserve">    </w:t>
      </w:r>
      <w:r w:rsidR="00A360B6" w:rsidRPr="009A5AD6">
        <w:rPr>
          <w:rFonts w:ascii="Arial" w:hAnsi="Arial" w:cs="Arial"/>
          <w:bCs/>
          <w:sz w:val="16"/>
          <w:szCs w:val="16"/>
        </w:rPr>
        <w:t xml:space="preserve">Porcentajes obtenidos respecto del total de gastos a precios constantes </w:t>
      </w:r>
      <w:r w:rsidR="00E7144B" w:rsidRPr="00E7144B">
        <w:rPr>
          <w:rFonts w:ascii="Arial" w:hAnsi="Arial" w:cs="Arial"/>
          <w:bCs/>
          <w:smallCaps/>
          <w:sz w:val="16"/>
          <w:szCs w:val="16"/>
        </w:rPr>
        <w:t>inpp</w:t>
      </w:r>
      <w:r w:rsidR="00A360B6" w:rsidRPr="009A5AD6">
        <w:rPr>
          <w:rFonts w:ascii="Arial" w:hAnsi="Arial" w:cs="Arial"/>
          <w:bCs/>
          <w:sz w:val="16"/>
          <w:szCs w:val="16"/>
        </w:rPr>
        <w:t xml:space="preserve"> promedio anual </w:t>
      </w:r>
    </w:p>
    <w:p w14:paraId="7AC0972D" w14:textId="177A9276" w:rsidR="00693D81" w:rsidRPr="009A5AD6" w:rsidRDefault="00E7144B" w:rsidP="002A0561">
      <w:pPr>
        <w:pStyle w:val="NormalWeb"/>
        <w:spacing w:before="0" w:beforeAutospacing="0" w:after="0" w:afterAutospacing="0"/>
        <w:ind w:left="1134" w:right="155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A360B6" w:rsidRPr="009A5AD6">
        <w:rPr>
          <w:rFonts w:ascii="Arial" w:hAnsi="Arial" w:cs="Arial"/>
          <w:bCs/>
          <w:sz w:val="16"/>
          <w:szCs w:val="16"/>
        </w:rPr>
        <w:t>2021 por clase de actividad</w:t>
      </w:r>
      <w:r w:rsidR="00693D81" w:rsidRPr="009A5AD6">
        <w:rPr>
          <w:rFonts w:ascii="Arial" w:hAnsi="Arial" w:cs="Arial"/>
          <w:bCs/>
          <w:sz w:val="16"/>
          <w:szCs w:val="16"/>
        </w:rPr>
        <w:t xml:space="preserve"> </w:t>
      </w:r>
      <w:r w:rsidR="00A360B6" w:rsidRPr="009A5AD6">
        <w:rPr>
          <w:rFonts w:ascii="Arial" w:hAnsi="Arial" w:cs="Arial"/>
          <w:bCs/>
          <w:sz w:val="16"/>
          <w:szCs w:val="16"/>
        </w:rPr>
        <w:t xml:space="preserve">económica por </w:t>
      </w:r>
      <w:r w:rsidR="00693D81" w:rsidRPr="009A5AD6">
        <w:rPr>
          <w:rFonts w:ascii="Arial" w:hAnsi="Arial" w:cs="Arial"/>
          <w:bCs/>
          <w:sz w:val="16"/>
          <w:szCs w:val="16"/>
        </w:rPr>
        <w:t>gran sector.</w:t>
      </w:r>
    </w:p>
    <w:p w14:paraId="6072DAEA" w14:textId="13CAF81C" w:rsidR="004105CA" w:rsidRDefault="00E7144B" w:rsidP="00EE1199">
      <w:pPr>
        <w:pStyle w:val="NormalWeb"/>
        <w:spacing w:before="0" w:beforeAutospacing="0" w:after="0" w:afterAutospacing="0"/>
        <w:ind w:left="1134" w:right="1557"/>
        <w:jc w:val="both"/>
        <w:rPr>
          <w:rFonts w:ascii="Arial" w:hAnsi="Arial" w:cs="Arial"/>
          <w:bCs/>
          <w:kern w:val="24"/>
          <w:sz w:val="16"/>
          <w:szCs w:val="16"/>
        </w:rPr>
      </w:pPr>
      <w:r>
        <w:rPr>
          <w:rFonts w:ascii="Arial" w:hAnsi="Arial" w:cs="Arial"/>
          <w:bCs/>
          <w:kern w:val="24"/>
          <w:sz w:val="16"/>
          <w:szCs w:val="16"/>
        </w:rPr>
        <w:t xml:space="preserve">             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La suma de los porcentajes puede no corresponder a</w:t>
      </w:r>
      <w:r w:rsidR="007A49BD">
        <w:rPr>
          <w:rFonts w:ascii="Arial" w:hAnsi="Arial" w:cs="Arial"/>
          <w:bCs/>
          <w:kern w:val="24"/>
          <w:sz w:val="16"/>
          <w:szCs w:val="16"/>
        </w:rPr>
        <w:t>l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 100.0 % debido al redondeo.</w:t>
      </w:r>
    </w:p>
    <w:p w14:paraId="507AFE1E" w14:textId="77777777" w:rsidR="00E7144B" w:rsidRPr="00B364EE" w:rsidRDefault="00E7144B" w:rsidP="00EE1199">
      <w:pPr>
        <w:spacing w:after="0" w:line="240" w:lineRule="auto"/>
        <w:ind w:left="1701" w:right="1699" w:hanging="567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inegi. ecis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, 2022.</w:t>
      </w:r>
    </w:p>
    <w:p w14:paraId="41E9D4DA" w14:textId="77777777" w:rsidR="00EB5952" w:rsidRDefault="00EB5952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254343" w14:textId="7CA3699C" w:rsidR="001D71C9" w:rsidRDefault="004105CA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AD6">
        <w:rPr>
          <w:rFonts w:ascii="Arial" w:hAnsi="Arial" w:cs="Arial"/>
          <w:sz w:val="24"/>
          <w:szCs w:val="24"/>
        </w:rPr>
        <w:t>De los 791</w:t>
      </w:r>
      <w:r w:rsidR="00EE1199">
        <w:rPr>
          <w:rFonts w:ascii="Arial" w:hAnsi="Arial" w:cs="Arial"/>
          <w:sz w:val="24"/>
          <w:szCs w:val="24"/>
        </w:rPr>
        <w:t xml:space="preserve"> </w:t>
      </w:r>
      <w:r w:rsidRPr="009A5AD6">
        <w:rPr>
          <w:rFonts w:ascii="Arial" w:hAnsi="Arial" w:cs="Arial"/>
          <w:sz w:val="24"/>
          <w:szCs w:val="24"/>
        </w:rPr>
        <w:t xml:space="preserve">541.8 </w:t>
      </w:r>
      <w:r w:rsidRPr="002A0561">
        <w:rPr>
          <w:rFonts w:ascii="Arial" w:hAnsi="Arial" w:cs="Arial"/>
          <w:smallCaps/>
          <w:sz w:val="24"/>
          <w:szCs w:val="24"/>
        </w:rPr>
        <w:t>mdp</w:t>
      </w:r>
      <w:r w:rsidRPr="009A5AD6">
        <w:rPr>
          <w:rFonts w:ascii="Arial" w:hAnsi="Arial" w:cs="Arial"/>
          <w:sz w:val="24"/>
          <w:szCs w:val="24"/>
        </w:rPr>
        <w:t xml:space="preserve"> reportados en 2021 por ingresos </w:t>
      </w:r>
      <w:r w:rsidR="004A720D" w:rsidRPr="009A5AD6">
        <w:rPr>
          <w:rFonts w:ascii="Arial" w:hAnsi="Arial" w:cs="Arial"/>
          <w:sz w:val="24"/>
          <w:szCs w:val="24"/>
        </w:rPr>
        <w:t xml:space="preserve">a precios constantes </w:t>
      </w:r>
      <w:r w:rsidRPr="009A5AD6">
        <w:rPr>
          <w:rFonts w:ascii="Arial" w:hAnsi="Arial" w:cs="Arial"/>
          <w:sz w:val="24"/>
          <w:szCs w:val="24"/>
        </w:rPr>
        <w:t xml:space="preserve">sobre </w:t>
      </w:r>
      <w:r w:rsidR="00EE1199" w:rsidRPr="00EE1199">
        <w:rPr>
          <w:rFonts w:ascii="Arial" w:hAnsi="Arial" w:cs="Arial"/>
          <w:smallCaps/>
          <w:sz w:val="24"/>
          <w:szCs w:val="24"/>
        </w:rPr>
        <w:t>cis</w:t>
      </w:r>
      <w:r w:rsidRPr="009A5AD6">
        <w:rPr>
          <w:rFonts w:ascii="Arial" w:hAnsi="Arial" w:cs="Arial"/>
          <w:sz w:val="24"/>
          <w:szCs w:val="24"/>
        </w:rPr>
        <w:t xml:space="preserve"> y los 826</w:t>
      </w:r>
      <w:r w:rsidR="00EE1199">
        <w:rPr>
          <w:rFonts w:ascii="Arial" w:hAnsi="Arial" w:cs="Arial"/>
          <w:sz w:val="24"/>
          <w:szCs w:val="24"/>
        </w:rPr>
        <w:t xml:space="preserve"> </w:t>
      </w:r>
      <w:r w:rsidRPr="009A5AD6">
        <w:rPr>
          <w:rFonts w:ascii="Arial" w:hAnsi="Arial" w:cs="Arial"/>
          <w:sz w:val="24"/>
          <w:szCs w:val="24"/>
        </w:rPr>
        <w:t xml:space="preserve">489.5 </w:t>
      </w:r>
      <w:r w:rsidRPr="002A0561">
        <w:rPr>
          <w:rFonts w:ascii="Arial" w:hAnsi="Arial" w:cs="Arial"/>
          <w:smallCaps/>
          <w:sz w:val="24"/>
          <w:szCs w:val="24"/>
        </w:rPr>
        <w:t>mdp</w:t>
      </w:r>
      <w:r w:rsidRPr="009A5AD6">
        <w:rPr>
          <w:rFonts w:ascii="Arial" w:hAnsi="Arial" w:cs="Arial"/>
          <w:sz w:val="24"/>
          <w:szCs w:val="24"/>
        </w:rPr>
        <w:t xml:space="preserve"> reportados en 2020 por suministro de servicios, en ambos años, la mayor parte se obtuvo por medio del </w:t>
      </w:r>
      <w:r w:rsidR="00663F9D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traslado de mercancía</w:t>
      </w:r>
      <w:r w:rsidR="00663F9D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>, con 81.2 % en 2021 y 81.1 % en 2020</w:t>
      </w:r>
      <w:r w:rsidR="00EE1199">
        <w:rPr>
          <w:rFonts w:ascii="Arial" w:hAnsi="Arial" w:cs="Arial"/>
          <w:sz w:val="24"/>
          <w:szCs w:val="24"/>
        </w:rPr>
        <w:t>. Siguieron</w:t>
      </w:r>
      <w:r w:rsidRPr="009A5AD6">
        <w:rPr>
          <w:rFonts w:ascii="Arial" w:hAnsi="Arial" w:cs="Arial"/>
          <w:sz w:val="24"/>
          <w:szCs w:val="24"/>
        </w:rPr>
        <w:t xml:space="preserve"> el </w:t>
      </w:r>
      <w:r w:rsidR="00663F9D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suministro transfronterizo</w:t>
      </w:r>
      <w:r w:rsidR="00023D95" w:rsidRPr="009A5AD6">
        <w:rPr>
          <w:rFonts w:ascii="Arial" w:hAnsi="Arial" w:cs="Arial"/>
          <w:sz w:val="24"/>
          <w:szCs w:val="24"/>
        </w:rPr>
        <w:t>/</w:t>
      </w:r>
      <w:r w:rsidRPr="009A5AD6">
        <w:rPr>
          <w:rFonts w:ascii="Arial" w:hAnsi="Arial" w:cs="Arial"/>
          <w:sz w:val="24"/>
          <w:szCs w:val="24"/>
        </w:rPr>
        <w:t xml:space="preserve"> medios digitales</w:t>
      </w:r>
      <w:r w:rsidR="00663F9D">
        <w:rPr>
          <w:rFonts w:ascii="Arial" w:hAnsi="Arial" w:cs="Arial"/>
          <w:sz w:val="24"/>
          <w:szCs w:val="24"/>
        </w:rPr>
        <w:t>»</w:t>
      </w:r>
      <w:r w:rsidR="00EE1199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con 17.9 % en 2021 y 17.6 % en 2020. Finalmente, el modo de suministro con menor impacto en las exportaciones </w:t>
      </w:r>
      <w:r w:rsidR="009E23FF" w:rsidRPr="009A5AD6">
        <w:rPr>
          <w:rFonts w:ascii="Arial" w:hAnsi="Arial" w:cs="Arial"/>
          <w:sz w:val="24"/>
          <w:szCs w:val="24"/>
        </w:rPr>
        <w:t>de</w:t>
      </w:r>
      <w:r w:rsidR="00EE1199" w:rsidRPr="00EE1199">
        <w:rPr>
          <w:rFonts w:ascii="Arial" w:hAnsi="Arial" w:cs="Arial"/>
          <w:smallCaps/>
          <w:sz w:val="24"/>
          <w:szCs w:val="24"/>
        </w:rPr>
        <w:t xml:space="preserve"> cis</w:t>
      </w:r>
      <w:r w:rsidR="00EE1199">
        <w:rPr>
          <w:rFonts w:ascii="Arial" w:hAnsi="Arial" w:cs="Arial"/>
          <w:sz w:val="24"/>
          <w:szCs w:val="24"/>
        </w:rPr>
        <w:t xml:space="preserve"> fue</w:t>
      </w:r>
      <w:r w:rsidRPr="009A5AD6">
        <w:rPr>
          <w:rFonts w:ascii="Arial" w:hAnsi="Arial" w:cs="Arial"/>
          <w:sz w:val="24"/>
          <w:szCs w:val="24"/>
        </w:rPr>
        <w:t xml:space="preserve"> el </w:t>
      </w:r>
      <w:r w:rsidR="00663F9D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envío o recepción de personal</w:t>
      </w:r>
      <w:r w:rsidR="00663F9D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con 1.0 % en 2021 y 1.2 % en 2020</w:t>
      </w:r>
      <w:r w:rsidR="00EE1199">
        <w:rPr>
          <w:rFonts w:ascii="Arial" w:hAnsi="Arial" w:cs="Arial"/>
          <w:sz w:val="24"/>
          <w:szCs w:val="24"/>
        </w:rPr>
        <w:t xml:space="preserve">, lo que se puede ver en la </w:t>
      </w:r>
      <w:r w:rsidR="001D71C9">
        <w:rPr>
          <w:rFonts w:ascii="Arial" w:hAnsi="Arial" w:cs="Arial"/>
          <w:sz w:val="24"/>
          <w:szCs w:val="24"/>
        </w:rPr>
        <w:t>gráfica 16.</w:t>
      </w:r>
    </w:p>
    <w:p w14:paraId="0C9F1CBA" w14:textId="77777777" w:rsidR="006B6DCE" w:rsidRDefault="006B6DCE" w:rsidP="002A0561">
      <w:pPr>
        <w:spacing w:after="0" w:line="240" w:lineRule="auto"/>
        <w:jc w:val="both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0000FF2F" w14:textId="4F47B2B1" w:rsidR="00584831" w:rsidRPr="009A5AD6" w:rsidRDefault="004105CA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9A5AD6">
        <w:rPr>
          <w:rFonts w:ascii="Arial" w:hAnsi="Arial" w:cs="Arial"/>
          <w:bCs/>
          <w:sz w:val="20"/>
          <w:szCs w:val="20"/>
        </w:rPr>
        <w:t>Gráfica 16</w:t>
      </w:r>
    </w:p>
    <w:p w14:paraId="5330D2C1" w14:textId="3224097A" w:rsidR="00EE1199" w:rsidRDefault="00EC2B5E" w:rsidP="00EE1199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Participación de los i</w:t>
      </w:r>
      <w:r w:rsidR="004105CA" w:rsidRPr="009A5AD6">
        <w:rPr>
          <w:rFonts w:ascii="Arial" w:hAnsi="Arial" w:cs="Arial"/>
          <w:b/>
          <w:bCs/>
          <w:smallCaps/>
        </w:rPr>
        <w:t xml:space="preserve">ngresos por suministros de servicios del exterior, según modo </w:t>
      </w:r>
    </w:p>
    <w:p w14:paraId="0F3BC5EC" w14:textId="3235C0C3" w:rsidR="004105CA" w:rsidRPr="009A5AD6" w:rsidRDefault="004105CA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9A5AD6">
        <w:rPr>
          <w:rFonts w:ascii="Arial" w:hAnsi="Arial" w:cs="Arial"/>
          <w:b/>
          <w:bCs/>
          <w:smallCaps/>
        </w:rPr>
        <w:t>de suministro en 2020 y 2021</w:t>
      </w:r>
    </w:p>
    <w:p w14:paraId="2967AC72" w14:textId="6E6BF42F" w:rsidR="00357153" w:rsidRPr="009A5AD6" w:rsidRDefault="00437D70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</w:t>
      </w:r>
      <w:r w:rsidR="00EE1199">
        <w:rPr>
          <w:rFonts w:ascii="Arial" w:hAnsi="Arial" w:cs="Arial"/>
          <w:sz w:val="18"/>
          <w:szCs w:val="24"/>
        </w:rPr>
        <w:t>p</w:t>
      </w:r>
      <w:r w:rsidRPr="009A5AD6">
        <w:rPr>
          <w:rFonts w:ascii="Arial" w:hAnsi="Arial" w:cs="Arial"/>
          <w:sz w:val="18"/>
          <w:szCs w:val="24"/>
        </w:rPr>
        <w:t>orcentaje)</w:t>
      </w:r>
    </w:p>
    <w:p w14:paraId="0324B16D" w14:textId="6944A8B9" w:rsidR="004105CA" w:rsidRPr="00572DB1" w:rsidRDefault="00A524C2" w:rsidP="00D73FB7">
      <w:pPr>
        <w:spacing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0A09BF2A" wp14:editId="31E3375A">
            <wp:extent cx="4766751" cy="2246400"/>
            <wp:effectExtent l="0" t="0" r="0" b="1905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766751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2949" w14:textId="412CB292" w:rsidR="00EE1199" w:rsidRDefault="004105CA" w:rsidP="00EE1199">
      <w:pPr>
        <w:pStyle w:val="NormalWeb"/>
        <w:spacing w:before="0" w:beforeAutospacing="0" w:after="0" w:afterAutospacing="0"/>
        <w:ind w:left="1418" w:right="1416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hAnsi="Arial" w:cs="Arial"/>
          <w:bCs/>
          <w:kern w:val="24"/>
          <w:sz w:val="16"/>
          <w:szCs w:val="16"/>
        </w:rPr>
        <w:t xml:space="preserve">Nota: </w:t>
      </w:r>
      <w:r w:rsidR="00EE1199">
        <w:rPr>
          <w:rFonts w:ascii="Arial" w:hAnsi="Arial" w:cs="Arial"/>
          <w:bCs/>
          <w:kern w:val="24"/>
          <w:sz w:val="16"/>
          <w:szCs w:val="16"/>
        </w:rPr>
        <w:t xml:space="preserve">   </w:t>
      </w:r>
      <w:r w:rsidR="00AF4406" w:rsidRPr="009A5AD6">
        <w:rPr>
          <w:rFonts w:ascii="Arial" w:hAnsi="Arial" w:cs="Arial"/>
          <w:bCs/>
          <w:sz w:val="16"/>
          <w:szCs w:val="16"/>
        </w:rPr>
        <w:t xml:space="preserve">Porcentajes obtenidos respecto del total de ingresos a precios constantes </w:t>
      </w:r>
      <w:r w:rsidR="00EE1199" w:rsidRPr="00EE1199">
        <w:rPr>
          <w:rFonts w:ascii="Arial" w:hAnsi="Arial" w:cs="Arial"/>
          <w:bCs/>
          <w:smallCaps/>
          <w:sz w:val="16"/>
          <w:szCs w:val="16"/>
        </w:rPr>
        <w:t>inpp</w:t>
      </w:r>
      <w:r w:rsidR="00AF4406" w:rsidRPr="009A5AD6">
        <w:rPr>
          <w:rFonts w:ascii="Arial" w:hAnsi="Arial" w:cs="Arial"/>
          <w:bCs/>
          <w:sz w:val="16"/>
          <w:szCs w:val="16"/>
        </w:rPr>
        <w:t xml:space="preserve"> promedio </w:t>
      </w:r>
    </w:p>
    <w:p w14:paraId="63741D53" w14:textId="5878508A" w:rsidR="00224DD2" w:rsidRPr="009A5AD6" w:rsidRDefault="00EE1199" w:rsidP="002A0561">
      <w:pPr>
        <w:pStyle w:val="NormalWeb"/>
        <w:spacing w:before="0" w:beforeAutospacing="0" w:after="0" w:afterAutospacing="0"/>
        <w:ind w:left="1418" w:right="141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AF4406" w:rsidRPr="009A5AD6">
        <w:rPr>
          <w:rFonts w:ascii="Arial" w:hAnsi="Arial" w:cs="Arial"/>
          <w:bCs/>
          <w:sz w:val="16"/>
          <w:szCs w:val="16"/>
        </w:rPr>
        <w:t>anual 2021 por clase de actividad</w:t>
      </w:r>
      <w:r w:rsidR="00224DD2" w:rsidRPr="009A5AD6">
        <w:rPr>
          <w:rFonts w:ascii="Arial" w:hAnsi="Arial" w:cs="Arial"/>
          <w:bCs/>
          <w:sz w:val="16"/>
          <w:szCs w:val="16"/>
        </w:rPr>
        <w:t xml:space="preserve"> </w:t>
      </w:r>
      <w:r w:rsidR="00AF4406" w:rsidRPr="009A5AD6">
        <w:rPr>
          <w:rFonts w:ascii="Arial" w:hAnsi="Arial" w:cs="Arial"/>
          <w:bCs/>
          <w:sz w:val="16"/>
          <w:szCs w:val="16"/>
        </w:rPr>
        <w:t>económica.</w:t>
      </w:r>
    </w:p>
    <w:p w14:paraId="5F79BF14" w14:textId="2B8C4FDC" w:rsidR="004105CA" w:rsidRPr="009A5AD6" w:rsidRDefault="00224DD2" w:rsidP="002A0561">
      <w:pPr>
        <w:pStyle w:val="NormalWeb"/>
        <w:spacing w:before="0" w:beforeAutospacing="0" w:after="0" w:afterAutospacing="0"/>
        <w:ind w:left="1418" w:right="1416"/>
        <w:jc w:val="both"/>
        <w:rPr>
          <w:rFonts w:ascii="Arial" w:hAnsi="Arial" w:cs="Arial"/>
          <w:bCs/>
          <w:sz w:val="16"/>
          <w:szCs w:val="16"/>
        </w:rPr>
      </w:pPr>
      <w:r w:rsidRPr="009A5AD6">
        <w:rPr>
          <w:rFonts w:ascii="Arial" w:hAnsi="Arial" w:cs="Arial"/>
          <w:bCs/>
          <w:kern w:val="24"/>
          <w:sz w:val="16"/>
          <w:szCs w:val="16"/>
        </w:rPr>
        <w:t xml:space="preserve">          </w:t>
      </w:r>
      <w:r w:rsidR="00EE1199">
        <w:rPr>
          <w:rFonts w:ascii="Arial" w:hAnsi="Arial" w:cs="Arial"/>
          <w:bCs/>
          <w:kern w:val="24"/>
          <w:sz w:val="16"/>
          <w:szCs w:val="16"/>
        </w:rPr>
        <w:t xml:space="preserve">   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La suma de los porcentajes puede no corresponder a</w:t>
      </w:r>
      <w:r w:rsidR="007A49BD">
        <w:rPr>
          <w:rFonts w:ascii="Arial" w:hAnsi="Arial" w:cs="Arial"/>
          <w:bCs/>
          <w:kern w:val="24"/>
          <w:sz w:val="16"/>
          <w:szCs w:val="16"/>
        </w:rPr>
        <w:t>l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 100.0 % debido al redondeo.</w:t>
      </w:r>
    </w:p>
    <w:p w14:paraId="08D13817" w14:textId="118E6DCC" w:rsidR="00EE1199" w:rsidRPr="00B364EE" w:rsidRDefault="00EE1199" w:rsidP="002A0561">
      <w:pPr>
        <w:spacing w:after="0" w:line="240" w:lineRule="auto"/>
        <w:ind w:left="1701" w:right="1699" w:hanging="283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C438E7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5CA446D1" w14:textId="77777777" w:rsidR="004105CA" w:rsidRPr="009A5AD6" w:rsidRDefault="004105CA" w:rsidP="00D73F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3667735" w14:textId="77777777" w:rsidR="00073DC5" w:rsidRDefault="00073DC5" w:rsidP="00D73F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C60FDA7" w14:textId="571A428F" w:rsidR="00167EB0" w:rsidRDefault="004105CA" w:rsidP="00D73F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A5AD6">
        <w:rPr>
          <w:rFonts w:ascii="Arial" w:hAnsi="Arial" w:cs="Arial"/>
          <w:sz w:val="24"/>
          <w:szCs w:val="24"/>
        </w:rPr>
        <w:t xml:space="preserve">Los ingresos totales </w:t>
      </w:r>
      <w:r w:rsidR="004A720D" w:rsidRPr="009A5AD6">
        <w:rPr>
          <w:rFonts w:ascii="Arial" w:hAnsi="Arial" w:cs="Arial"/>
          <w:sz w:val="24"/>
          <w:szCs w:val="24"/>
        </w:rPr>
        <w:t xml:space="preserve">a precios constantes </w:t>
      </w:r>
      <w:r w:rsidRPr="009A5AD6">
        <w:rPr>
          <w:rFonts w:ascii="Arial" w:hAnsi="Arial" w:cs="Arial"/>
          <w:sz w:val="24"/>
          <w:szCs w:val="24"/>
        </w:rPr>
        <w:t xml:space="preserve">reportados por las empresas </w:t>
      </w:r>
      <w:r w:rsidR="00EE1199">
        <w:rPr>
          <w:rFonts w:ascii="Arial" w:hAnsi="Arial" w:cs="Arial"/>
          <w:sz w:val="24"/>
          <w:szCs w:val="24"/>
        </w:rPr>
        <w:t>en</w:t>
      </w:r>
      <w:r w:rsidRPr="009A5AD6">
        <w:rPr>
          <w:rFonts w:ascii="Arial" w:hAnsi="Arial" w:cs="Arial"/>
          <w:sz w:val="24"/>
          <w:szCs w:val="24"/>
        </w:rPr>
        <w:t xml:space="preserve"> 2021</w:t>
      </w:r>
      <w:r w:rsidR="00EE1199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</w:t>
      </w:r>
      <w:r w:rsidR="004A720D" w:rsidRPr="009A5AD6">
        <w:rPr>
          <w:rFonts w:ascii="Arial" w:hAnsi="Arial" w:cs="Arial"/>
          <w:sz w:val="24"/>
          <w:szCs w:val="24"/>
        </w:rPr>
        <w:t>según el modo de suministro</w:t>
      </w:r>
      <w:r w:rsidR="00EE1199">
        <w:rPr>
          <w:rFonts w:ascii="Arial" w:hAnsi="Arial" w:cs="Arial"/>
          <w:sz w:val="24"/>
          <w:szCs w:val="24"/>
        </w:rPr>
        <w:t>,</w:t>
      </w:r>
      <w:r w:rsidR="004A720D" w:rsidRPr="009A5AD6">
        <w:rPr>
          <w:rFonts w:ascii="Arial" w:hAnsi="Arial" w:cs="Arial"/>
          <w:sz w:val="24"/>
          <w:szCs w:val="24"/>
        </w:rPr>
        <w:t xml:space="preserve"> </w:t>
      </w:r>
      <w:r w:rsidRPr="009A5AD6">
        <w:rPr>
          <w:rFonts w:ascii="Arial" w:hAnsi="Arial" w:cs="Arial"/>
          <w:sz w:val="24"/>
          <w:szCs w:val="24"/>
        </w:rPr>
        <w:t xml:space="preserve">se </w:t>
      </w:r>
      <w:r w:rsidR="004A720D" w:rsidRPr="009A5AD6">
        <w:rPr>
          <w:rFonts w:ascii="Arial" w:hAnsi="Arial" w:cs="Arial"/>
          <w:sz w:val="24"/>
          <w:szCs w:val="24"/>
        </w:rPr>
        <w:t>comportaron</w:t>
      </w:r>
      <w:r w:rsidRPr="009A5AD6">
        <w:rPr>
          <w:rFonts w:ascii="Arial" w:hAnsi="Arial" w:cs="Arial"/>
          <w:sz w:val="24"/>
          <w:szCs w:val="24"/>
        </w:rPr>
        <w:t xml:space="preserve"> de la siguiente manera:</w:t>
      </w:r>
      <w:r w:rsidR="001F611D">
        <w:rPr>
          <w:rFonts w:ascii="Arial" w:hAnsi="Arial" w:cs="Arial"/>
          <w:sz w:val="24"/>
          <w:szCs w:val="24"/>
        </w:rPr>
        <w:t xml:space="preserve"> </w:t>
      </w:r>
      <w:r w:rsidR="00D40904">
        <w:rPr>
          <w:rFonts w:ascii="Arial" w:hAnsi="Arial" w:cs="Arial"/>
          <w:sz w:val="24"/>
          <w:szCs w:val="24"/>
        </w:rPr>
        <w:t>d</w:t>
      </w:r>
      <w:r w:rsidRPr="009A5AD6">
        <w:rPr>
          <w:rFonts w:ascii="Arial" w:hAnsi="Arial" w:cs="Arial"/>
          <w:sz w:val="24"/>
          <w:szCs w:val="24"/>
        </w:rPr>
        <w:t xml:space="preserve">el monto correspondiente a </w:t>
      </w:r>
      <w:r w:rsidR="00830669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de mantenimiento y reparación</w:t>
      </w:r>
      <w:r w:rsidR="00830669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, 78.4 % se </w:t>
      </w:r>
      <w:r w:rsidR="00880070" w:rsidRPr="009A5AD6">
        <w:rPr>
          <w:rFonts w:ascii="Arial" w:hAnsi="Arial" w:cs="Arial"/>
          <w:sz w:val="24"/>
          <w:szCs w:val="24"/>
        </w:rPr>
        <w:t>efectuó</w:t>
      </w:r>
      <w:r w:rsidRPr="009A5AD6">
        <w:rPr>
          <w:rFonts w:ascii="Arial" w:hAnsi="Arial" w:cs="Arial"/>
          <w:sz w:val="24"/>
          <w:szCs w:val="24"/>
        </w:rPr>
        <w:t xml:space="preserve"> mediante </w:t>
      </w:r>
      <w:r w:rsidR="00830669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traslado de mercancía</w:t>
      </w:r>
      <w:r w:rsidR="00830669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y 21.6 % a través del </w:t>
      </w:r>
      <w:r w:rsidR="00830669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envío o recepción de personal</w:t>
      </w:r>
      <w:r w:rsidR="00830669">
        <w:rPr>
          <w:rFonts w:ascii="Arial" w:hAnsi="Arial" w:cs="Arial"/>
          <w:sz w:val="24"/>
          <w:szCs w:val="24"/>
        </w:rPr>
        <w:t>»</w:t>
      </w:r>
      <w:r w:rsidR="00D40904">
        <w:rPr>
          <w:rFonts w:ascii="Arial" w:hAnsi="Arial" w:cs="Arial"/>
          <w:sz w:val="24"/>
          <w:szCs w:val="24"/>
        </w:rPr>
        <w:t>. Pa</w:t>
      </w:r>
      <w:r w:rsidRPr="009A5AD6">
        <w:rPr>
          <w:rFonts w:ascii="Arial" w:hAnsi="Arial" w:cs="Arial"/>
          <w:sz w:val="24"/>
          <w:szCs w:val="24"/>
        </w:rPr>
        <w:t xml:space="preserve">ra los </w:t>
      </w:r>
      <w:r w:rsidR="00830669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de telecomunicaciones, informática e información</w:t>
      </w:r>
      <w:r w:rsidR="00830669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, 85.2 % se </w:t>
      </w:r>
      <w:r w:rsidR="00880070" w:rsidRPr="009A5AD6">
        <w:rPr>
          <w:rFonts w:ascii="Arial" w:hAnsi="Arial" w:cs="Arial"/>
          <w:sz w:val="24"/>
          <w:szCs w:val="24"/>
        </w:rPr>
        <w:t>llevó</w:t>
      </w:r>
      <w:r w:rsidRPr="009A5AD6">
        <w:rPr>
          <w:rFonts w:ascii="Arial" w:hAnsi="Arial" w:cs="Arial"/>
          <w:sz w:val="24"/>
          <w:szCs w:val="24"/>
        </w:rPr>
        <w:t xml:space="preserve"> a cabo por el modo </w:t>
      </w:r>
      <w:r w:rsidR="00830669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transfronterizo/ medios digitales</w:t>
      </w:r>
      <w:r w:rsidR="00830669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y 14.8 %</w:t>
      </w:r>
      <w:r w:rsidR="00BB0886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por </w:t>
      </w:r>
      <w:r w:rsidR="00830669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envío o recepción de personal</w:t>
      </w:r>
      <w:r w:rsidR="00830669">
        <w:rPr>
          <w:rFonts w:ascii="Arial" w:hAnsi="Arial" w:cs="Arial"/>
          <w:sz w:val="24"/>
          <w:szCs w:val="24"/>
        </w:rPr>
        <w:t>»</w:t>
      </w:r>
      <w:r w:rsidR="00BB0886">
        <w:rPr>
          <w:rFonts w:ascii="Arial" w:hAnsi="Arial" w:cs="Arial"/>
          <w:sz w:val="24"/>
          <w:szCs w:val="24"/>
        </w:rPr>
        <w:t>. De</w:t>
      </w:r>
      <w:r w:rsidRPr="009A5AD6">
        <w:rPr>
          <w:rFonts w:ascii="Arial" w:hAnsi="Arial" w:cs="Arial"/>
          <w:sz w:val="24"/>
          <w:szCs w:val="24"/>
        </w:rPr>
        <w:t xml:space="preserve"> los ingresos por </w:t>
      </w:r>
      <w:r w:rsidR="00830669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otros servicios empresariales</w:t>
      </w:r>
      <w:r w:rsidR="00830669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, 92.0 % se </w:t>
      </w:r>
      <w:r w:rsidR="00880070" w:rsidRPr="009A5AD6">
        <w:rPr>
          <w:rFonts w:ascii="Arial" w:hAnsi="Arial" w:cs="Arial"/>
          <w:sz w:val="24"/>
          <w:szCs w:val="24"/>
        </w:rPr>
        <w:t>llevó</w:t>
      </w:r>
      <w:r w:rsidRPr="009A5AD6">
        <w:rPr>
          <w:rFonts w:ascii="Arial" w:hAnsi="Arial" w:cs="Arial"/>
          <w:sz w:val="24"/>
          <w:szCs w:val="24"/>
        </w:rPr>
        <w:t xml:space="preserve"> a cabo por el modo </w:t>
      </w:r>
      <w:r w:rsidR="00830669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transfronterizo/ medios digitales</w:t>
      </w:r>
      <w:r w:rsidR="00830669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y 8.0 %</w:t>
      </w:r>
      <w:r w:rsidR="00BB0886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por </w:t>
      </w:r>
      <w:r w:rsidR="00830669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envío o recepción de personal</w:t>
      </w:r>
      <w:r w:rsidR="00830669">
        <w:rPr>
          <w:rFonts w:ascii="Arial" w:hAnsi="Arial" w:cs="Arial"/>
          <w:sz w:val="24"/>
          <w:szCs w:val="24"/>
        </w:rPr>
        <w:t>»</w:t>
      </w:r>
      <w:r w:rsidR="00BB0886">
        <w:rPr>
          <w:rFonts w:ascii="Arial" w:hAnsi="Arial" w:cs="Arial"/>
          <w:sz w:val="24"/>
          <w:szCs w:val="24"/>
        </w:rPr>
        <w:t xml:space="preserve">. Como los dos anteriores, </w:t>
      </w:r>
      <w:r w:rsidRPr="009A5AD6">
        <w:rPr>
          <w:rFonts w:ascii="Arial" w:hAnsi="Arial" w:cs="Arial"/>
          <w:sz w:val="24"/>
          <w:szCs w:val="24"/>
        </w:rPr>
        <w:t xml:space="preserve">los </w:t>
      </w:r>
      <w:r w:rsidR="00830669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servicios personales, culturales y recreativos</w:t>
      </w:r>
      <w:r w:rsidR="00830669">
        <w:rPr>
          <w:rFonts w:ascii="Arial" w:hAnsi="Arial" w:cs="Arial"/>
          <w:sz w:val="24"/>
          <w:szCs w:val="24"/>
        </w:rPr>
        <w:t>»</w:t>
      </w:r>
      <w:r w:rsidRPr="009A5AD6">
        <w:rPr>
          <w:rFonts w:ascii="Arial" w:hAnsi="Arial" w:cs="Arial"/>
          <w:sz w:val="24"/>
          <w:szCs w:val="24"/>
        </w:rPr>
        <w:t xml:space="preserve"> se realizaron</w:t>
      </w:r>
      <w:r w:rsidR="00BB0886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en su mayoría</w:t>
      </w:r>
      <w:r w:rsidR="00BB0886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por el modo de suministro </w:t>
      </w:r>
      <w:r w:rsidR="00830669">
        <w:rPr>
          <w:rFonts w:ascii="Arial" w:hAnsi="Arial" w:cs="Arial"/>
          <w:sz w:val="24"/>
          <w:szCs w:val="24"/>
        </w:rPr>
        <w:t>«</w:t>
      </w:r>
      <w:r w:rsidRPr="009A5AD6">
        <w:rPr>
          <w:rFonts w:ascii="Arial" w:hAnsi="Arial" w:cs="Arial"/>
          <w:sz w:val="24"/>
          <w:szCs w:val="24"/>
        </w:rPr>
        <w:t>transfronterizo/ medios digitales</w:t>
      </w:r>
      <w:r w:rsidR="00830669">
        <w:rPr>
          <w:rFonts w:ascii="Arial" w:hAnsi="Arial" w:cs="Arial"/>
          <w:sz w:val="24"/>
          <w:szCs w:val="24"/>
        </w:rPr>
        <w:t>»</w:t>
      </w:r>
      <w:r w:rsidR="00BB0886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con 74.6 y 25.4 %</w:t>
      </w:r>
      <w:r w:rsidR="00BB0886">
        <w:rPr>
          <w:rFonts w:ascii="Arial" w:hAnsi="Arial" w:cs="Arial"/>
          <w:sz w:val="24"/>
          <w:szCs w:val="24"/>
        </w:rPr>
        <w:t>,</w:t>
      </w:r>
      <w:r w:rsidRPr="009A5AD6">
        <w:rPr>
          <w:rFonts w:ascii="Arial" w:hAnsi="Arial" w:cs="Arial"/>
          <w:sz w:val="24"/>
          <w:szCs w:val="24"/>
        </w:rPr>
        <w:t xml:space="preserve"> </w:t>
      </w:r>
      <w:r w:rsidR="00BB0886">
        <w:rPr>
          <w:rFonts w:ascii="Arial" w:hAnsi="Arial" w:cs="Arial"/>
          <w:sz w:val="24"/>
          <w:szCs w:val="24"/>
        </w:rPr>
        <w:t>mediante e</w:t>
      </w:r>
      <w:r w:rsidRPr="009A5AD6">
        <w:rPr>
          <w:rFonts w:ascii="Arial" w:hAnsi="Arial" w:cs="Arial"/>
          <w:sz w:val="24"/>
          <w:szCs w:val="24"/>
        </w:rPr>
        <w:t>l envío o recepción de personal</w:t>
      </w:r>
      <w:r w:rsidR="00EE1199">
        <w:rPr>
          <w:rFonts w:ascii="Arial" w:hAnsi="Arial" w:cs="Arial"/>
          <w:sz w:val="24"/>
          <w:szCs w:val="24"/>
        </w:rPr>
        <w:t xml:space="preserve"> (ver gráfica 1</w:t>
      </w:r>
      <w:r w:rsidR="001F611D">
        <w:rPr>
          <w:rFonts w:ascii="Arial" w:hAnsi="Arial" w:cs="Arial"/>
          <w:sz w:val="24"/>
          <w:szCs w:val="24"/>
        </w:rPr>
        <w:t>7</w:t>
      </w:r>
      <w:r w:rsidR="00EE1199">
        <w:rPr>
          <w:rFonts w:ascii="Arial" w:hAnsi="Arial" w:cs="Arial"/>
          <w:sz w:val="24"/>
          <w:szCs w:val="24"/>
        </w:rPr>
        <w:t>).</w:t>
      </w:r>
    </w:p>
    <w:p w14:paraId="25785D10" w14:textId="77777777" w:rsidR="008959B3" w:rsidRPr="009A5AD6" w:rsidRDefault="008959B3" w:rsidP="00D73F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5336DC" w14:textId="6366DD43" w:rsidR="00584831" w:rsidRPr="009A5AD6" w:rsidRDefault="004105CA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9A5AD6">
        <w:rPr>
          <w:rFonts w:ascii="Arial" w:hAnsi="Arial" w:cs="Arial"/>
          <w:bCs/>
          <w:sz w:val="20"/>
          <w:szCs w:val="20"/>
        </w:rPr>
        <w:t>Gráfica 17</w:t>
      </w:r>
    </w:p>
    <w:p w14:paraId="6FE41D58" w14:textId="77777777" w:rsidR="00EE1199" w:rsidRDefault="004105CA" w:rsidP="00EE1199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9A5AD6">
        <w:rPr>
          <w:rFonts w:ascii="Arial" w:hAnsi="Arial" w:cs="Arial"/>
          <w:b/>
          <w:bCs/>
          <w:smallCaps/>
        </w:rPr>
        <w:t xml:space="preserve">Participación de los ingresos de </w:t>
      </w:r>
      <w:r w:rsidR="00F83BFE" w:rsidRPr="009A5AD6">
        <w:rPr>
          <w:rFonts w:ascii="Arial" w:hAnsi="Arial" w:cs="Arial"/>
          <w:b/>
          <w:bCs/>
          <w:smallCaps/>
        </w:rPr>
        <w:t>comercio internacional de servicios</w:t>
      </w:r>
      <w:r w:rsidRPr="009A5AD6">
        <w:rPr>
          <w:rFonts w:ascii="Arial" w:hAnsi="Arial" w:cs="Arial"/>
          <w:b/>
          <w:bCs/>
          <w:smallCaps/>
        </w:rPr>
        <w:t xml:space="preserve"> </w:t>
      </w:r>
    </w:p>
    <w:p w14:paraId="23508B82" w14:textId="789B10E5" w:rsidR="004105CA" w:rsidRPr="009A5AD6" w:rsidRDefault="004105CA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9A5AD6">
        <w:rPr>
          <w:rFonts w:ascii="Arial" w:hAnsi="Arial" w:cs="Arial"/>
          <w:b/>
          <w:bCs/>
          <w:smallCaps/>
        </w:rPr>
        <w:t>por tipo de servicio, según modo de suministro en 2021</w:t>
      </w:r>
    </w:p>
    <w:p w14:paraId="31DFC093" w14:textId="1EBA7F55" w:rsidR="00E96322" w:rsidRPr="009A5AD6" w:rsidRDefault="003F0448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9A5AD6">
        <w:rPr>
          <w:rFonts w:ascii="Arial" w:hAnsi="Arial" w:cs="Arial"/>
          <w:sz w:val="18"/>
          <w:szCs w:val="24"/>
        </w:rPr>
        <w:t>(</w:t>
      </w:r>
      <w:r w:rsidR="00EE1199">
        <w:rPr>
          <w:rFonts w:ascii="Arial" w:hAnsi="Arial" w:cs="Arial"/>
          <w:sz w:val="18"/>
          <w:szCs w:val="24"/>
        </w:rPr>
        <w:t>p</w:t>
      </w:r>
      <w:r w:rsidRPr="009A5AD6">
        <w:rPr>
          <w:rFonts w:ascii="Arial" w:hAnsi="Arial" w:cs="Arial"/>
          <w:sz w:val="18"/>
          <w:szCs w:val="24"/>
        </w:rPr>
        <w:t>orcentaje)</w:t>
      </w:r>
    </w:p>
    <w:p w14:paraId="6404CD9F" w14:textId="25D8636B" w:rsidR="004105CA" w:rsidRPr="00572DB1" w:rsidRDefault="00A524C2" w:rsidP="002A0561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796AB91D" wp14:editId="0AE0BAAA">
            <wp:extent cx="4566857" cy="2246400"/>
            <wp:effectExtent l="0" t="0" r="5715" b="190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66857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F6025" w14:textId="77777777" w:rsidR="00EE1199" w:rsidRDefault="004105CA" w:rsidP="00F73D5F">
      <w:pPr>
        <w:pStyle w:val="NormalWeb"/>
        <w:spacing w:before="0" w:beforeAutospacing="0" w:after="0" w:afterAutospacing="0"/>
        <w:ind w:left="1560" w:right="1699"/>
        <w:jc w:val="both"/>
        <w:rPr>
          <w:rFonts w:ascii="Arial" w:hAnsi="Arial" w:cs="Arial"/>
          <w:bCs/>
          <w:smallCaps/>
          <w:sz w:val="16"/>
          <w:szCs w:val="16"/>
        </w:rPr>
      </w:pPr>
      <w:r w:rsidRPr="009A5AD6">
        <w:rPr>
          <w:rFonts w:ascii="Arial" w:hAnsi="Arial" w:cs="Arial"/>
          <w:bCs/>
          <w:kern w:val="24"/>
          <w:sz w:val="16"/>
          <w:szCs w:val="16"/>
        </w:rPr>
        <w:t xml:space="preserve">Nota: </w:t>
      </w:r>
      <w:r w:rsidR="00EE1199">
        <w:rPr>
          <w:rFonts w:ascii="Arial" w:hAnsi="Arial" w:cs="Arial"/>
          <w:bCs/>
          <w:kern w:val="24"/>
          <w:sz w:val="16"/>
          <w:szCs w:val="16"/>
        </w:rPr>
        <w:t xml:space="preserve">   </w:t>
      </w:r>
      <w:r w:rsidR="00826B95" w:rsidRPr="009A5AD6">
        <w:rPr>
          <w:rFonts w:ascii="Arial" w:hAnsi="Arial" w:cs="Arial"/>
          <w:bCs/>
          <w:sz w:val="16"/>
          <w:szCs w:val="16"/>
        </w:rPr>
        <w:t xml:space="preserve">Porcentajes obtenidos respecto del total de ingresos a precios constantes </w:t>
      </w:r>
      <w:r w:rsidR="00EE1199" w:rsidRPr="00EE1199">
        <w:rPr>
          <w:rFonts w:ascii="Arial" w:hAnsi="Arial" w:cs="Arial"/>
          <w:bCs/>
          <w:smallCaps/>
          <w:sz w:val="16"/>
          <w:szCs w:val="16"/>
        </w:rPr>
        <w:t xml:space="preserve">inpp </w:t>
      </w:r>
    </w:p>
    <w:p w14:paraId="40A4024E" w14:textId="020C7EFF" w:rsidR="00E46C38" w:rsidRPr="009A5AD6" w:rsidRDefault="00EE1199" w:rsidP="00F73D5F">
      <w:pPr>
        <w:pStyle w:val="NormalWeb"/>
        <w:spacing w:before="0" w:beforeAutospacing="0" w:after="0" w:afterAutospacing="0"/>
        <w:ind w:left="1560" w:right="1699"/>
        <w:jc w:val="both"/>
        <w:rPr>
          <w:rFonts w:ascii="Arial" w:hAnsi="Arial" w:cs="Arial"/>
          <w:bCs/>
          <w:kern w:val="24"/>
          <w:sz w:val="16"/>
          <w:szCs w:val="16"/>
        </w:rPr>
      </w:pPr>
      <w:r>
        <w:rPr>
          <w:rFonts w:ascii="Arial" w:hAnsi="Arial" w:cs="Arial"/>
          <w:bCs/>
          <w:smallCaps/>
          <w:sz w:val="16"/>
          <w:szCs w:val="16"/>
        </w:rPr>
        <w:t xml:space="preserve">                </w:t>
      </w:r>
      <w:r w:rsidR="00826B95" w:rsidRPr="009A5AD6">
        <w:rPr>
          <w:rFonts w:ascii="Arial" w:hAnsi="Arial" w:cs="Arial"/>
          <w:bCs/>
          <w:sz w:val="16"/>
          <w:szCs w:val="16"/>
        </w:rPr>
        <w:t>promedio anual 2021 por clase de actividad</w:t>
      </w:r>
      <w:r w:rsidR="00E46C38" w:rsidRPr="009A5AD6">
        <w:rPr>
          <w:rFonts w:ascii="Arial" w:hAnsi="Arial" w:cs="Arial"/>
          <w:bCs/>
          <w:sz w:val="16"/>
          <w:szCs w:val="16"/>
        </w:rPr>
        <w:t xml:space="preserve"> </w:t>
      </w:r>
      <w:r w:rsidR="00826B95" w:rsidRPr="009A5AD6">
        <w:rPr>
          <w:rFonts w:ascii="Arial" w:hAnsi="Arial" w:cs="Arial"/>
          <w:bCs/>
          <w:sz w:val="16"/>
          <w:szCs w:val="16"/>
        </w:rPr>
        <w:t>económica.</w:t>
      </w:r>
    </w:p>
    <w:p w14:paraId="4D4BD4F2" w14:textId="5198D857" w:rsidR="00EE1199" w:rsidRDefault="00EE1199" w:rsidP="00F73D5F">
      <w:pPr>
        <w:pStyle w:val="NormalWeb"/>
        <w:spacing w:before="0" w:beforeAutospacing="0" w:after="0" w:afterAutospacing="0"/>
        <w:ind w:left="1560" w:right="1699"/>
        <w:jc w:val="both"/>
        <w:rPr>
          <w:rFonts w:ascii="Arial" w:hAnsi="Arial" w:cs="Arial"/>
          <w:bCs/>
          <w:kern w:val="24"/>
          <w:sz w:val="16"/>
          <w:szCs w:val="16"/>
        </w:rPr>
      </w:pPr>
      <w:r>
        <w:rPr>
          <w:rFonts w:ascii="Arial" w:hAnsi="Arial" w:cs="Arial"/>
          <w:bCs/>
          <w:kern w:val="24"/>
          <w:sz w:val="16"/>
          <w:szCs w:val="16"/>
        </w:rPr>
        <w:t xml:space="preserve">             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El monto de ingresos por los </w:t>
      </w:r>
      <w:r w:rsidR="007A49BD">
        <w:rPr>
          <w:rFonts w:ascii="Arial" w:hAnsi="Arial" w:cs="Arial"/>
          <w:bCs/>
          <w:kern w:val="24"/>
          <w:sz w:val="16"/>
          <w:szCs w:val="16"/>
        </w:rPr>
        <w:t>«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servicios de manufactura en insumos físicos que son </w:t>
      </w:r>
      <w:r>
        <w:rPr>
          <w:rFonts w:ascii="Arial" w:hAnsi="Arial" w:cs="Arial"/>
          <w:bCs/>
          <w:kern w:val="24"/>
          <w:sz w:val="16"/>
          <w:szCs w:val="16"/>
        </w:rPr>
        <w:t xml:space="preserve">   </w:t>
      </w:r>
    </w:p>
    <w:p w14:paraId="147CCA1C" w14:textId="2D49DEB1" w:rsidR="001F611D" w:rsidRDefault="00EE1199" w:rsidP="00F73D5F">
      <w:pPr>
        <w:pStyle w:val="NormalWeb"/>
        <w:spacing w:before="0" w:beforeAutospacing="0" w:after="0" w:afterAutospacing="0"/>
        <w:ind w:left="1560" w:right="1699"/>
        <w:jc w:val="both"/>
        <w:rPr>
          <w:rFonts w:ascii="Arial" w:hAnsi="Arial" w:cs="Arial"/>
          <w:bCs/>
          <w:kern w:val="24"/>
          <w:sz w:val="16"/>
          <w:szCs w:val="16"/>
        </w:rPr>
      </w:pPr>
      <w:r>
        <w:rPr>
          <w:rFonts w:ascii="Arial" w:hAnsi="Arial" w:cs="Arial"/>
          <w:bCs/>
          <w:kern w:val="24"/>
          <w:sz w:val="16"/>
          <w:szCs w:val="16"/>
        </w:rPr>
        <w:t xml:space="preserve">             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propiedad de otros</w:t>
      </w:r>
      <w:r w:rsidR="007A49BD">
        <w:rPr>
          <w:rFonts w:ascii="Arial" w:hAnsi="Arial" w:cs="Arial"/>
          <w:bCs/>
          <w:kern w:val="24"/>
          <w:sz w:val="16"/>
          <w:szCs w:val="16"/>
        </w:rPr>
        <w:t>»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 corresponde a</w:t>
      </w:r>
      <w:r w:rsidR="00B32D0E">
        <w:rPr>
          <w:rFonts w:ascii="Arial" w:hAnsi="Arial" w:cs="Arial"/>
          <w:bCs/>
          <w:kern w:val="24"/>
          <w:sz w:val="16"/>
          <w:szCs w:val="16"/>
        </w:rPr>
        <w:t>l</w:t>
      </w:r>
      <w:r>
        <w:rPr>
          <w:rFonts w:ascii="Arial" w:hAnsi="Arial" w:cs="Arial"/>
          <w:bCs/>
          <w:kern w:val="24"/>
          <w:sz w:val="16"/>
          <w:szCs w:val="16"/>
        </w:rPr>
        <w:t xml:space="preserve"> 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100</w:t>
      </w:r>
      <w:r w:rsidR="00BB0886">
        <w:rPr>
          <w:rFonts w:ascii="Arial" w:hAnsi="Arial" w:cs="Arial"/>
          <w:bCs/>
          <w:kern w:val="24"/>
          <w:sz w:val="16"/>
          <w:szCs w:val="16"/>
        </w:rPr>
        <w:t xml:space="preserve"> 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% en el modo de suministro 2</w:t>
      </w:r>
      <w:r w:rsidR="00BB0886">
        <w:rPr>
          <w:rFonts w:ascii="Arial" w:hAnsi="Arial" w:cs="Arial"/>
          <w:bCs/>
          <w:kern w:val="24"/>
          <w:sz w:val="16"/>
          <w:szCs w:val="16"/>
        </w:rPr>
        <w:t>,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 </w:t>
      </w:r>
      <w:r w:rsidR="00BB0886">
        <w:rPr>
          <w:rFonts w:ascii="Arial" w:hAnsi="Arial" w:cs="Arial"/>
          <w:bCs/>
          <w:kern w:val="24"/>
          <w:sz w:val="16"/>
          <w:szCs w:val="16"/>
        </w:rPr>
        <w:t>«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Traslado de </w:t>
      </w:r>
    </w:p>
    <w:p w14:paraId="0A52B67F" w14:textId="7B613F6C" w:rsidR="004105CA" w:rsidRDefault="001F611D" w:rsidP="00902A81">
      <w:pPr>
        <w:pStyle w:val="NormalWeb"/>
        <w:spacing w:before="0" w:beforeAutospacing="0" w:after="0" w:afterAutospacing="0"/>
        <w:ind w:left="2127" w:right="1699" w:hanging="567"/>
        <w:jc w:val="both"/>
        <w:rPr>
          <w:rFonts w:ascii="Arial" w:hAnsi="Arial" w:cs="Arial"/>
          <w:bCs/>
          <w:kern w:val="24"/>
          <w:sz w:val="16"/>
          <w:szCs w:val="16"/>
        </w:rPr>
      </w:pPr>
      <w:r>
        <w:rPr>
          <w:rFonts w:ascii="Arial" w:hAnsi="Arial" w:cs="Arial"/>
          <w:bCs/>
          <w:kern w:val="24"/>
          <w:sz w:val="16"/>
          <w:szCs w:val="16"/>
        </w:rPr>
        <w:t xml:space="preserve">             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mercancía</w:t>
      </w:r>
      <w:r w:rsidR="00BB0886">
        <w:rPr>
          <w:rFonts w:ascii="Arial" w:hAnsi="Arial" w:cs="Arial"/>
          <w:bCs/>
          <w:kern w:val="24"/>
          <w:sz w:val="16"/>
          <w:szCs w:val="16"/>
        </w:rPr>
        <w:t>»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, mientras que los ingresos por </w:t>
      </w:r>
      <w:r w:rsidR="007A49BD">
        <w:rPr>
          <w:rFonts w:ascii="Arial" w:hAnsi="Arial" w:cs="Arial"/>
          <w:bCs/>
          <w:kern w:val="24"/>
          <w:sz w:val="16"/>
          <w:szCs w:val="16"/>
        </w:rPr>
        <w:t>«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cargos por el uso de la propiedad intelectual</w:t>
      </w:r>
      <w:r w:rsidR="007A49BD">
        <w:rPr>
          <w:rFonts w:ascii="Arial" w:hAnsi="Arial" w:cs="Arial"/>
          <w:bCs/>
          <w:kern w:val="24"/>
          <w:sz w:val="16"/>
          <w:szCs w:val="16"/>
        </w:rPr>
        <w:t>»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 y los servicios de </w:t>
      </w:r>
      <w:r w:rsidR="007A49BD">
        <w:rPr>
          <w:rFonts w:ascii="Arial" w:hAnsi="Arial" w:cs="Arial"/>
          <w:bCs/>
          <w:kern w:val="24"/>
          <w:sz w:val="16"/>
          <w:szCs w:val="16"/>
        </w:rPr>
        <w:t>«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transporte</w:t>
      </w:r>
      <w:r w:rsidR="007A49BD">
        <w:rPr>
          <w:rFonts w:ascii="Arial" w:hAnsi="Arial" w:cs="Arial"/>
          <w:bCs/>
          <w:kern w:val="24"/>
          <w:sz w:val="16"/>
          <w:szCs w:val="16"/>
        </w:rPr>
        <w:t>»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 ajustan a</w:t>
      </w:r>
      <w:r w:rsidR="00B32D0E">
        <w:rPr>
          <w:rFonts w:ascii="Arial" w:hAnsi="Arial" w:cs="Arial"/>
          <w:bCs/>
          <w:kern w:val="24"/>
          <w:sz w:val="16"/>
          <w:szCs w:val="16"/>
        </w:rPr>
        <w:t>l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 100</w:t>
      </w:r>
      <w:r w:rsidR="00BB0886">
        <w:rPr>
          <w:rFonts w:ascii="Arial" w:hAnsi="Arial" w:cs="Arial"/>
          <w:bCs/>
          <w:kern w:val="24"/>
          <w:sz w:val="16"/>
          <w:szCs w:val="16"/>
        </w:rPr>
        <w:t xml:space="preserve"> 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% en el modo de suministro 1</w:t>
      </w:r>
      <w:r w:rsidR="00BB0886">
        <w:rPr>
          <w:rFonts w:ascii="Arial" w:hAnsi="Arial" w:cs="Arial"/>
          <w:bCs/>
          <w:kern w:val="24"/>
          <w:sz w:val="16"/>
          <w:szCs w:val="16"/>
        </w:rPr>
        <w:t>,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 </w:t>
      </w:r>
      <w:r w:rsidR="00BB0886">
        <w:rPr>
          <w:rFonts w:ascii="Arial" w:hAnsi="Arial" w:cs="Arial"/>
          <w:bCs/>
          <w:kern w:val="24"/>
          <w:sz w:val="16"/>
          <w:szCs w:val="16"/>
        </w:rPr>
        <w:t>«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Transfronterizo/ Medios digitales</w:t>
      </w:r>
      <w:r w:rsidR="00BB0886">
        <w:rPr>
          <w:rFonts w:ascii="Arial" w:hAnsi="Arial" w:cs="Arial"/>
          <w:bCs/>
          <w:kern w:val="24"/>
          <w:sz w:val="16"/>
          <w:szCs w:val="16"/>
        </w:rPr>
        <w:t xml:space="preserve">». Por esta 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razón</w:t>
      </w:r>
      <w:r w:rsidR="00BB0886">
        <w:rPr>
          <w:rFonts w:ascii="Arial" w:hAnsi="Arial" w:cs="Arial"/>
          <w:bCs/>
          <w:kern w:val="24"/>
          <w:sz w:val="16"/>
          <w:szCs w:val="16"/>
        </w:rPr>
        <w:t>,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 xml:space="preserve"> no se consideran</w:t>
      </w:r>
      <w:r w:rsidR="009A5AD6">
        <w:rPr>
          <w:rFonts w:ascii="Arial" w:hAnsi="Arial" w:cs="Arial"/>
          <w:bCs/>
          <w:kern w:val="24"/>
          <w:sz w:val="16"/>
          <w:szCs w:val="16"/>
        </w:rPr>
        <w:t xml:space="preserve"> </w:t>
      </w:r>
      <w:r w:rsidR="004105CA" w:rsidRPr="009A5AD6">
        <w:rPr>
          <w:rFonts w:ascii="Arial" w:hAnsi="Arial" w:cs="Arial"/>
          <w:bCs/>
          <w:kern w:val="24"/>
          <w:sz w:val="16"/>
          <w:szCs w:val="16"/>
        </w:rPr>
        <w:t>en el análisis.</w:t>
      </w:r>
    </w:p>
    <w:p w14:paraId="0BD72FF4" w14:textId="77777777" w:rsidR="00EE1199" w:rsidRPr="00B364EE" w:rsidRDefault="00EE1199" w:rsidP="002A0561">
      <w:pPr>
        <w:spacing w:after="0" w:line="240" w:lineRule="auto"/>
        <w:ind w:left="1701" w:right="1699" w:hanging="141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inegi. ecis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, 2022.</w:t>
      </w:r>
    </w:p>
    <w:p w14:paraId="2EF70BD0" w14:textId="77777777" w:rsidR="006B6DCE" w:rsidRPr="009A5AD6" w:rsidRDefault="006B6DCE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7F9989" w14:textId="495D071F" w:rsidR="00167EB0" w:rsidRPr="009A5AD6" w:rsidRDefault="00BB0886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2021, l</w:t>
      </w:r>
      <w:r w:rsidR="004105CA" w:rsidRPr="009A5AD6">
        <w:rPr>
          <w:rFonts w:ascii="Arial" w:hAnsi="Arial" w:cs="Arial"/>
          <w:sz w:val="24"/>
          <w:szCs w:val="24"/>
        </w:rPr>
        <w:t xml:space="preserve">os países </w:t>
      </w:r>
      <w:r w:rsidR="001F611D">
        <w:rPr>
          <w:rFonts w:ascii="Arial" w:hAnsi="Arial" w:cs="Arial"/>
          <w:sz w:val="24"/>
          <w:szCs w:val="24"/>
        </w:rPr>
        <w:t xml:space="preserve">y regiones </w:t>
      </w:r>
      <w:r w:rsidR="004105CA" w:rsidRPr="009A5AD6">
        <w:rPr>
          <w:rFonts w:ascii="Arial" w:hAnsi="Arial" w:cs="Arial"/>
          <w:sz w:val="24"/>
          <w:szCs w:val="24"/>
        </w:rPr>
        <w:t xml:space="preserve">que reportaron la mayor </w:t>
      </w:r>
      <w:r w:rsidR="00B2613A" w:rsidRPr="009A5AD6">
        <w:rPr>
          <w:rFonts w:ascii="Arial" w:hAnsi="Arial" w:cs="Arial"/>
          <w:sz w:val="24"/>
          <w:szCs w:val="24"/>
        </w:rPr>
        <w:t xml:space="preserve">aportación </w:t>
      </w:r>
      <w:r w:rsidR="004105CA" w:rsidRPr="009A5AD6">
        <w:rPr>
          <w:rFonts w:ascii="Arial" w:hAnsi="Arial" w:cs="Arial"/>
          <w:sz w:val="24"/>
          <w:szCs w:val="24"/>
        </w:rPr>
        <w:t xml:space="preserve">de ingresos </w:t>
      </w:r>
      <w:r w:rsidR="00B2613A" w:rsidRPr="009A5AD6">
        <w:rPr>
          <w:rFonts w:ascii="Arial" w:hAnsi="Arial" w:cs="Arial"/>
          <w:sz w:val="24"/>
          <w:szCs w:val="24"/>
        </w:rPr>
        <w:t>a precios constantes</w:t>
      </w:r>
      <w:r>
        <w:rPr>
          <w:rFonts w:ascii="Arial" w:hAnsi="Arial" w:cs="Arial"/>
          <w:sz w:val="24"/>
          <w:szCs w:val="24"/>
        </w:rPr>
        <w:t>,</w:t>
      </w:r>
      <w:r w:rsidR="00B2613A" w:rsidRPr="009A5AD6">
        <w:rPr>
          <w:rFonts w:ascii="Arial" w:hAnsi="Arial" w:cs="Arial"/>
          <w:sz w:val="24"/>
          <w:szCs w:val="24"/>
        </w:rPr>
        <w:t xml:space="preserve"> </w:t>
      </w:r>
      <w:r w:rsidR="004105CA" w:rsidRPr="009A5AD6">
        <w:rPr>
          <w:rFonts w:ascii="Arial" w:hAnsi="Arial" w:cs="Arial"/>
          <w:sz w:val="24"/>
          <w:szCs w:val="24"/>
        </w:rPr>
        <w:t xml:space="preserve">para las empresas </w:t>
      </w:r>
      <w:r w:rsidR="00B2613A" w:rsidRPr="009A5AD6">
        <w:rPr>
          <w:rFonts w:ascii="Arial" w:hAnsi="Arial" w:cs="Arial"/>
          <w:sz w:val="24"/>
          <w:szCs w:val="24"/>
        </w:rPr>
        <w:t>que realiza</w:t>
      </w:r>
      <w:r>
        <w:rPr>
          <w:rFonts w:ascii="Arial" w:hAnsi="Arial" w:cs="Arial"/>
          <w:sz w:val="24"/>
          <w:szCs w:val="24"/>
        </w:rPr>
        <w:t>ro</w:t>
      </w:r>
      <w:r w:rsidR="00B2613A" w:rsidRPr="009A5AD6">
        <w:rPr>
          <w:rFonts w:ascii="Arial" w:hAnsi="Arial" w:cs="Arial"/>
          <w:sz w:val="24"/>
          <w:szCs w:val="24"/>
        </w:rPr>
        <w:t xml:space="preserve">n </w:t>
      </w:r>
      <w:r w:rsidR="001F611D" w:rsidRPr="001F611D">
        <w:rPr>
          <w:rFonts w:ascii="Arial" w:hAnsi="Arial" w:cs="Arial"/>
          <w:smallCaps/>
          <w:sz w:val="24"/>
          <w:szCs w:val="24"/>
        </w:rPr>
        <w:t>cis</w:t>
      </w:r>
      <w:r w:rsidR="001F611D">
        <w:rPr>
          <w:rFonts w:ascii="Arial" w:hAnsi="Arial" w:cs="Arial"/>
          <w:smallCaps/>
          <w:sz w:val="24"/>
          <w:szCs w:val="24"/>
        </w:rPr>
        <w:t>,</w:t>
      </w:r>
      <w:r w:rsidR="00B2613A" w:rsidRPr="009A5AD6">
        <w:rPr>
          <w:rFonts w:ascii="Arial" w:hAnsi="Arial" w:cs="Arial"/>
          <w:sz w:val="24"/>
          <w:szCs w:val="24"/>
        </w:rPr>
        <w:t xml:space="preserve"> </w:t>
      </w:r>
      <w:r w:rsidR="004105CA" w:rsidRPr="009A5AD6">
        <w:rPr>
          <w:rFonts w:ascii="Arial" w:hAnsi="Arial" w:cs="Arial"/>
          <w:sz w:val="24"/>
          <w:szCs w:val="24"/>
        </w:rPr>
        <w:t>fueron:</w:t>
      </w:r>
      <w:r w:rsidR="001F611D">
        <w:rPr>
          <w:rFonts w:ascii="Arial" w:hAnsi="Arial" w:cs="Arial"/>
          <w:sz w:val="24"/>
          <w:szCs w:val="24"/>
        </w:rPr>
        <w:t xml:space="preserve"> </w:t>
      </w:r>
      <w:r w:rsidR="004105CA" w:rsidRPr="009A5AD6">
        <w:rPr>
          <w:rFonts w:ascii="Arial" w:hAnsi="Arial" w:cs="Arial"/>
          <w:sz w:val="24"/>
          <w:szCs w:val="24"/>
        </w:rPr>
        <w:t>Estados Unidos, con 74.2 %</w:t>
      </w:r>
      <w:r>
        <w:rPr>
          <w:rFonts w:ascii="Arial" w:hAnsi="Arial" w:cs="Arial"/>
          <w:sz w:val="24"/>
          <w:szCs w:val="24"/>
        </w:rPr>
        <w:t xml:space="preserve"> (disminuyó</w:t>
      </w:r>
      <w:r w:rsidR="004105CA" w:rsidRPr="009A5AD6">
        <w:rPr>
          <w:rFonts w:ascii="Arial" w:hAnsi="Arial" w:cs="Arial"/>
          <w:sz w:val="24"/>
          <w:szCs w:val="24"/>
        </w:rPr>
        <w:t xml:space="preserve"> 3</w:t>
      </w:r>
      <w:r w:rsidR="00DA19DD" w:rsidRPr="009A5AD6">
        <w:rPr>
          <w:rFonts w:ascii="Arial" w:hAnsi="Arial" w:cs="Arial"/>
          <w:sz w:val="24"/>
          <w:szCs w:val="24"/>
        </w:rPr>
        <w:t>.0</w:t>
      </w:r>
      <w:r w:rsidR="004105CA" w:rsidRPr="009A5AD6">
        <w:rPr>
          <w:rFonts w:ascii="Arial" w:hAnsi="Arial" w:cs="Arial"/>
          <w:sz w:val="24"/>
          <w:szCs w:val="24"/>
        </w:rPr>
        <w:t xml:space="preserve"> puntos porcentuales respecto de 2020</w:t>
      </w:r>
      <w:r>
        <w:rPr>
          <w:rFonts w:ascii="Arial" w:hAnsi="Arial" w:cs="Arial"/>
          <w:sz w:val="24"/>
          <w:szCs w:val="24"/>
        </w:rPr>
        <w:t>)</w:t>
      </w:r>
      <w:r w:rsidR="004105CA" w:rsidRPr="009A5AD6">
        <w:rPr>
          <w:rFonts w:ascii="Arial" w:hAnsi="Arial" w:cs="Arial"/>
          <w:sz w:val="24"/>
          <w:szCs w:val="24"/>
        </w:rPr>
        <w:t>; la Unión Europea</w:t>
      </w:r>
      <w:r w:rsidR="001F611D">
        <w:rPr>
          <w:rFonts w:ascii="Arial" w:hAnsi="Arial" w:cs="Arial"/>
          <w:sz w:val="24"/>
          <w:szCs w:val="24"/>
        </w:rPr>
        <w:t>,</w:t>
      </w:r>
      <w:r w:rsidR="004105CA" w:rsidRPr="009A5AD6">
        <w:rPr>
          <w:rFonts w:ascii="Arial" w:hAnsi="Arial" w:cs="Arial"/>
          <w:sz w:val="24"/>
          <w:szCs w:val="24"/>
        </w:rPr>
        <w:t xml:space="preserve"> con 7.8 %</w:t>
      </w:r>
      <w:r>
        <w:rPr>
          <w:rFonts w:ascii="Arial" w:hAnsi="Arial" w:cs="Arial"/>
          <w:sz w:val="24"/>
          <w:szCs w:val="24"/>
        </w:rPr>
        <w:t xml:space="preserve"> (descendió </w:t>
      </w:r>
      <w:r w:rsidR="004105CA" w:rsidRPr="009A5AD6">
        <w:rPr>
          <w:rFonts w:ascii="Arial" w:hAnsi="Arial" w:cs="Arial"/>
          <w:sz w:val="24"/>
          <w:szCs w:val="24"/>
        </w:rPr>
        <w:t>1.1 puntos porcentuales respecto del año anterior</w:t>
      </w:r>
      <w:r>
        <w:rPr>
          <w:rFonts w:ascii="Arial" w:hAnsi="Arial" w:cs="Arial"/>
          <w:sz w:val="24"/>
          <w:szCs w:val="24"/>
        </w:rPr>
        <w:t>)</w:t>
      </w:r>
      <w:r w:rsidR="004105CA" w:rsidRPr="009A5AD6">
        <w:rPr>
          <w:rFonts w:ascii="Arial" w:hAnsi="Arial" w:cs="Arial"/>
          <w:sz w:val="24"/>
          <w:szCs w:val="24"/>
        </w:rPr>
        <w:t>; Suiza</w:t>
      </w:r>
      <w:r w:rsidR="001F611D">
        <w:rPr>
          <w:rFonts w:ascii="Arial" w:hAnsi="Arial" w:cs="Arial"/>
          <w:sz w:val="24"/>
          <w:szCs w:val="24"/>
        </w:rPr>
        <w:t>,</w:t>
      </w:r>
      <w:r w:rsidR="004105CA" w:rsidRPr="009A5AD6">
        <w:rPr>
          <w:rFonts w:ascii="Arial" w:hAnsi="Arial" w:cs="Arial"/>
          <w:sz w:val="24"/>
          <w:szCs w:val="24"/>
        </w:rPr>
        <w:t xml:space="preserve"> con 7.2 % y Singapur</w:t>
      </w:r>
      <w:r w:rsidR="001F611D">
        <w:rPr>
          <w:rFonts w:ascii="Arial" w:hAnsi="Arial" w:cs="Arial"/>
          <w:sz w:val="24"/>
          <w:szCs w:val="24"/>
        </w:rPr>
        <w:t>,</w:t>
      </w:r>
      <w:r w:rsidR="004105CA" w:rsidRPr="009A5AD6">
        <w:rPr>
          <w:rFonts w:ascii="Arial" w:hAnsi="Arial" w:cs="Arial"/>
          <w:sz w:val="24"/>
          <w:szCs w:val="24"/>
        </w:rPr>
        <w:t xml:space="preserve"> con 2.0 </w:t>
      </w:r>
      <w:r>
        <w:rPr>
          <w:rFonts w:ascii="Arial" w:hAnsi="Arial" w:cs="Arial"/>
          <w:sz w:val="24"/>
          <w:szCs w:val="24"/>
        </w:rPr>
        <w:t xml:space="preserve">por ciento. A </w:t>
      </w:r>
      <w:r w:rsidR="004105CA" w:rsidRPr="009A5AD6">
        <w:rPr>
          <w:rFonts w:ascii="Arial" w:hAnsi="Arial" w:cs="Arial"/>
          <w:sz w:val="24"/>
          <w:szCs w:val="24"/>
        </w:rPr>
        <w:t xml:space="preserve">diferencia de </w:t>
      </w:r>
      <w:r w:rsidR="00B2613A" w:rsidRPr="009A5AD6">
        <w:rPr>
          <w:rFonts w:ascii="Arial" w:hAnsi="Arial" w:cs="Arial"/>
          <w:sz w:val="24"/>
          <w:szCs w:val="24"/>
        </w:rPr>
        <w:t xml:space="preserve">los aportes de </w:t>
      </w:r>
      <w:r w:rsidR="004105CA" w:rsidRPr="009A5AD6">
        <w:rPr>
          <w:rFonts w:ascii="Arial" w:hAnsi="Arial" w:cs="Arial"/>
          <w:sz w:val="24"/>
          <w:szCs w:val="24"/>
        </w:rPr>
        <w:t xml:space="preserve">las primeras economías, </w:t>
      </w:r>
      <w:r w:rsidR="001F611D">
        <w:rPr>
          <w:rFonts w:ascii="Arial" w:hAnsi="Arial" w:cs="Arial"/>
          <w:sz w:val="24"/>
          <w:szCs w:val="24"/>
        </w:rPr>
        <w:t>estos países</w:t>
      </w:r>
      <w:r w:rsidR="00891D17" w:rsidRPr="009A5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</w:t>
      </w:r>
      <w:r w:rsidR="00891D17" w:rsidRPr="009A5AD6">
        <w:rPr>
          <w:rFonts w:ascii="Arial" w:hAnsi="Arial" w:cs="Arial"/>
          <w:sz w:val="24"/>
          <w:szCs w:val="24"/>
        </w:rPr>
        <w:t>increment</w:t>
      </w:r>
      <w:r w:rsidR="001F611D">
        <w:rPr>
          <w:rFonts w:ascii="Arial" w:hAnsi="Arial" w:cs="Arial"/>
          <w:sz w:val="24"/>
          <w:szCs w:val="24"/>
        </w:rPr>
        <w:t>aron</w:t>
      </w:r>
      <w:r w:rsidR="004105CA" w:rsidRPr="009A5AD6">
        <w:rPr>
          <w:rFonts w:ascii="Arial" w:hAnsi="Arial" w:cs="Arial"/>
          <w:sz w:val="24"/>
          <w:szCs w:val="24"/>
        </w:rPr>
        <w:t xml:space="preserve"> 2.6 y 0.7 </w:t>
      </w:r>
      <w:r w:rsidR="00DA19DD" w:rsidRPr="009A5AD6">
        <w:rPr>
          <w:rFonts w:ascii="Arial" w:hAnsi="Arial" w:cs="Arial"/>
          <w:sz w:val="24"/>
          <w:szCs w:val="24"/>
        </w:rPr>
        <w:t>puntos porcentuales</w:t>
      </w:r>
      <w:r w:rsidR="004105CA" w:rsidRPr="009A5AD6">
        <w:rPr>
          <w:rFonts w:ascii="Arial" w:hAnsi="Arial" w:cs="Arial"/>
          <w:sz w:val="24"/>
          <w:szCs w:val="24"/>
        </w:rPr>
        <w:t>, respectivamente</w:t>
      </w:r>
      <w:r w:rsidRPr="00BB0886">
        <w:rPr>
          <w:rFonts w:ascii="Arial" w:hAnsi="Arial" w:cs="Arial"/>
          <w:sz w:val="24"/>
          <w:szCs w:val="24"/>
        </w:rPr>
        <w:t xml:space="preserve"> </w:t>
      </w:r>
      <w:r w:rsidRPr="009A5AD6">
        <w:rPr>
          <w:rFonts w:ascii="Arial" w:hAnsi="Arial" w:cs="Arial"/>
          <w:sz w:val="24"/>
          <w:szCs w:val="24"/>
        </w:rPr>
        <w:t>de 2020 a 2021</w:t>
      </w:r>
      <w:r w:rsidR="004105CA" w:rsidRPr="009A5AD6">
        <w:rPr>
          <w:rFonts w:ascii="Arial" w:hAnsi="Arial" w:cs="Arial"/>
          <w:sz w:val="24"/>
          <w:szCs w:val="24"/>
        </w:rPr>
        <w:t xml:space="preserve">. Canadá, </w:t>
      </w:r>
      <w:r w:rsidR="00B2613A" w:rsidRPr="009A5AD6">
        <w:rPr>
          <w:rFonts w:ascii="Arial" w:hAnsi="Arial" w:cs="Arial"/>
          <w:sz w:val="24"/>
          <w:szCs w:val="24"/>
        </w:rPr>
        <w:t>aport</w:t>
      </w:r>
      <w:r w:rsidR="001F611D">
        <w:rPr>
          <w:rFonts w:ascii="Arial" w:hAnsi="Arial" w:cs="Arial"/>
          <w:sz w:val="24"/>
          <w:szCs w:val="24"/>
        </w:rPr>
        <w:t>ó</w:t>
      </w:r>
      <w:r w:rsidR="00B2613A" w:rsidRPr="009A5AD6">
        <w:rPr>
          <w:rFonts w:ascii="Arial" w:hAnsi="Arial" w:cs="Arial"/>
          <w:sz w:val="24"/>
          <w:szCs w:val="24"/>
        </w:rPr>
        <w:t xml:space="preserve"> </w:t>
      </w:r>
      <w:r w:rsidR="001F611D">
        <w:rPr>
          <w:rFonts w:ascii="Arial" w:hAnsi="Arial" w:cs="Arial"/>
          <w:sz w:val="24"/>
          <w:szCs w:val="24"/>
        </w:rPr>
        <w:t>un porcentaje</w:t>
      </w:r>
      <w:r w:rsidR="004105CA" w:rsidRPr="009A5AD6">
        <w:rPr>
          <w:rFonts w:ascii="Arial" w:hAnsi="Arial" w:cs="Arial"/>
          <w:sz w:val="24"/>
          <w:szCs w:val="24"/>
        </w:rPr>
        <w:t xml:space="preserve"> </w:t>
      </w:r>
      <w:r w:rsidR="00B2613A" w:rsidRPr="009A5AD6">
        <w:rPr>
          <w:rFonts w:ascii="Arial" w:hAnsi="Arial" w:cs="Arial"/>
          <w:sz w:val="24"/>
          <w:szCs w:val="24"/>
        </w:rPr>
        <w:t>a</w:t>
      </w:r>
      <w:r w:rsidR="004105CA" w:rsidRPr="009A5AD6">
        <w:rPr>
          <w:rFonts w:ascii="Arial" w:hAnsi="Arial" w:cs="Arial"/>
          <w:sz w:val="24"/>
          <w:szCs w:val="24"/>
        </w:rPr>
        <w:t xml:space="preserve"> los ingresos de 1.2 %</w:t>
      </w:r>
      <w:r>
        <w:rPr>
          <w:rFonts w:ascii="Arial" w:hAnsi="Arial" w:cs="Arial"/>
          <w:sz w:val="24"/>
          <w:szCs w:val="24"/>
        </w:rPr>
        <w:t>:</w:t>
      </w:r>
      <w:r w:rsidR="004105CA" w:rsidRPr="009A5AD6">
        <w:rPr>
          <w:rFonts w:ascii="Arial" w:hAnsi="Arial" w:cs="Arial"/>
          <w:sz w:val="24"/>
          <w:szCs w:val="24"/>
        </w:rPr>
        <w:t xml:space="preserve"> disminuy</w:t>
      </w:r>
      <w:r w:rsidR="001F611D">
        <w:rPr>
          <w:rFonts w:ascii="Arial" w:hAnsi="Arial" w:cs="Arial"/>
          <w:sz w:val="24"/>
          <w:szCs w:val="24"/>
        </w:rPr>
        <w:t>ó</w:t>
      </w:r>
      <w:r w:rsidR="004105CA" w:rsidRPr="009A5AD6">
        <w:rPr>
          <w:rFonts w:ascii="Arial" w:hAnsi="Arial" w:cs="Arial"/>
          <w:sz w:val="24"/>
          <w:szCs w:val="24"/>
        </w:rPr>
        <w:t xml:space="preserve"> 0.5 puntos porcentuales respecto de 202</w:t>
      </w:r>
      <w:r w:rsidR="00891D17" w:rsidRPr="009A5AD6">
        <w:rPr>
          <w:rFonts w:ascii="Arial" w:hAnsi="Arial" w:cs="Arial"/>
          <w:sz w:val="24"/>
          <w:szCs w:val="24"/>
        </w:rPr>
        <w:t>0</w:t>
      </w:r>
      <w:r w:rsidR="004105CA" w:rsidRPr="009A5AD6">
        <w:rPr>
          <w:rFonts w:ascii="Arial" w:hAnsi="Arial" w:cs="Arial"/>
          <w:sz w:val="24"/>
          <w:szCs w:val="24"/>
        </w:rPr>
        <w:t>. El resto de los países reporta</w:t>
      </w:r>
      <w:r>
        <w:rPr>
          <w:rFonts w:ascii="Arial" w:hAnsi="Arial" w:cs="Arial"/>
          <w:sz w:val="24"/>
          <w:szCs w:val="24"/>
        </w:rPr>
        <w:t>ro</w:t>
      </w:r>
      <w:r w:rsidR="004105CA" w:rsidRPr="009A5AD6">
        <w:rPr>
          <w:rFonts w:ascii="Arial" w:hAnsi="Arial" w:cs="Arial"/>
          <w:sz w:val="24"/>
          <w:szCs w:val="24"/>
        </w:rPr>
        <w:t>n ingresos menores a est</w:t>
      </w:r>
      <w:r>
        <w:rPr>
          <w:rFonts w:ascii="Arial" w:hAnsi="Arial" w:cs="Arial"/>
          <w:sz w:val="24"/>
          <w:szCs w:val="24"/>
        </w:rPr>
        <w:t xml:space="preserve">os porcentajes </w:t>
      </w:r>
      <w:r w:rsidR="001F611D">
        <w:rPr>
          <w:rFonts w:ascii="Arial" w:hAnsi="Arial" w:cs="Arial"/>
          <w:sz w:val="24"/>
          <w:szCs w:val="24"/>
        </w:rPr>
        <w:t>(ver gráfica 18).</w:t>
      </w:r>
    </w:p>
    <w:p w14:paraId="1BFA67C9" w14:textId="77777777" w:rsidR="006B6DCE" w:rsidRDefault="006B6DCE" w:rsidP="002A0561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18F027BA" w14:textId="77777777" w:rsidR="000C09DA" w:rsidRDefault="000C09DA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</w:p>
    <w:p w14:paraId="22868882" w14:textId="12D538C9" w:rsidR="00584831" w:rsidRPr="00B84F3F" w:rsidRDefault="004105CA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B84F3F">
        <w:rPr>
          <w:rFonts w:ascii="Arial" w:hAnsi="Arial" w:cs="Arial"/>
          <w:bCs/>
          <w:sz w:val="20"/>
          <w:szCs w:val="20"/>
        </w:rPr>
        <w:t>Gráfica 18</w:t>
      </w:r>
    </w:p>
    <w:p w14:paraId="5B08412C" w14:textId="0CBBBD22" w:rsidR="004105CA" w:rsidRPr="00B84F3F" w:rsidRDefault="00EC2B5E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Participación de los i</w:t>
      </w:r>
      <w:r w:rsidR="004105CA" w:rsidRPr="00B84F3F">
        <w:rPr>
          <w:rFonts w:ascii="Arial" w:hAnsi="Arial" w:cs="Arial"/>
          <w:b/>
          <w:bCs/>
          <w:smallCaps/>
        </w:rPr>
        <w:t>ngresos por suministros de servicios del exterior, según principal origen en 2020 y 2021</w:t>
      </w:r>
    </w:p>
    <w:p w14:paraId="6BB70EAA" w14:textId="2A373D80" w:rsidR="00357153" w:rsidRPr="00B84F3F" w:rsidRDefault="003F0448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B84F3F">
        <w:rPr>
          <w:rFonts w:ascii="Arial" w:hAnsi="Arial" w:cs="Arial"/>
          <w:sz w:val="18"/>
          <w:szCs w:val="24"/>
        </w:rPr>
        <w:t>(</w:t>
      </w:r>
      <w:r w:rsidR="001F611D">
        <w:rPr>
          <w:rFonts w:ascii="Arial" w:hAnsi="Arial" w:cs="Arial"/>
          <w:sz w:val="18"/>
          <w:szCs w:val="24"/>
        </w:rPr>
        <w:t>p</w:t>
      </w:r>
      <w:r w:rsidRPr="00B84F3F">
        <w:rPr>
          <w:rFonts w:ascii="Arial" w:hAnsi="Arial" w:cs="Arial"/>
          <w:sz w:val="18"/>
          <w:szCs w:val="24"/>
        </w:rPr>
        <w:t>orcentaje)</w:t>
      </w:r>
    </w:p>
    <w:p w14:paraId="66B90FA5" w14:textId="0D99B2CD" w:rsidR="004105CA" w:rsidRPr="00572DB1" w:rsidRDefault="00A524C2" w:rsidP="002A0561">
      <w:pPr>
        <w:spacing w:after="60"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5C6D11E7" wp14:editId="27DA7D7E">
            <wp:extent cx="5181711" cy="2232000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181711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F02D" w14:textId="531EC446" w:rsidR="001F611D" w:rsidRDefault="004105CA" w:rsidP="001F611D">
      <w:pPr>
        <w:pStyle w:val="NormalWeb"/>
        <w:spacing w:before="0" w:beforeAutospacing="0" w:after="0" w:afterAutospacing="0"/>
        <w:ind w:left="1276" w:right="1132"/>
        <w:jc w:val="both"/>
        <w:rPr>
          <w:rFonts w:ascii="Arial" w:hAnsi="Arial" w:cs="Arial"/>
          <w:bCs/>
          <w:sz w:val="16"/>
          <w:szCs w:val="16"/>
        </w:rPr>
      </w:pPr>
      <w:r w:rsidRPr="00B84F3F">
        <w:rPr>
          <w:rFonts w:ascii="Arial" w:hAnsi="Arial" w:cs="Arial"/>
          <w:bCs/>
          <w:kern w:val="24"/>
          <w:sz w:val="16"/>
          <w:szCs w:val="16"/>
        </w:rPr>
        <w:t xml:space="preserve">Nota: </w:t>
      </w:r>
      <w:r w:rsidR="001F611D">
        <w:rPr>
          <w:rFonts w:ascii="Arial" w:hAnsi="Arial" w:cs="Arial"/>
          <w:bCs/>
          <w:kern w:val="24"/>
          <w:sz w:val="16"/>
          <w:szCs w:val="16"/>
        </w:rPr>
        <w:t xml:space="preserve">   </w:t>
      </w:r>
      <w:r w:rsidR="00826B95" w:rsidRPr="00B84F3F">
        <w:rPr>
          <w:rFonts w:ascii="Arial" w:hAnsi="Arial" w:cs="Arial"/>
          <w:bCs/>
          <w:sz w:val="16"/>
          <w:szCs w:val="16"/>
        </w:rPr>
        <w:t xml:space="preserve">Porcentajes obtenidos respecto del total de ingresos a precios constantes </w:t>
      </w:r>
      <w:r w:rsidR="001F611D" w:rsidRPr="001F611D">
        <w:rPr>
          <w:rFonts w:ascii="Arial" w:hAnsi="Arial" w:cs="Arial"/>
          <w:bCs/>
          <w:smallCaps/>
          <w:sz w:val="16"/>
          <w:szCs w:val="16"/>
        </w:rPr>
        <w:t>inpp</w:t>
      </w:r>
      <w:r w:rsidR="00826B95" w:rsidRPr="00B84F3F">
        <w:rPr>
          <w:rFonts w:ascii="Arial" w:hAnsi="Arial" w:cs="Arial"/>
          <w:bCs/>
          <w:sz w:val="16"/>
          <w:szCs w:val="16"/>
        </w:rPr>
        <w:t xml:space="preserve"> promedio anual </w:t>
      </w:r>
    </w:p>
    <w:p w14:paraId="6FD0F545" w14:textId="7A0E294D" w:rsidR="00826B95" w:rsidRPr="00B84F3F" w:rsidRDefault="001F611D" w:rsidP="002A0561">
      <w:pPr>
        <w:pStyle w:val="NormalWeb"/>
        <w:spacing w:before="0" w:beforeAutospacing="0" w:after="0" w:afterAutospacing="0"/>
        <w:ind w:left="1276" w:right="1132"/>
        <w:jc w:val="both"/>
        <w:rPr>
          <w:rFonts w:ascii="Arial" w:hAnsi="Arial" w:cs="Arial"/>
          <w:bCs/>
          <w:kern w:val="24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826B95" w:rsidRPr="00B84F3F">
        <w:rPr>
          <w:rFonts w:ascii="Arial" w:hAnsi="Arial" w:cs="Arial"/>
          <w:bCs/>
          <w:sz w:val="16"/>
          <w:szCs w:val="16"/>
        </w:rPr>
        <w:t>2021 por clase de actividad</w:t>
      </w:r>
      <w:r w:rsidR="00181987" w:rsidRPr="00B84F3F">
        <w:rPr>
          <w:rFonts w:ascii="Arial" w:hAnsi="Arial" w:cs="Arial"/>
          <w:bCs/>
          <w:sz w:val="16"/>
          <w:szCs w:val="16"/>
        </w:rPr>
        <w:t xml:space="preserve"> </w:t>
      </w:r>
      <w:r w:rsidR="00826B95" w:rsidRPr="00B84F3F">
        <w:rPr>
          <w:rFonts w:ascii="Arial" w:hAnsi="Arial" w:cs="Arial"/>
          <w:bCs/>
          <w:sz w:val="16"/>
          <w:szCs w:val="16"/>
        </w:rPr>
        <w:t>económica</w:t>
      </w:r>
      <w:r w:rsidR="00181987" w:rsidRPr="00B84F3F">
        <w:rPr>
          <w:rFonts w:ascii="Arial" w:hAnsi="Arial" w:cs="Arial"/>
          <w:bCs/>
          <w:sz w:val="16"/>
          <w:szCs w:val="16"/>
        </w:rPr>
        <w:t xml:space="preserve"> </w:t>
      </w:r>
      <w:r w:rsidR="00826B95" w:rsidRPr="00B84F3F">
        <w:rPr>
          <w:rFonts w:ascii="Arial" w:hAnsi="Arial" w:cs="Arial"/>
          <w:bCs/>
          <w:sz w:val="16"/>
          <w:szCs w:val="16"/>
        </w:rPr>
        <w:t>para cada año.</w:t>
      </w:r>
    </w:p>
    <w:p w14:paraId="0E79443D" w14:textId="168AD4ED" w:rsidR="00D81820" w:rsidRDefault="004105CA" w:rsidP="001F611D">
      <w:pPr>
        <w:pStyle w:val="NormalWeb"/>
        <w:spacing w:before="0" w:beforeAutospacing="0" w:after="0" w:afterAutospacing="0"/>
        <w:ind w:left="1276" w:right="1132"/>
        <w:jc w:val="both"/>
        <w:rPr>
          <w:rFonts w:ascii="Arial" w:hAnsi="Arial" w:cs="Arial"/>
          <w:bCs/>
          <w:kern w:val="24"/>
          <w:sz w:val="16"/>
          <w:szCs w:val="16"/>
        </w:rPr>
      </w:pPr>
      <w:r w:rsidRPr="00B84F3F">
        <w:rPr>
          <w:rFonts w:ascii="Arial" w:hAnsi="Arial" w:cs="Arial"/>
          <w:bCs/>
          <w:noProof/>
          <w:kern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F6A78" wp14:editId="73026076">
                <wp:simplePos x="0" y="0"/>
                <wp:positionH relativeFrom="margin">
                  <wp:posOffset>813379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0" b="0"/>
                <wp:wrapNone/>
                <wp:docPr id="940793552" name="Triángulo isósce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8971C9" id="Triángulo isósceles 6" o:spid="_x0000_s1026" type="#_x0000_t5" style="position:absolute;margin-left:64.05pt;margin-top:.7pt;width:6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" fillcolor="#00b050" stroked="f" strokeweight="1pt">
                <w10:wrap anchorx="margin"/>
              </v:shape>
            </w:pict>
          </mc:Fallback>
        </mc:AlternateContent>
      </w:r>
      <w:r w:rsidR="001F611D">
        <w:rPr>
          <w:rFonts w:ascii="Arial" w:hAnsi="Arial" w:cs="Arial"/>
          <w:bCs/>
          <w:kern w:val="24"/>
          <w:sz w:val="16"/>
          <w:szCs w:val="16"/>
        </w:rPr>
        <w:t xml:space="preserve">             </w:t>
      </w:r>
      <w:r w:rsidRPr="00B84F3F">
        <w:rPr>
          <w:rFonts w:ascii="Arial" w:hAnsi="Arial" w:cs="Arial"/>
          <w:bCs/>
          <w:kern w:val="24"/>
          <w:sz w:val="16"/>
          <w:szCs w:val="16"/>
        </w:rPr>
        <w:t>Cambio positivo estadísticamente significativo.</w:t>
      </w:r>
    </w:p>
    <w:p w14:paraId="45A6B8B0" w14:textId="3D6183D8" w:rsidR="001F611D" w:rsidRPr="00B364EE" w:rsidRDefault="001F611D" w:rsidP="002A0561">
      <w:pPr>
        <w:spacing w:after="0" w:line="240" w:lineRule="auto"/>
        <w:ind w:left="1701" w:right="1699" w:hanging="425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EB2142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338B0C3E" w14:textId="77777777" w:rsidR="000C09DA" w:rsidRDefault="000C09DA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CE27AA" w14:textId="1C6203C8" w:rsidR="009E0467" w:rsidRPr="00B84F3F" w:rsidRDefault="008A4985" w:rsidP="009E0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puede apreciar en la gráfica 19</w:t>
      </w:r>
      <w:r w:rsidR="000E0AA7">
        <w:rPr>
          <w:rFonts w:ascii="Arial" w:hAnsi="Arial" w:cs="Arial"/>
          <w:sz w:val="24"/>
          <w:szCs w:val="24"/>
        </w:rPr>
        <w:t>, p</w:t>
      </w:r>
      <w:r w:rsidR="004105CA" w:rsidRPr="00B84F3F">
        <w:rPr>
          <w:rFonts w:ascii="Arial" w:hAnsi="Arial" w:cs="Arial"/>
          <w:sz w:val="24"/>
          <w:szCs w:val="24"/>
        </w:rPr>
        <w:t xml:space="preserve">ara 2021, las empresas </w:t>
      </w:r>
      <w:r w:rsidR="00B2613A" w:rsidRPr="00B84F3F">
        <w:rPr>
          <w:rFonts w:ascii="Arial" w:hAnsi="Arial" w:cs="Arial"/>
          <w:sz w:val="24"/>
          <w:szCs w:val="24"/>
        </w:rPr>
        <w:t xml:space="preserve">que realizaron </w:t>
      </w:r>
      <w:r w:rsidR="00104D30" w:rsidRPr="00104D30">
        <w:rPr>
          <w:rFonts w:ascii="Arial" w:hAnsi="Arial" w:cs="Arial"/>
          <w:smallCaps/>
          <w:sz w:val="24"/>
          <w:szCs w:val="24"/>
        </w:rPr>
        <w:t>cis</w:t>
      </w:r>
      <w:r w:rsidR="00B2613A" w:rsidRPr="00B84F3F">
        <w:rPr>
          <w:rFonts w:ascii="Arial" w:hAnsi="Arial" w:cs="Arial"/>
          <w:sz w:val="24"/>
          <w:szCs w:val="24"/>
        </w:rPr>
        <w:t xml:space="preserve"> </w:t>
      </w:r>
      <w:r w:rsidR="00BE1966" w:rsidRPr="00B84F3F">
        <w:rPr>
          <w:rFonts w:ascii="Arial" w:hAnsi="Arial" w:cs="Arial"/>
          <w:sz w:val="24"/>
          <w:szCs w:val="24"/>
        </w:rPr>
        <w:t>reportaron</w:t>
      </w:r>
      <w:r w:rsidR="004105CA" w:rsidRPr="00B84F3F">
        <w:rPr>
          <w:rFonts w:ascii="Arial" w:hAnsi="Arial" w:cs="Arial"/>
          <w:sz w:val="24"/>
          <w:szCs w:val="24"/>
        </w:rPr>
        <w:t xml:space="preserve"> gastos </w:t>
      </w:r>
      <w:r w:rsidR="00B2613A" w:rsidRPr="00B84F3F">
        <w:rPr>
          <w:rFonts w:ascii="Arial" w:hAnsi="Arial" w:cs="Arial"/>
          <w:sz w:val="24"/>
          <w:szCs w:val="24"/>
        </w:rPr>
        <w:t xml:space="preserve">a precios constantes </w:t>
      </w:r>
      <w:r w:rsidR="004105CA" w:rsidRPr="00B84F3F">
        <w:rPr>
          <w:rFonts w:ascii="Arial" w:hAnsi="Arial" w:cs="Arial"/>
          <w:sz w:val="24"/>
          <w:szCs w:val="24"/>
        </w:rPr>
        <w:t>por</w:t>
      </w:r>
      <w:r w:rsidR="000D48BE">
        <w:rPr>
          <w:rFonts w:ascii="Arial" w:hAnsi="Arial" w:cs="Arial"/>
          <w:sz w:val="24"/>
          <w:szCs w:val="24"/>
        </w:rPr>
        <w:t xml:space="preserve"> </w:t>
      </w:r>
      <w:r w:rsidR="004105CA" w:rsidRPr="00B84F3F">
        <w:rPr>
          <w:rFonts w:ascii="Arial" w:hAnsi="Arial" w:cs="Arial"/>
          <w:sz w:val="24"/>
          <w:szCs w:val="24"/>
        </w:rPr>
        <w:t>222</w:t>
      </w:r>
      <w:r w:rsidR="00104D30">
        <w:rPr>
          <w:rFonts w:ascii="Arial" w:hAnsi="Arial" w:cs="Arial"/>
          <w:sz w:val="24"/>
          <w:szCs w:val="24"/>
        </w:rPr>
        <w:t xml:space="preserve"> </w:t>
      </w:r>
      <w:r w:rsidR="004105CA" w:rsidRPr="00B84F3F">
        <w:rPr>
          <w:rFonts w:ascii="Arial" w:hAnsi="Arial" w:cs="Arial"/>
          <w:sz w:val="24"/>
          <w:szCs w:val="24"/>
        </w:rPr>
        <w:t xml:space="preserve">717.6 </w:t>
      </w:r>
      <w:r w:rsidR="00104D30" w:rsidRPr="00104D30">
        <w:rPr>
          <w:rFonts w:ascii="Arial" w:hAnsi="Arial" w:cs="Arial"/>
          <w:smallCaps/>
          <w:sz w:val="24"/>
          <w:szCs w:val="24"/>
        </w:rPr>
        <w:t>mdp</w:t>
      </w:r>
      <w:r w:rsidR="004105CA" w:rsidRPr="00B84F3F">
        <w:rPr>
          <w:rFonts w:ascii="Arial" w:hAnsi="Arial" w:cs="Arial"/>
          <w:sz w:val="24"/>
          <w:szCs w:val="24"/>
        </w:rPr>
        <w:t>, de los cuales 68.9 %</w:t>
      </w:r>
      <w:r w:rsidR="004A693D">
        <w:rPr>
          <w:rFonts w:ascii="Arial" w:hAnsi="Arial" w:cs="Arial"/>
          <w:sz w:val="24"/>
          <w:szCs w:val="24"/>
        </w:rPr>
        <w:t xml:space="preserve"> correspondió a servicios efectuados a través del modo </w:t>
      </w:r>
      <w:r w:rsidR="00EB2142">
        <w:rPr>
          <w:rFonts w:ascii="Arial" w:hAnsi="Arial" w:cs="Arial"/>
          <w:sz w:val="24"/>
          <w:szCs w:val="24"/>
        </w:rPr>
        <w:t>«</w:t>
      </w:r>
      <w:r w:rsidR="004A693D" w:rsidRPr="00B84F3F">
        <w:rPr>
          <w:rFonts w:ascii="Arial" w:hAnsi="Arial" w:cs="Arial"/>
          <w:sz w:val="24"/>
          <w:szCs w:val="24"/>
        </w:rPr>
        <w:t>transfronterizo/ medios digitales</w:t>
      </w:r>
      <w:r w:rsidR="004A693D">
        <w:rPr>
          <w:rFonts w:ascii="Arial" w:hAnsi="Arial" w:cs="Arial"/>
          <w:sz w:val="24"/>
          <w:szCs w:val="24"/>
        </w:rPr>
        <w:t>».</w:t>
      </w:r>
      <w:r w:rsidR="009E0467">
        <w:rPr>
          <w:rFonts w:ascii="Arial" w:hAnsi="Arial" w:cs="Arial"/>
          <w:sz w:val="24"/>
          <w:szCs w:val="24"/>
        </w:rPr>
        <w:t xml:space="preserve"> Este </w:t>
      </w:r>
      <w:r w:rsidR="009E0467" w:rsidRPr="00B84F3F">
        <w:rPr>
          <w:rFonts w:ascii="Arial" w:hAnsi="Arial" w:cs="Arial"/>
          <w:sz w:val="24"/>
          <w:szCs w:val="24"/>
        </w:rPr>
        <w:t>aument</w:t>
      </w:r>
      <w:r w:rsidR="009E0467">
        <w:rPr>
          <w:rFonts w:ascii="Arial" w:hAnsi="Arial" w:cs="Arial"/>
          <w:sz w:val="24"/>
          <w:szCs w:val="24"/>
        </w:rPr>
        <w:t xml:space="preserve">ó </w:t>
      </w:r>
      <w:r w:rsidR="009E0467" w:rsidRPr="00B84F3F">
        <w:rPr>
          <w:rFonts w:ascii="Arial" w:hAnsi="Arial" w:cs="Arial"/>
          <w:sz w:val="24"/>
          <w:szCs w:val="24"/>
        </w:rPr>
        <w:t>10.3 puntos porcentuales respecto de 2020</w:t>
      </w:r>
      <w:r w:rsidR="009E0467">
        <w:rPr>
          <w:rFonts w:ascii="Arial" w:hAnsi="Arial" w:cs="Arial"/>
          <w:sz w:val="24"/>
          <w:szCs w:val="24"/>
        </w:rPr>
        <w:t xml:space="preserve">. Un </w:t>
      </w:r>
      <w:r w:rsidR="009E0467" w:rsidRPr="00B84F3F">
        <w:rPr>
          <w:rFonts w:ascii="Arial" w:hAnsi="Arial" w:cs="Arial"/>
          <w:sz w:val="24"/>
          <w:szCs w:val="24"/>
        </w:rPr>
        <w:t xml:space="preserve">22.3 % fue por </w:t>
      </w:r>
      <w:r w:rsidR="009E0467">
        <w:rPr>
          <w:rFonts w:ascii="Arial" w:hAnsi="Arial" w:cs="Arial"/>
          <w:sz w:val="24"/>
          <w:szCs w:val="24"/>
        </w:rPr>
        <w:t>«</w:t>
      </w:r>
      <w:r w:rsidR="009E0467" w:rsidRPr="00B84F3F">
        <w:rPr>
          <w:rFonts w:ascii="Arial" w:hAnsi="Arial" w:cs="Arial"/>
          <w:sz w:val="24"/>
          <w:szCs w:val="24"/>
        </w:rPr>
        <w:t>traslado de mercancía</w:t>
      </w:r>
      <w:r w:rsidR="009E0467">
        <w:rPr>
          <w:rFonts w:ascii="Arial" w:hAnsi="Arial" w:cs="Arial"/>
          <w:sz w:val="24"/>
          <w:szCs w:val="24"/>
        </w:rPr>
        <w:t>»:</w:t>
      </w:r>
      <w:r w:rsidR="009E0467" w:rsidRPr="00B84F3F">
        <w:rPr>
          <w:rFonts w:ascii="Arial" w:hAnsi="Arial" w:cs="Arial"/>
          <w:sz w:val="24"/>
          <w:szCs w:val="24"/>
        </w:rPr>
        <w:t xml:space="preserve"> 7.6 puntos porcentuales menos que el año anterior y 8.8 %</w:t>
      </w:r>
      <w:r w:rsidR="009E0467">
        <w:rPr>
          <w:rFonts w:ascii="Arial" w:hAnsi="Arial" w:cs="Arial"/>
          <w:sz w:val="24"/>
          <w:szCs w:val="24"/>
        </w:rPr>
        <w:t>,</w:t>
      </w:r>
      <w:r w:rsidR="009E0467" w:rsidRPr="00B84F3F">
        <w:rPr>
          <w:rFonts w:ascii="Arial" w:hAnsi="Arial" w:cs="Arial"/>
          <w:sz w:val="24"/>
          <w:szCs w:val="24"/>
        </w:rPr>
        <w:t xml:space="preserve"> por </w:t>
      </w:r>
      <w:r w:rsidR="009E0467">
        <w:rPr>
          <w:rFonts w:ascii="Arial" w:hAnsi="Arial" w:cs="Arial"/>
          <w:sz w:val="24"/>
          <w:szCs w:val="24"/>
        </w:rPr>
        <w:t>«</w:t>
      </w:r>
      <w:r w:rsidR="009E0467" w:rsidRPr="00B84F3F">
        <w:rPr>
          <w:rFonts w:ascii="Arial" w:hAnsi="Arial" w:cs="Arial"/>
          <w:sz w:val="24"/>
          <w:szCs w:val="24"/>
        </w:rPr>
        <w:t>envío o recepción de personal</w:t>
      </w:r>
      <w:r w:rsidR="009E0467">
        <w:rPr>
          <w:rFonts w:ascii="Arial" w:hAnsi="Arial" w:cs="Arial"/>
          <w:sz w:val="24"/>
          <w:szCs w:val="24"/>
        </w:rPr>
        <w:t>»:</w:t>
      </w:r>
      <w:r w:rsidR="009E0467" w:rsidRPr="00B84F3F">
        <w:rPr>
          <w:rFonts w:ascii="Arial" w:hAnsi="Arial" w:cs="Arial"/>
          <w:sz w:val="24"/>
          <w:szCs w:val="24"/>
        </w:rPr>
        <w:t xml:space="preserve"> disminuy</w:t>
      </w:r>
      <w:r w:rsidR="009E0467">
        <w:rPr>
          <w:rFonts w:ascii="Arial" w:hAnsi="Arial" w:cs="Arial"/>
          <w:sz w:val="24"/>
          <w:szCs w:val="24"/>
        </w:rPr>
        <w:t>ó</w:t>
      </w:r>
      <w:r w:rsidR="009E0467" w:rsidRPr="00B84F3F">
        <w:rPr>
          <w:rFonts w:ascii="Arial" w:hAnsi="Arial" w:cs="Arial"/>
          <w:sz w:val="24"/>
          <w:szCs w:val="24"/>
        </w:rPr>
        <w:t xml:space="preserve"> 2.7 puntos porcentuales de 2020 a 2021</w:t>
      </w:r>
      <w:r w:rsidR="009E0467">
        <w:rPr>
          <w:rFonts w:ascii="Arial" w:hAnsi="Arial" w:cs="Arial"/>
          <w:sz w:val="24"/>
          <w:szCs w:val="24"/>
        </w:rPr>
        <w:t xml:space="preserve"> (</w:t>
      </w:r>
      <w:r w:rsidR="009E0467">
        <w:rPr>
          <w:rFonts w:ascii="Arial" w:eastAsia="Times New Roman" w:hAnsi="Arial" w:cs="Arial"/>
          <w:bCs/>
          <w:kern w:val="24"/>
          <w:sz w:val="24"/>
          <w:szCs w:val="24"/>
          <w:lang w:eastAsia="es-MX"/>
        </w:rPr>
        <w:t>ver</w:t>
      </w:r>
      <w:r w:rsidR="009E0467" w:rsidRPr="009A40B1">
        <w:rPr>
          <w:rFonts w:ascii="Arial" w:eastAsia="Times New Roman" w:hAnsi="Arial" w:cs="Arial"/>
          <w:bCs/>
          <w:kern w:val="24"/>
          <w:sz w:val="24"/>
          <w:szCs w:val="24"/>
          <w:lang w:eastAsia="es-MX"/>
        </w:rPr>
        <w:t xml:space="preserve"> gráfica 19</w:t>
      </w:r>
      <w:r w:rsidR="009E0467">
        <w:rPr>
          <w:rFonts w:ascii="Arial" w:eastAsia="Times New Roman" w:hAnsi="Arial" w:cs="Arial"/>
          <w:bCs/>
          <w:kern w:val="24"/>
          <w:sz w:val="24"/>
          <w:szCs w:val="24"/>
          <w:lang w:eastAsia="es-MX"/>
        </w:rPr>
        <w:t>).</w:t>
      </w:r>
      <w:r w:rsidR="009E0467" w:rsidRPr="00B84F3F">
        <w:rPr>
          <w:rFonts w:ascii="Arial" w:hAnsi="Arial" w:cs="Arial"/>
          <w:sz w:val="24"/>
          <w:szCs w:val="24"/>
        </w:rPr>
        <w:t xml:space="preserve"> </w:t>
      </w:r>
    </w:p>
    <w:p w14:paraId="41F4BEAB" w14:textId="77777777" w:rsidR="006B6DCE" w:rsidRDefault="006B6DCE" w:rsidP="002A0561">
      <w:pPr>
        <w:spacing w:after="0" w:line="240" w:lineRule="auto"/>
        <w:jc w:val="both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2AAB2DB1" w14:textId="03006A25" w:rsidR="00584831" w:rsidRPr="008D2788" w:rsidRDefault="004105CA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8D2788">
        <w:rPr>
          <w:rFonts w:ascii="Arial" w:hAnsi="Arial" w:cs="Arial"/>
          <w:bCs/>
          <w:sz w:val="20"/>
          <w:szCs w:val="20"/>
        </w:rPr>
        <w:t xml:space="preserve">Gráfica </w:t>
      </w:r>
      <w:r w:rsidR="009E630C" w:rsidRPr="008D2788">
        <w:rPr>
          <w:rFonts w:ascii="Arial" w:hAnsi="Arial" w:cs="Arial"/>
          <w:bCs/>
          <w:sz w:val="20"/>
          <w:szCs w:val="20"/>
        </w:rPr>
        <w:t>19</w:t>
      </w:r>
    </w:p>
    <w:p w14:paraId="371E21FF" w14:textId="2A0C2A60" w:rsidR="00104D30" w:rsidRDefault="00812173" w:rsidP="00104D30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Partici</w:t>
      </w:r>
      <w:r w:rsidR="000951BA">
        <w:rPr>
          <w:rFonts w:ascii="Arial" w:hAnsi="Arial" w:cs="Arial"/>
          <w:b/>
          <w:bCs/>
          <w:smallCaps/>
        </w:rPr>
        <w:t>p</w:t>
      </w:r>
      <w:r>
        <w:rPr>
          <w:rFonts w:ascii="Arial" w:hAnsi="Arial" w:cs="Arial"/>
          <w:b/>
          <w:bCs/>
          <w:smallCaps/>
        </w:rPr>
        <w:t>ación de los g</w:t>
      </w:r>
      <w:r w:rsidR="004105CA" w:rsidRPr="008D2788">
        <w:rPr>
          <w:rFonts w:ascii="Arial" w:hAnsi="Arial" w:cs="Arial"/>
          <w:b/>
          <w:bCs/>
          <w:smallCaps/>
        </w:rPr>
        <w:t xml:space="preserve">astos por el consumo de servicios del exterior, según modo de suministro </w:t>
      </w:r>
      <w:r w:rsidR="000951BA">
        <w:rPr>
          <w:rFonts w:ascii="Arial" w:hAnsi="Arial" w:cs="Arial"/>
          <w:b/>
          <w:bCs/>
          <w:smallCaps/>
        </w:rPr>
        <w:t>en 2020 y 2021</w:t>
      </w:r>
    </w:p>
    <w:p w14:paraId="38A4CDBD" w14:textId="32ED2DEC" w:rsidR="00357153" w:rsidRPr="008D2788" w:rsidRDefault="003F0448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8D2788">
        <w:rPr>
          <w:rFonts w:ascii="Arial" w:hAnsi="Arial" w:cs="Arial"/>
          <w:sz w:val="18"/>
          <w:szCs w:val="24"/>
        </w:rPr>
        <w:t>(</w:t>
      </w:r>
      <w:r w:rsidR="00104D30">
        <w:rPr>
          <w:rFonts w:ascii="Arial" w:hAnsi="Arial" w:cs="Arial"/>
          <w:sz w:val="18"/>
          <w:szCs w:val="24"/>
        </w:rPr>
        <w:t>p</w:t>
      </w:r>
      <w:r w:rsidRPr="008D2788">
        <w:rPr>
          <w:rFonts w:ascii="Arial" w:hAnsi="Arial" w:cs="Arial"/>
          <w:sz w:val="18"/>
          <w:szCs w:val="24"/>
        </w:rPr>
        <w:t>orcentaje)</w:t>
      </w:r>
    </w:p>
    <w:p w14:paraId="4848707E" w14:textId="6E170F77" w:rsidR="004105CA" w:rsidRPr="00572DB1" w:rsidRDefault="00A524C2" w:rsidP="002A0561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05B927C5" wp14:editId="3F7A9DA4">
            <wp:extent cx="4969069" cy="2246400"/>
            <wp:effectExtent l="0" t="0" r="3175" b="190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969069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0285D" w14:textId="32CB7C17" w:rsidR="00104D30" w:rsidRDefault="004105CA" w:rsidP="00104D30">
      <w:pPr>
        <w:pStyle w:val="NormalWeb"/>
        <w:spacing w:before="0" w:beforeAutospacing="0" w:after="0" w:afterAutospacing="0"/>
        <w:ind w:left="1701" w:right="1416" w:hanging="141"/>
        <w:jc w:val="both"/>
        <w:rPr>
          <w:rFonts w:ascii="Arial" w:hAnsi="Arial" w:cs="Arial"/>
          <w:bCs/>
          <w:sz w:val="16"/>
          <w:szCs w:val="16"/>
        </w:rPr>
      </w:pPr>
      <w:r w:rsidRPr="008D2788">
        <w:rPr>
          <w:rFonts w:ascii="Arial" w:hAnsi="Arial" w:cs="Arial"/>
          <w:bCs/>
          <w:sz w:val="16"/>
          <w:szCs w:val="16"/>
        </w:rPr>
        <w:t xml:space="preserve">Nota: </w:t>
      </w:r>
      <w:r w:rsidR="00104D30">
        <w:rPr>
          <w:rFonts w:ascii="Arial" w:hAnsi="Arial" w:cs="Arial"/>
          <w:bCs/>
          <w:sz w:val="16"/>
          <w:szCs w:val="16"/>
        </w:rPr>
        <w:t xml:space="preserve">   </w:t>
      </w:r>
      <w:r w:rsidR="00826B95" w:rsidRPr="008D2788">
        <w:rPr>
          <w:rFonts w:ascii="Arial" w:hAnsi="Arial" w:cs="Arial"/>
          <w:bCs/>
          <w:sz w:val="16"/>
          <w:szCs w:val="16"/>
        </w:rPr>
        <w:t xml:space="preserve">Porcentajes obtenidos respecto del total de gastos a precios constantes </w:t>
      </w:r>
      <w:r w:rsidR="00104D30" w:rsidRPr="00104D30">
        <w:rPr>
          <w:rFonts w:ascii="Arial" w:hAnsi="Arial" w:cs="Arial"/>
          <w:bCs/>
          <w:smallCaps/>
          <w:sz w:val="16"/>
          <w:szCs w:val="16"/>
        </w:rPr>
        <w:t>inpp</w:t>
      </w:r>
      <w:r w:rsidR="00826B95" w:rsidRPr="008D2788">
        <w:rPr>
          <w:rFonts w:ascii="Arial" w:hAnsi="Arial" w:cs="Arial"/>
          <w:bCs/>
          <w:sz w:val="16"/>
          <w:szCs w:val="16"/>
        </w:rPr>
        <w:t xml:space="preserve"> promedio </w:t>
      </w:r>
      <w:r w:rsidR="00104D30">
        <w:rPr>
          <w:rFonts w:ascii="Arial" w:hAnsi="Arial" w:cs="Arial"/>
          <w:bCs/>
          <w:sz w:val="16"/>
          <w:szCs w:val="16"/>
        </w:rPr>
        <w:t xml:space="preserve">  </w:t>
      </w:r>
    </w:p>
    <w:p w14:paraId="769B7C1A" w14:textId="2F94A3F9" w:rsidR="004105CA" w:rsidRDefault="00104D30" w:rsidP="00104D30">
      <w:pPr>
        <w:pStyle w:val="NormalWeb"/>
        <w:spacing w:before="0" w:beforeAutospacing="0" w:after="0" w:afterAutospacing="0"/>
        <w:ind w:left="1701" w:right="1416" w:hanging="141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826B95" w:rsidRPr="008D2788">
        <w:rPr>
          <w:rFonts w:ascii="Arial" w:hAnsi="Arial" w:cs="Arial"/>
          <w:bCs/>
          <w:sz w:val="16"/>
          <w:szCs w:val="16"/>
        </w:rPr>
        <w:t>anual 2021 por clase de actividad</w:t>
      </w:r>
      <w:r w:rsidR="00181987" w:rsidRPr="008D2788">
        <w:rPr>
          <w:rFonts w:ascii="Arial" w:hAnsi="Arial" w:cs="Arial"/>
          <w:bCs/>
          <w:sz w:val="16"/>
          <w:szCs w:val="16"/>
        </w:rPr>
        <w:t xml:space="preserve"> </w:t>
      </w:r>
      <w:r w:rsidR="00826B95" w:rsidRPr="008D2788">
        <w:rPr>
          <w:rFonts w:ascii="Arial" w:hAnsi="Arial" w:cs="Arial"/>
          <w:bCs/>
          <w:sz w:val="16"/>
          <w:szCs w:val="16"/>
        </w:rPr>
        <w:t>económica.</w:t>
      </w:r>
    </w:p>
    <w:p w14:paraId="664A1518" w14:textId="1E4420CE" w:rsidR="00104D30" w:rsidRPr="00B364EE" w:rsidRDefault="00104D30" w:rsidP="002A0561">
      <w:pPr>
        <w:spacing w:after="0" w:line="240" w:lineRule="auto"/>
        <w:ind w:left="1701" w:right="1699" w:hanging="141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EB2142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3C2582B5" w14:textId="77777777" w:rsidR="002B4BCC" w:rsidRPr="00A524C2" w:rsidRDefault="002B4BCC" w:rsidP="00104D30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bCs/>
          <w:kern w:val="24"/>
          <w:szCs w:val="16"/>
        </w:rPr>
      </w:pPr>
    </w:p>
    <w:p w14:paraId="34563A63" w14:textId="77777777" w:rsidR="00FF490A" w:rsidRDefault="004105CA" w:rsidP="00FF490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D2788">
        <w:rPr>
          <w:rFonts w:ascii="Arial" w:hAnsi="Arial" w:cs="Arial"/>
          <w:sz w:val="24"/>
          <w:szCs w:val="24"/>
        </w:rPr>
        <w:t xml:space="preserve">Los gastos totales </w:t>
      </w:r>
      <w:r w:rsidR="00B2613A" w:rsidRPr="008D2788">
        <w:rPr>
          <w:rFonts w:ascii="Arial" w:hAnsi="Arial" w:cs="Arial"/>
          <w:sz w:val="24"/>
          <w:szCs w:val="24"/>
        </w:rPr>
        <w:t xml:space="preserve">a precios constantes </w:t>
      </w:r>
      <w:r w:rsidRPr="008D2788">
        <w:rPr>
          <w:rFonts w:ascii="Arial" w:hAnsi="Arial" w:cs="Arial"/>
          <w:sz w:val="24"/>
          <w:szCs w:val="24"/>
        </w:rPr>
        <w:t>reportados por las empresas para 2021 se obtuvieron de la siguiente manera</w:t>
      </w:r>
      <w:r w:rsidR="00104D30">
        <w:rPr>
          <w:rFonts w:ascii="Arial" w:hAnsi="Arial" w:cs="Arial"/>
          <w:sz w:val="24"/>
          <w:szCs w:val="24"/>
        </w:rPr>
        <w:t xml:space="preserve">: </w:t>
      </w:r>
      <w:r w:rsidR="00F95F2D">
        <w:rPr>
          <w:rFonts w:ascii="Arial" w:hAnsi="Arial" w:cs="Arial"/>
          <w:sz w:val="24"/>
          <w:szCs w:val="24"/>
        </w:rPr>
        <w:t>d</w:t>
      </w:r>
      <w:r w:rsidRPr="008D2788">
        <w:rPr>
          <w:rFonts w:ascii="Arial" w:hAnsi="Arial" w:cs="Arial"/>
          <w:sz w:val="24"/>
          <w:szCs w:val="24"/>
        </w:rPr>
        <w:t xml:space="preserve">el monto correspondiente a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servicios de mantenimiento y reparación</w:t>
      </w:r>
      <w:r w:rsidR="00DA26A9">
        <w:rPr>
          <w:rFonts w:ascii="Arial" w:hAnsi="Arial" w:cs="Arial"/>
          <w:sz w:val="24"/>
          <w:szCs w:val="24"/>
        </w:rPr>
        <w:t>»</w:t>
      </w:r>
      <w:r w:rsidRPr="008D2788">
        <w:rPr>
          <w:rFonts w:ascii="Arial" w:hAnsi="Arial" w:cs="Arial"/>
          <w:sz w:val="24"/>
          <w:szCs w:val="24"/>
        </w:rPr>
        <w:t xml:space="preserve">, 60.3 % se </w:t>
      </w:r>
      <w:r w:rsidR="00880070" w:rsidRPr="008D2788">
        <w:rPr>
          <w:rFonts w:ascii="Arial" w:hAnsi="Arial" w:cs="Arial"/>
          <w:sz w:val="24"/>
          <w:szCs w:val="24"/>
        </w:rPr>
        <w:t>efectuó</w:t>
      </w:r>
      <w:r w:rsidRPr="008D2788">
        <w:rPr>
          <w:rFonts w:ascii="Arial" w:hAnsi="Arial" w:cs="Arial"/>
          <w:sz w:val="24"/>
          <w:szCs w:val="24"/>
        </w:rPr>
        <w:t xml:space="preserve"> mediante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traslado de mercancía</w:t>
      </w:r>
      <w:r w:rsidR="00DA26A9">
        <w:rPr>
          <w:rFonts w:ascii="Arial" w:hAnsi="Arial" w:cs="Arial"/>
          <w:sz w:val="24"/>
          <w:szCs w:val="24"/>
        </w:rPr>
        <w:t>»</w:t>
      </w:r>
      <w:r w:rsidRPr="008D2788">
        <w:rPr>
          <w:rFonts w:ascii="Arial" w:hAnsi="Arial" w:cs="Arial"/>
          <w:sz w:val="24"/>
          <w:szCs w:val="24"/>
        </w:rPr>
        <w:t xml:space="preserve"> y 39.7 %</w:t>
      </w:r>
      <w:r w:rsidR="00104D30">
        <w:rPr>
          <w:rFonts w:ascii="Arial" w:hAnsi="Arial" w:cs="Arial"/>
          <w:sz w:val="24"/>
          <w:szCs w:val="24"/>
        </w:rPr>
        <w:t>,</w:t>
      </w:r>
      <w:r w:rsidRPr="008D2788">
        <w:rPr>
          <w:rFonts w:ascii="Arial" w:hAnsi="Arial" w:cs="Arial"/>
          <w:sz w:val="24"/>
          <w:szCs w:val="24"/>
        </w:rPr>
        <w:t xml:space="preserve"> a través del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envío o recepción de personal</w:t>
      </w:r>
      <w:r w:rsidR="00DA26A9">
        <w:rPr>
          <w:rFonts w:ascii="Arial" w:hAnsi="Arial" w:cs="Arial"/>
          <w:sz w:val="24"/>
          <w:szCs w:val="24"/>
        </w:rPr>
        <w:t>»</w:t>
      </w:r>
      <w:r w:rsidR="00F95F2D">
        <w:rPr>
          <w:rFonts w:ascii="Arial" w:hAnsi="Arial" w:cs="Arial"/>
          <w:sz w:val="24"/>
          <w:szCs w:val="24"/>
        </w:rPr>
        <w:t>. P</w:t>
      </w:r>
      <w:r w:rsidRPr="008D2788">
        <w:rPr>
          <w:rFonts w:ascii="Arial" w:hAnsi="Arial" w:cs="Arial"/>
          <w:sz w:val="24"/>
          <w:szCs w:val="24"/>
        </w:rPr>
        <w:t xml:space="preserve">ara los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servicios de telecomunicaciones, informática e información</w:t>
      </w:r>
      <w:r w:rsidR="00DA26A9">
        <w:rPr>
          <w:rFonts w:ascii="Arial" w:hAnsi="Arial" w:cs="Arial"/>
          <w:sz w:val="24"/>
          <w:szCs w:val="24"/>
        </w:rPr>
        <w:t>»</w:t>
      </w:r>
      <w:r w:rsidRPr="008D2788">
        <w:rPr>
          <w:rFonts w:ascii="Arial" w:hAnsi="Arial" w:cs="Arial"/>
          <w:sz w:val="24"/>
          <w:szCs w:val="24"/>
        </w:rPr>
        <w:t xml:space="preserve">, 82.8 % se </w:t>
      </w:r>
      <w:r w:rsidR="00880070" w:rsidRPr="008D2788">
        <w:rPr>
          <w:rFonts w:ascii="Arial" w:hAnsi="Arial" w:cs="Arial"/>
          <w:sz w:val="24"/>
          <w:szCs w:val="24"/>
        </w:rPr>
        <w:t>llevó</w:t>
      </w:r>
      <w:r w:rsidRPr="008D2788">
        <w:rPr>
          <w:rFonts w:ascii="Arial" w:hAnsi="Arial" w:cs="Arial"/>
          <w:sz w:val="24"/>
          <w:szCs w:val="24"/>
        </w:rPr>
        <w:t xml:space="preserve"> a cabo por </w:t>
      </w:r>
      <w:r w:rsidR="00F95F2D">
        <w:rPr>
          <w:rFonts w:ascii="Arial" w:hAnsi="Arial" w:cs="Arial"/>
          <w:sz w:val="24"/>
          <w:szCs w:val="24"/>
        </w:rPr>
        <w:t xml:space="preserve">modo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transfronterizo/ medios digitales</w:t>
      </w:r>
      <w:r w:rsidR="00DA26A9">
        <w:rPr>
          <w:rFonts w:ascii="Arial" w:hAnsi="Arial" w:cs="Arial"/>
          <w:sz w:val="24"/>
          <w:szCs w:val="24"/>
        </w:rPr>
        <w:t>»</w:t>
      </w:r>
      <w:r w:rsidRPr="008D2788">
        <w:rPr>
          <w:rFonts w:ascii="Arial" w:hAnsi="Arial" w:cs="Arial"/>
          <w:sz w:val="24"/>
          <w:szCs w:val="24"/>
        </w:rPr>
        <w:t xml:space="preserve"> y 17.2 %</w:t>
      </w:r>
      <w:r w:rsidR="00104D30">
        <w:rPr>
          <w:rFonts w:ascii="Arial" w:hAnsi="Arial" w:cs="Arial"/>
          <w:sz w:val="24"/>
          <w:szCs w:val="24"/>
        </w:rPr>
        <w:t>,</w:t>
      </w:r>
      <w:r w:rsidRPr="008D2788">
        <w:rPr>
          <w:rFonts w:ascii="Arial" w:hAnsi="Arial" w:cs="Arial"/>
          <w:sz w:val="24"/>
          <w:szCs w:val="24"/>
        </w:rPr>
        <w:t xml:space="preserve"> por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envío o recepción de personal</w:t>
      </w:r>
      <w:r w:rsidR="00DA26A9">
        <w:rPr>
          <w:rFonts w:ascii="Arial" w:hAnsi="Arial" w:cs="Arial"/>
          <w:sz w:val="24"/>
          <w:szCs w:val="24"/>
        </w:rPr>
        <w:t>»</w:t>
      </w:r>
      <w:r w:rsidR="00F95F2D">
        <w:rPr>
          <w:rFonts w:ascii="Arial" w:hAnsi="Arial" w:cs="Arial"/>
          <w:sz w:val="24"/>
          <w:szCs w:val="24"/>
        </w:rPr>
        <w:t>. D</w:t>
      </w:r>
      <w:r w:rsidRPr="008D2788">
        <w:rPr>
          <w:rFonts w:ascii="Arial" w:hAnsi="Arial" w:cs="Arial"/>
          <w:sz w:val="24"/>
          <w:szCs w:val="24"/>
        </w:rPr>
        <w:t xml:space="preserve">e los ingresos por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otros servicios empresariales</w:t>
      </w:r>
      <w:r w:rsidR="00DA26A9">
        <w:rPr>
          <w:rFonts w:ascii="Arial" w:hAnsi="Arial" w:cs="Arial"/>
          <w:sz w:val="24"/>
          <w:szCs w:val="24"/>
        </w:rPr>
        <w:t>»</w:t>
      </w:r>
      <w:r w:rsidRPr="008D2788">
        <w:rPr>
          <w:rFonts w:ascii="Arial" w:hAnsi="Arial" w:cs="Arial"/>
          <w:sz w:val="24"/>
          <w:szCs w:val="24"/>
        </w:rPr>
        <w:t xml:space="preserve">, 76.4 % se </w:t>
      </w:r>
      <w:r w:rsidR="00880070" w:rsidRPr="008D2788">
        <w:rPr>
          <w:rFonts w:ascii="Arial" w:hAnsi="Arial" w:cs="Arial"/>
          <w:sz w:val="24"/>
          <w:szCs w:val="24"/>
        </w:rPr>
        <w:t>llevó</w:t>
      </w:r>
      <w:r w:rsidRPr="008D2788">
        <w:rPr>
          <w:rFonts w:ascii="Arial" w:hAnsi="Arial" w:cs="Arial"/>
          <w:sz w:val="24"/>
          <w:szCs w:val="24"/>
        </w:rPr>
        <w:t xml:space="preserve"> a cabo por</w:t>
      </w:r>
      <w:r w:rsidR="00F95F2D">
        <w:rPr>
          <w:rFonts w:ascii="Arial" w:hAnsi="Arial" w:cs="Arial"/>
          <w:sz w:val="24"/>
          <w:szCs w:val="24"/>
        </w:rPr>
        <w:t xml:space="preserve"> modo</w:t>
      </w:r>
      <w:r w:rsidRPr="008D2788">
        <w:rPr>
          <w:rFonts w:ascii="Arial" w:hAnsi="Arial" w:cs="Arial"/>
          <w:sz w:val="24"/>
          <w:szCs w:val="24"/>
        </w:rPr>
        <w:t xml:space="preserve">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transfronterizo/ medios digitales</w:t>
      </w:r>
      <w:r w:rsidR="00DA26A9">
        <w:rPr>
          <w:rFonts w:ascii="Arial" w:hAnsi="Arial" w:cs="Arial"/>
          <w:sz w:val="24"/>
          <w:szCs w:val="24"/>
        </w:rPr>
        <w:t>»</w:t>
      </w:r>
      <w:r w:rsidRPr="008D2788">
        <w:rPr>
          <w:rFonts w:ascii="Arial" w:hAnsi="Arial" w:cs="Arial"/>
          <w:sz w:val="24"/>
          <w:szCs w:val="24"/>
        </w:rPr>
        <w:t xml:space="preserve"> y 23.6 %</w:t>
      </w:r>
      <w:r w:rsidR="00104D30">
        <w:rPr>
          <w:rFonts w:ascii="Arial" w:hAnsi="Arial" w:cs="Arial"/>
          <w:sz w:val="24"/>
          <w:szCs w:val="24"/>
        </w:rPr>
        <w:t>,</w:t>
      </w:r>
      <w:r w:rsidRPr="008D2788">
        <w:rPr>
          <w:rFonts w:ascii="Arial" w:hAnsi="Arial" w:cs="Arial"/>
          <w:sz w:val="24"/>
          <w:szCs w:val="24"/>
        </w:rPr>
        <w:t xml:space="preserve"> por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envío o recepción de personal</w:t>
      </w:r>
      <w:r w:rsidR="00DA26A9">
        <w:rPr>
          <w:rFonts w:ascii="Arial" w:hAnsi="Arial" w:cs="Arial"/>
          <w:sz w:val="24"/>
          <w:szCs w:val="24"/>
        </w:rPr>
        <w:t>»</w:t>
      </w:r>
      <w:r w:rsidR="00F95F2D">
        <w:rPr>
          <w:rFonts w:ascii="Arial" w:hAnsi="Arial" w:cs="Arial"/>
          <w:sz w:val="24"/>
          <w:szCs w:val="24"/>
        </w:rPr>
        <w:t>. P</w:t>
      </w:r>
      <w:r w:rsidRPr="008D2788">
        <w:rPr>
          <w:rFonts w:ascii="Arial" w:hAnsi="Arial" w:cs="Arial"/>
          <w:sz w:val="24"/>
          <w:szCs w:val="24"/>
        </w:rPr>
        <w:t xml:space="preserve">or último, más de la mitad de los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servicios personales, culturales y recreativos</w:t>
      </w:r>
      <w:r w:rsidR="00DA26A9">
        <w:rPr>
          <w:rFonts w:ascii="Arial" w:hAnsi="Arial" w:cs="Arial"/>
          <w:sz w:val="24"/>
          <w:szCs w:val="24"/>
        </w:rPr>
        <w:t>»</w:t>
      </w:r>
      <w:r w:rsidRPr="008D2788">
        <w:rPr>
          <w:rFonts w:ascii="Arial" w:hAnsi="Arial" w:cs="Arial"/>
          <w:sz w:val="24"/>
          <w:szCs w:val="24"/>
        </w:rPr>
        <w:t xml:space="preserve"> se realiz</w:t>
      </w:r>
      <w:r w:rsidR="00F95F2D">
        <w:rPr>
          <w:rFonts w:ascii="Arial" w:hAnsi="Arial" w:cs="Arial"/>
          <w:sz w:val="24"/>
          <w:szCs w:val="24"/>
        </w:rPr>
        <w:t>ó</w:t>
      </w:r>
      <w:r w:rsidRPr="008D2788">
        <w:rPr>
          <w:rFonts w:ascii="Arial" w:hAnsi="Arial" w:cs="Arial"/>
          <w:sz w:val="24"/>
          <w:szCs w:val="24"/>
        </w:rPr>
        <w:t xml:space="preserve"> </w:t>
      </w:r>
      <w:r w:rsidR="00F95F2D">
        <w:rPr>
          <w:rFonts w:ascii="Arial" w:hAnsi="Arial" w:cs="Arial"/>
          <w:sz w:val="24"/>
          <w:szCs w:val="24"/>
        </w:rPr>
        <w:t xml:space="preserve">mediante </w:t>
      </w:r>
      <w:r w:rsidRPr="008D2788">
        <w:rPr>
          <w:rFonts w:ascii="Arial" w:hAnsi="Arial" w:cs="Arial"/>
          <w:sz w:val="24"/>
          <w:szCs w:val="24"/>
        </w:rPr>
        <w:t xml:space="preserve">el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envío o recepción de personal</w:t>
      </w:r>
      <w:r w:rsidR="00DA26A9">
        <w:rPr>
          <w:rFonts w:ascii="Arial" w:hAnsi="Arial" w:cs="Arial"/>
          <w:sz w:val="24"/>
          <w:szCs w:val="24"/>
        </w:rPr>
        <w:t>»</w:t>
      </w:r>
      <w:r w:rsidR="00104D30">
        <w:rPr>
          <w:rFonts w:ascii="Arial" w:hAnsi="Arial" w:cs="Arial"/>
          <w:sz w:val="24"/>
          <w:szCs w:val="24"/>
        </w:rPr>
        <w:t xml:space="preserve">, </w:t>
      </w:r>
      <w:r w:rsidRPr="008D2788">
        <w:rPr>
          <w:rFonts w:ascii="Arial" w:hAnsi="Arial" w:cs="Arial"/>
          <w:sz w:val="24"/>
          <w:szCs w:val="24"/>
        </w:rPr>
        <w:t xml:space="preserve">con 53.9 % y por medio del modo </w:t>
      </w:r>
      <w:r w:rsidR="00DA26A9">
        <w:rPr>
          <w:rFonts w:ascii="Arial" w:hAnsi="Arial" w:cs="Arial"/>
          <w:sz w:val="24"/>
          <w:szCs w:val="24"/>
        </w:rPr>
        <w:t>«</w:t>
      </w:r>
      <w:r w:rsidRPr="008D2788">
        <w:rPr>
          <w:rFonts w:ascii="Arial" w:hAnsi="Arial" w:cs="Arial"/>
          <w:sz w:val="24"/>
          <w:szCs w:val="24"/>
        </w:rPr>
        <w:t>transfronterizo/ medios digitales</w:t>
      </w:r>
      <w:r w:rsidR="00DA26A9">
        <w:rPr>
          <w:rFonts w:ascii="Arial" w:hAnsi="Arial" w:cs="Arial"/>
          <w:sz w:val="24"/>
          <w:szCs w:val="24"/>
        </w:rPr>
        <w:t>»</w:t>
      </w:r>
      <w:r w:rsidR="00104D30">
        <w:rPr>
          <w:rFonts w:ascii="Arial" w:hAnsi="Arial" w:cs="Arial"/>
          <w:sz w:val="24"/>
          <w:szCs w:val="24"/>
        </w:rPr>
        <w:t xml:space="preserve">, con </w:t>
      </w:r>
      <w:r w:rsidR="00104D30" w:rsidRPr="008D2788">
        <w:rPr>
          <w:rFonts w:ascii="Arial" w:hAnsi="Arial" w:cs="Arial"/>
          <w:sz w:val="24"/>
          <w:szCs w:val="24"/>
        </w:rPr>
        <w:t xml:space="preserve">46.1 </w:t>
      </w:r>
      <w:r w:rsidR="00F95F2D">
        <w:rPr>
          <w:rFonts w:ascii="Arial" w:hAnsi="Arial" w:cs="Arial"/>
          <w:sz w:val="24"/>
          <w:szCs w:val="24"/>
        </w:rPr>
        <w:t>%</w:t>
      </w:r>
      <w:r w:rsidR="00104D30">
        <w:rPr>
          <w:rFonts w:ascii="Arial" w:hAnsi="Arial" w:cs="Arial"/>
          <w:sz w:val="24"/>
          <w:szCs w:val="24"/>
        </w:rPr>
        <w:t xml:space="preserve"> (ver gráfica 20)</w:t>
      </w:r>
      <w:r w:rsidRPr="008D2788">
        <w:rPr>
          <w:rFonts w:ascii="Arial" w:hAnsi="Arial" w:cs="Arial"/>
          <w:sz w:val="24"/>
          <w:szCs w:val="24"/>
        </w:rPr>
        <w:t>.</w:t>
      </w:r>
    </w:p>
    <w:p w14:paraId="4BEBEFB6" w14:textId="77777777" w:rsidR="00FF490A" w:rsidRPr="00A524C2" w:rsidRDefault="00FF490A" w:rsidP="00FF490A">
      <w:pPr>
        <w:spacing w:after="0" w:line="240" w:lineRule="auto"/>
        <w:jc w:val="both"/>
        <w:rPr>
          <w:rFonts w:ascii="Arial" w:hAnsi="Arial" w:cs="Arial"/>
          <w:bCs/>
          <w:sz w:val="24"/>
          <w:szCs w:val="20"/>
        </w:rPr>
      </w:pPr>
    </w:p>
    <w:p w14:paraId="5842B966" w14:textId="1686C979" w:rsidR="00167EB0" w:rsidRPr="008D2788" w:rsidRDefault="004105CA" w:rsidP="00D7019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D2788">
        <w:rPr>
          <w:rFonts w:ascii="Arial" w:hAnsi="Arial" w:cs="Arial"/>
          <w:bCs/>
          <w:sz w:val="20"/>
          <w:szCs w:val="20"/>
        </w:rPr>
        <w:t xml:space="preserve">Gráfica </w:t>
      </w:r>
      <w:r w:rsidR="009E630C" w:rsidRPr="008D2788">
        <w:rPr>
          <w:rFonts w:ascii="Arial" w:hAnsi="Arial" w:cs="Arial"/>
          <w:bCs/>
          <w:sz w:val="20"/>
          <w:szCs w:val="20"/>
        </w:rPr>
        <w:t>20</w:t>
      </w:r>
    </w:p>
    <w:p w14:paraId="74383671" w14:textId="77777777" w:rsidR="00104D30" w:rsidRDefault="004105CA" w:rsidP="00104D30">
      <w:pPr>
        <w:tabs>
          <w:tab w:val="left" w:pos="232"/>
          <w:tab w:val="center" w:pos="5043"/>
        </w:tabs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8D2788">
        <w:rPr>
          <w:rFonts w:ascii="Arial" w:hAnsi="Arial" w:cs="Arial"/>
          <w:b/>
          <w:bCs/>
          <w:smallCaps/>
        </w:rPr>
        <w:t xml:space="preserve">Participación de los gastos de </w:t>
      </w:r>
      <w:r w:rsidR="00F83BFE" w:rsidRPr="008D2788">
        <w:rPr>
          <w:rFonts w:ascii="Arial" w:hAnsi="Arial" w:cs="Arial"/>
          <w:b/>
          <w:bCs/>
          <w:smallCaps/>
        </w:rPr>
        <w:t>comercio internacional de servicios</w:t>
      </w:r>
      <w:r w:rsidRPr="008D2788">
        <w:rPr>
          <w:rFonts w:ascii="Arial" w:hAnsi="Arial" w:cs="Arial"/>
          <w:b/>
          <w:bCs/>
          <w:smallCaps/>
        </w:rPr>
        <w:t xml:space="preserve"> </w:t>
      </w:r>
    </w:p>
    <w:p w14:paraId="21F8E588" w14:textId="1655CA22" w:rsidR="004105CA" w:rsidRPr="008D2788" w:rsidRDefault="004105CA" w:rsidP="002A0561">
      <w:pPr>
        <w:tabs>
          <w:tab w:val="left" w:pos="232"/>
          <w:tab w:val="center" w:pos="5043"/>
        </w:tabs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8D2788">
        <w:rPr>
          <w:rFonts w:ascii="Arial" w:hAnsi="Arial" w:cs="Arial"/>
          <w:b/>
          <w:bCs/>
          <w:smallCaps/>
        </w:rPr>
        <w:t>por tipo de servicio, según modo de suministro en 2021</w:t>
      </w:r>
    </w:p>
    <w:p w14:paraId="2C2FFEA0" w14:textId="15002568" w:rsidR="00357153" w:rsidRPr="008D2788" w:rsidRDefault="003F0448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8D2788">
        <w:rPr>
          <w:rFonts w:ascii="Arial" w:hAnsi="Arial" w:cs="Arial"/>
          <w:sz w:val="18"/>
          <w:szCs w:val="24"/>
        </w:rPr>
        <w:t>(</w:t>
      </w:r>
      <w:r w:rsidR="00104D30">
        <w:rPr>
          <w:rFonts w:ascii="Arial" w:hAnsi="Arial" w:cs="Arial"/>
          <w:sz w:val="18"/>
          <w:szCs w:val="24"/>
        </w:rPr>
        <w:t>p</w:t>
      </w:r>
      <w:r w:rsidRPr="008D2788">
        <w:rPr>
          <w:rFonts w:ascii="Arial" w:hAnsi="Arial" w:cs="Arial"/>
          <w:sz w:val="18"/>
          <w:szCs w:val="24"/>
        </w:rPr>
        <w:t>orcentaje)</w:t>
      </w:r>
    </w:p>
    <w:p w14:paraId="648A5444" w14:textId="624857F2" w:rsidR="004105CA" w:rsidRPr="00572DB1" w:rsidRDefault="00A524C2" w:rsidP="002A0561">
      <w:pPr>
        <w:spacing w:after="60"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0C62DA06" wp14:editId="04D8531A">
            <wp:extent cx="4742400" cy="2246400"/>
            <wp:effectExtent l="0" t="0" r="1270" b="190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42400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259B0" w14:textId="4768F7ED" w:rsidR="00104D30" w:rsidRDefault="004105CA" w:rsidP="002A0561">
      <w:pPr>
        <w:pStyle w:val="NormalWeb"/>
        <w:spacing w:before="0" w:beforeAutospacing="0" w:after="0" w:afterAutospacing="0"/>
        <w:ind w:left="1418" w:right="1274"/>
        <w:jc w:val="both"/>
        <w:rPr>
          <w:rFonts w:ascii="Arial" w:hAnsi="Arial" w:cs="Arial"/>
          <w:bCs/>
          <w:sz w:val="16"/>
          <w:szCs w:val="16"/>
        </w:rPr>
      </w:pPr>
      <w:r w:rsidRPr="008D2788">
        <w:rPr>
          <w:rFonts w:ascii="Arial" w:hAnsi="Arial" w:cs="Arial"/>
          <w:bCs/>
          <w:sz w:val="16"/>
          <w:szCs w:val="16"/>
        </w:rPr>
        <w:t xml:space="preserve">Nota: </w:t>
      </w:r>
      <w:r w:rsidR="00104D30">
        <w:rPr>
          <w:rFonts w:ascii="Arial" w:hAnsi="Arial" w:cs="Arial"/>
          <w:bCs/>
          <w:sz w:val="16"/>
          <w:szCs w:val="16"/>
        </w:rPr>
        <w:t xml:space="preserve">   </w:t>
      </w:r>
      <w:r w:rsidR="009E630C" w:rsidRPr="008D2788">
        <w:rPr>
          <w:rFonts w:ascii="Arial" w:hAnsi="Arial" w:cs="Arial"/>
          <w:bCs/>
          <w:sz w:val="16"/>
          <w:szCs w:val="16"/>
        </w:rPr>
        <w:t xml:space="preserve">Porcentajes obtenidos respecto del total de gastos a precios constantes </w:t>
      </w:r>
      <w:r w:rsidR="00104D30" w:rsidRPr="00104D30">
        <w:rPr>
          <w:rFonts w:ascii="Arial" w:hAnsi="Arial" w:cs="Arial"/>
          <w:bCs/>
          <w:smallCaps/>
          <w:sz w:val="16"/>
          <w:szCs w:val="16"/>
        </w:rPr>
        <w:t>inpp</w:t>
      </w:r>
      <w:r w:rsidR="009E630C" w:rsidRPr="008D2788">
        <w:rPr>
          <w:rFonts w:ascii="Arial" w:hAnsi="Arial" w:cs="Arial"/>
          <w:bCs/>
          <w:sz w:val="16"/>
          <w:szCs w:val="16"/>
        </w:rPr>
        <w:t xml:space="preserve"> promedio anual </w:t>
      </w:r>
    </w:p>
    <w:p w14:paraId="5EC5FBA0" w14:textId="5F91E22B" w:rsidR="00181987" w:rsidRPr="008D2788" w:rsidRDefault="00104D30" w:rsidP="002A0561">
      <w:pPr>
        <w:pStyle w:val="NormalWeb"/>
        <w:spacing w:before="0" w:beforeAutospacing="0" w:after="0" w:afterAutospacing="0"/>
        <w:ind w:left="1418" w:right="1274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9E630C" w:rsidRPr="008D2788">
        <w:rPr>
          <w:rFonts w:ascii="Arial" w:hAnsi="Arial" w:cs="Arial"/>
          <w:bCs/>
          <w:sz w:val="16"/>
          <w:szCs w:val="16"/>
        </w:rPr>
        <w:t>2021 por clase de actividad</w:t>
      </w:r>
      <w:r w:rsidR="00181987" w:rsidRPr="008D2788">
        <w:rPr>
          <w:rFonts w:ascii="Arial" w:hAnsi="Arial" w:cs="Arial"/>
          <w:bCs/>
          <w:sz w:val="16"/>
          <w:szCs w:val="16"/>
        </w:rPr>
        <w:t xml:space="preserve"> </w:t>
      </w:r>
      <w:r w:rsidR="009E630C" w:rsidRPr="008D2788">
        <w:rPr>
          <w:rFonts w:ascii="Arial" w:hAnsi="Arial" w:cs="Arial"/>
          <w:bCs/>
          <w:sz w:val="16"/>
          <w:szCs w:val="16"/>
        </w:rPr>
        <w:t>económica.</w:t>
      </w:r>
    </w:p>
    <w:p w14:paraId="1E6AB054" w14:textId="51BEB01E" w:rsidR="004105CA" w:rsidRDefault="00104D30" w:rsidP="00902A81">
      <w:pPr>
        <w:pStyle w:val="NormalWeb"/>
        <w:spacing w:before="0" w:beforeAutospacing="0" w:after="0" w:afterAutospacing="0"/>
        <w:ind w:left="1985" w:right="1274" w:hanging="56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4105CA" w:rsidRPr="008D2788">
        <w:rPr>
          <w:rFonts w:ascii="Arial" w:hAnsi="Arial" w:cs="Arial"/>
          <w:bCs/>
          <w:sz w:val="16"/>
          <w:szCs w:val="16"/>
        </w:rPr>
        <w:t xml:space="preserve">El monto de gastos por los </w:t>
      </w:r>
      <w:r w:rsidR="00B32D0E">
        <w:rPr>
          <w:rFonts w:ascii="Arial" w:hAnsi="Arial" w:cs="Arial"/>
          <w:bCs/>
          <w:sz w:val="16"/>
          <w:szCs w:val="16"/>
        </w:rPr>
        <w:t>«</w:t>
      </w:r>
      <w:r w:rsidR="004105CA" w:rsidRPr="008D2788">
        <w:rPr>
          <w:rFonts w:ascii="Arial" w:hAnsi="Arial" w:cs="Arial"/>
          <w:bCs/>
          <w:sz w:val="16"/>
          <w:szCs w:val="16"/>
        </w:rPr>
        <w:t xml:space="preserve">servicios de manufactura en insumos físicos que son propiedad de </w:t>
      </w:r>
      <w:r>
        <w:rPr>
          <w:rFonts w:ascii="Arial" w:hAnsi="Arial" w:cs="Arial"/>
          <w:bCs/>
          <w:sz w:val="16"/>
          <w:szCs w:val="16"/>
        </w:rPr>
        <w:t>o</w:t>
      </w:r>
      <w:r w:rsidR="004105CA" w:rsidRPr="008D2788">
        <w:rPr>
          <w:rFonts w:ascii="Arial" w:hAnsi="Arial" w:cs="Arial"/>
          <w:bCs/>
          <w:sz w:val="16"/>
          <w:szCs w:val="16"/>
        </w:rPr>
        <w:t>tros</w:t>
      </w:r>
      <w:r w:rsidR="00B32D0E">
        <w:rPr>
          <w:rFonts w:ascii="Arial" w:hAnsi="Arial" w:cs="Arial"/>
          <w:bCs/>
          <w:sz w:val="16"/>
          <w:szCs w:val="16"/>
        </w:rPr>
        <w:t>»</w:t>
      </w:r>
      <w:r w:rsidR="004105CA" w:rsidRPr="008D2788">
        <w:rPr>
          <w:rFonts w:ascii="Arial" w:hAnsi="Arial" w:cs="Arial"/>
          <w:bCs/>
          <w:sz w:val="16"/>
          <w:szCs w:val="16"/>
        </w:rPr>
        <w:t xml:space="preserve"> corresponde a</w:t>
      </w:r>
      <w:r w:rsidR="00B32D0E">
        <w:rPr>
          <w:rFonts w:ascii="Arial" w:hAnsi="Arial" w:cs="Arial"/>
          <w:bCs/>
          <w:sz w:val="16"/>
          <w:szCs w:val="16"/>
        </w:rPr>
        <w:t>l</w:t>
      </w:r>
      <w:r w:rsidR="004105CA" w:rsidRPr="008D2788">
        <w:rPr>
          <w:rFonts w:ascii="Arial" w:hAnsi="Arial" w:cs="Arial"/>
          <w:bCs/>
          <w:sz w:val="16"/>
          <w:szCs w:val="16"/>
        </w:rPr>
        <w:t xml:space="preserve"> 100.0 % en el modo</w:t>
      </w:r>
      <w:r w:rsidR="00133D7D" w:rsidRPr="008D2788">
        <w:rPr>
          <w:rFonts w:ascii="Arial" w:hAnsi="Arial" w:cs="Arial"/>
          <w:bCs/>
          <w:sz w:val="16"/>
          <w:szCs w:val="16"/>
        </w:rPr>
        <w:t xml:space="preserve"> </w:t>
      </w:r>
      <w:r w:rsidR="004105CA" w:rsidRPr="008D2788">
        <w:rPr>
          <w:rFonts w:ascii="Arial" w:hAnsi="Arial" w:cs="Arial"/>
          <w:bCs/>
          <w:sz w:val="16"/>
          <w:szCs w:val="16"/>
        </w:rPr>
        <w:t>de suministro 2</w:t>
      </w:r>
      <w:r w:rsidR="00F95F2D">
        <w:rPr>
          <w:rFonts w:ascii="Arial" w:hAnsi="Arial" w:cs="Arial"/>
          <w:bCs/>
          <w:sz w:val="16"/>
          <w:szCs w:val="16"/>
        </w:rPr>
        <w:t>, «</w:t>
      </w:r>
      <w:r w:rsidR="004105CA" w:rsidRPr="008D2788">
        <w:rPr>
          <w:rFonts w:ascii="Arial" w:hAnsi="Arial" w:cs="Arial"/>
          <w:bCs/>
          <w:sz w:val="16"/>
          <w:szCs w:val="16"/>
        </w:rPr>
        <w:t>Traslado de mercancía</w:t>
      </w:r>
      <w:r w:rsidR="00F95F2D">
        <w:rPr>
          <w:rFonts w:ascii="Arial" w:hAnsi="Arial" w:cs="Arial"/>
          <w:bCs/>
          <w:sz w:val="16"/>
          <w:szCs w:val="16"/>
        </w:rPr>
        <w:t>»</w:t>
      </w:r>
      <w:r w:rsidR="004105CA" w:rsidRPr="008D2788">
        <w:rPr>
          <w:rFonts w:ascii="Arial" w:hAnsi="Arial" w:cs="Arial"/>
          <w:bCs/>
          <w:sz w:val="16"/>
          <w:szCs w:val="16"/>
        </w:rPr>
        <w:t>, mientras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4105CA" w:rsidRPr="008D2788">
        <w:rPr>
          <w:rFonts w:ascii="Arial" w:hAnsi="Arial" w:cs="Arial"/>
          <w:bCs/>
          <w:sz w:val="16"/>
          <w:szCs w:val="16"/>
        </w:rPr>
        <w:t>que</w:t>
      </w:r>
      <w:r w:rsidR="00F95F2D">
        <w:rPr>
          <w:rFonts w:ascii="Arial" w:hAnsi="Arial" w:cs="Arial"/>
          <w:bCs/>
          <w:sz w:val="16"/>
          <w:szCs w:val="16"/>
        </w:rPr>
        <w:t xml:space="preserve"> </w:t>
      </w:r>
      <w:r w:rsidR="004105CA" w:rsidRPr="008D2788">
        <w:rPr>
          <w:rFonts w:ascii="Arial" w:hAnsi="Arial" w:cs="Arial"/>
          <w:bCs/>
          <w:sz w:val="16"/>
          <w:szCs w:val="16"/>
        </w:rPr>
        <w:t xml:space="preserve">los gastos por </w:t>
      </w:r>
      <w:r w:rsidR="00B32D0E">
        <w:rPr>
          <w:rFonts w:ascii="Arial" w:hAnsi="Arial" w:cs="Arial"/>
          <w:bCs/>
          <w:sz w:val="16"/>
          <w:szCs w:val="16"/>
        </w:rPr>
        <w:t>«</w:t>
      </w:r>
      <w:r w:rsidR="004105CA" w:rsidRPr="008D2788">
        <w:rPr>
          <w:rFonts w:ascii="Arial" w:hAnsi="Arial" w:cs="Arial"/>
          <w:bCs/>
          <w:sz w:val="16"/>
          <w:szCs w:val="16"/>
        </w:rPr>
        <w:t>cargos por el uso de la propiedad intelectual</w:t>
      </w:r>
      <w:r w:rsidR="00B32D0E">
        <w:rPr>
          <w:rFonts w:ascii="Arial" w:hAnsi="Arial" w:cs="Arial"/>
          <w:bCs/>
          <w:sz w:val="16"/>
          <w:szCs w:val="16"/>
        </w:rPr>
        <w:t>»</w:t>
      </w:r>
      <w:r w:rsidR="004105CA" w:rsidRPr="008D2788">
        <w:rPr>
          <w:rFonts w:ascii="Arial" w:hAnsi="Arial" w:cs="Arial"/>
          <w:bCs/>
          <w:sz w:val="16"/>
          <w:szCs w:val="16"/>
        </w:rPr>
        <w:t xml:space="preserve"> y los</w:t>
      </w:r>
      <w:r w:rsidR="00133D7D" w:rsidRPr="008D2788">
        <w:rPr>
          <w:rFonts w:ascii="Arial" w:hAnsi="Arial" w:cs="Arial"/>
          <w:bCs/>
          <w:sz w:val="16"/>
          <w:szCs w:val="16"/>
        </w:rPr>
        <w:t xml:space="preserve"> </w:t>
      </w:r>
      <w:r w:rsidR="004105CA" w:rsidRPr="008D2788">
        <w:rPr>
          <w:rFonts w:ascii="Arial" w:hAnsi="Arial" w:cs="Arial"/>
          <w:bCs/>
          <w:sz w:val="16"/>
          <w:szCs w:val="16"/>
        </w:rPr>
        <w:t xml:space="preserve">servicios de </w:t>
      </w:r>
      <w:r w:rsidR="00B32D0E">
        <w:rPr>
          <w:rFonts w:ascii="Arial" w:hAnsi="Arial" w:cs="Arial"/>
          <w:bCs/>
          <w:sz w:val="16"/>
          <w:szCs w:val="16"/>
        </w:rPr>
        <w:t>«</w:t>
      </w:r>
      <w:r w:rsidR="004105CA" w:rsidRPr="008D2788">
        <w:rPr>
          <w:rFonts w:ascii="Arial" w:hAnsi="Arial" w:cs="Arial"/>
          <w:bCs/>
          <w:sz w:val="16"/>
          <w:szCs w:val="16"/>
        </w:rPr>
        <w:t>transporte</w:t>
      </w:r>
      <w:r w:rsidR="00B32D0E">
        <w:rPr>
          <w:rFonts w:ascii="Arial" w:hAnsi="Arial" w:cs="Arial"/>
          <w:bCs/>
          <w:sz w:val="16"/>
          <w:szCs w:val="16"/>
        </w:rPr>
        <w:t>»</w:t>
      </w:r>
      <w:r w:rsidR="004105CA" w:rsidRPr="008D2788">
        <w:rPr>
          <w:rFonts w:ascii="Arial" w:hAnsi="Arial" w:cs="Arial"/>
          <w:bCs/>
          <w:sz w:val="16"/>
          <w:szCs w:val="16"/>
        </w:rPr>
        <w:t xml:space="preserve"> ajustan a</w:t>
      </w:r>
      <w:r w:rsidR="00B32D0E">
        <w:rPr>
          <w:rFonts w:ascii="Arial" w:hAnsi="Arial" w:cs="Arial"/>
          <w:bCs/>
          <w:sz w:val="16"/>
          <w:szCs w:val="16"/>
        </w:rPr>
        <w:t>l</w:t>
      </w:r>
      <w:r w:rsidR="004105CA" w:rsidRPr="008D2788">
        <w:rPr>
          <w:rFonts w:ascii="Arial" w:hAnsi="Arial" w:cs="Arial"/>
          <w:bCs/>
          <w:sz w:val="16"/>
          <w:szCs w:val="16"/>
        </w:rPr>
        <w:t xml:space="preserve"> 100 % en el modo de suministro 1</w:t>
      </w:r>
      <w:r w:rsidR="00F95F2D">
        <w:rPr>
          <w:rFonts w:ascii="Arial" w:hAnsi="Arial" w:cs="Arial"/>
          <w:bCs/>
          <w:sz w:val="16"/>
          <w:szCs w:val="16"/>
        </w:rPr>
        <w:t>,</w:t>
      </w:r>
      <w:r w:rsidR="004105CA" w:rsidRPr="008D2788">
        <w:rPr>
          <w:rFonts w:ascii="Arial" w:hAnsi="Arial" w:cs="Arial"/>
          <w:bCs/>
          <w:sz w:val="16"/>
          <w:szCs w:val="16"/>
        </w:rPr>
        <w:t xml:space="preserve"> </w:t>
      </w:r>
      <w:r w:rsidR="00F95F2D">
        <w:rPr>
          <w:rFonts w:ascii="Arial" w:hAnsi="Arial" w:cs="Arial"/>
          <w:bCs/>
          <w:sz w:val="16"/>
          <w:szCs w:val="16"/>
        </w:rPr>
        <w:t>«</w:t>
      </w:r>
      <w:r w:rsidR="004105CA" w:rsidRPr="008D2788">
        <w:rPr>
          <w:rFonts w:ascii="Arial" w:hAnsi="Arial" w:cs="Arial"/>
          <w:bCs/>
          <w:sz w:val="16"/>
          <w:szCs w:val="16"/>
        </w:rPr>
        <w:t>Transfronterizo/ Medios digitales</w:t>
      </w:r>
      <w:r w:rsidR="00F95F2D">
        <w:rPr>
          <w:rFonts w:ascii="Arial" w:hAnsi="Arial" w:cs="Arial"/>
          <w:bCs/>
          <w:sz w:val="16"/>
          <w:szCs w:val="16"/>
        </w:rPr>
        <w:t xml:space="preserve">». Por esta razón, no se </w:t>
      </w:r>
      <w:r w:rsidR="004105CA" w:rsidRPr="008D2788">
        <w:rPr>
          <w:rFonts w:ascii="Arial" w:hAnsi="Arial" w:cs="Arial"/>
          <w:bCs/>
          <w:sz w:val="16"/>
          <w:szCs w:val="16"/>
        </w:rPr>
        <w:t>consideran en el análisis.</w:t>
      </w:r>
    </w:p>
    <w:p w14:paraId="27976EAE" w14:textId="77777777" w:rsidR="00104D30" w:rsidRPr="00B364EE" w:rsidRDefault="00104D30" w:rsidP="002A0561">
      <w:pPr>
        <w:spacing w:after="0" w:line="240" w:lineRule="auto"/>
        <w:ind w:right="1274" w:firstLine="1418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inegi. ecis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, 2022.</w:t>
      </w:r>
    </w:p>
    <w:p w14:paraId="49C1CBA9" w14:textId="77777777" w:rsidR="00104D30" w:rsidRDefault="00104D30" w:rsidP="00104D30">
      <w:pPr>
        <w:pStyle w:val="NormalWeb"/>
        <w:spacing w:before="0" w:beforeAutospacing="0" w:after="0" w:afterAutospacing="0"/>
        <w:ind w:left="1418" w:right="1416"/>
        <w:jc w:val="both"/>
        <w:rPr>
          <w:rFonts w:ascii="Arial" w:hAnsi="Arial" w:cs="Arial"/>
          <w:bCs/>
          <w:sz w:val="16"/>
          <w:szCs w:val="16"/>
        </w:rPr>
      </w:pPr>
    </w:p>
    <w:p w14:paraId="436F23EA" w14:textId="77777777" w:rsidR="00035D40" w:rsidRPr="008D2788" w:rsidRDefault="00035D40" w:rsidP="002A0561">
      <w:pPr>
        <w:pStyle w:val="NormalWeb"/>
        <w:spacing w:before="0" w:beforeAutospacing="0" w:after="0" w:afterAutospacing="0"/>
        <w:ind w:left="1418" w:right="1416"/>
        <w:jc w:val="both"/>
        <w:rPr>
          <w:rFonts w:ascii="Arial" w:hAnsi="Arial" w:cs="Arial"/>
          <w:bCs/>
          <w:sz w:val="16"/>
          <w:szCs w:val="16"/>
        </w:rPr>
      </w:pPr>
    </w:p>
    <w:p w14:paraId="47B5F504" w14:textId="4013FD80" w:rsidR="00167EB0" w:rsidRPr="008D2788" w:rsidRDefault="00104D30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</w:t>
      </w:r>
      <w:r w:rsidR="004105CA" w:rsidRPr="008D2788">
        <w:rPr>
          <w:rFonts w:ascii="Arial" w:hAnsi="Arial" w:cs="Arial"/>
          <w:sz w:val="24"/>
          <w:szCs w:val="24"/>
        </w:rPr>
        <w:t>onsidera</w:t>
      </w:r>
      <w:r>
        <w:rPr>
          <w:rFonts w:ascii="Arial" w:hAnsi="Arial" w:cs="Arial"/>
          <w:sz w:val="24"/>
          <w:szCs w:val="24"/>
        </w:rPr>
        <w:t>r</w:t>
      </w:r>
      <w:r w:rsidR="004105CA" w:rsidRPr="008D2788">
        <w:rPr>
          <w:rFonts w:ascii="Arial" w:hAnsi="Arial" w:cs="Arial"/>
          <w:sz w:val="24"/>
          <w:szCs w:val="24"/>
        </w:rPr>
        <w:t xml:space="preserve"> el total de gastos</w:t>
      </w:r>
      <w:r w:rsidR="00B2613A" w:rsidRPr="008D2788">
        <w:rPr>
          <w:rFonts w:ascii="Arial" w:hAnsi="Arial" w:cs="Arial"/>
          <w:sz w:val="24"/>
          <w:szCs w:val="24"/>
        </w:rPr>
        <w:t xml:space="preserve"> a precios constantes</w:t>
      </w:r>
      <w:r w:rsidR="004105CA" w:rsidRPr="008D2788">
        <w:rPr>
          <w:rFonts w:ascii="Arial" w:hAnsi="Arial" w:cs="Arial"/>
          <w:sz w:val="24"/>
          <w:szCs w:val="24"/>
        </w:rPr>
        <w:t xml:space="preserve"> reportados por las empresas </w:t>
      </w:r>
      <w:r w:rsidR="00B2613A" w:rsidRPr="008D2788">
        <w:rPr>
          <w:rFonts w:ascii="Arial" w:hAnsi="Arial" w:cs="Arial"/>
          <w:sz w:val="24"/>
          <w:szCs w:val="24"/>
        </w:rPr>
        <w:t xml:space="preserve">que realizan </w:t>
      </w:r>
      <w:r w:rsidRPr="00104D30">
        <w:rPr>
          <w:rFonts w:ascii="Arial" w:hAnsi="Arial" w:cs="Arial"/>
          <w:smallCaps/>
          <w:sz w:val="24"/>
          <w:szCs w:val="24"/>
        </w:rPr>
        <w:t>cis</w:t>
      </w:r>
      <w:r w:rsidR="00B2613A" w:rsidRPr="008D2788">
        <w:rPr>
          <w:rFonts w:ascii="Arial" w:hAnsi="Arial" w:cs="Arial"/>
          <w:sz w:val="24"/>
          <w:szCs w:val="24"/>
        </w:rPr>
        <w:t xml:space="preserve"> </w:t>
      </w:r>
      <w:r w:rsidR="004105CA" w:rsidRPr="008D2788">
        <w:rPr>
          <w:rFonts w:ascii="Arial" w:hAnsi="Arial" w:cs="Arial"/>
          <w:sz w:val="24"/>
          <w:szCs w:val="24"/>
        </w:rPr>
        <w:t>respecto del consumo de servicios del exterior, el principal destino para 2021 fue Estados Unidos, con 59.1 %</w:t>
      </w:r>
      <w:r w:rsidR="00F95F2D">
        <w:rPr>
          <w:rFonts w:ascii="Arial" w:hAnsi="Arial" w:cs="Arial"/>
          <w:sz w:val="24"/>
          <w:szCs w:val="24"/>
        </w:rPr>
        <w:t xml:space="preserve"> (</w:t>
      </w:r>
      <w:r w:rsidR="004105CA" w:rsidRPr="008D2788">
        <w:rPr>
          <w:rFonts w:ascii="Arial" w:hAnsi="Arial" w:cs="Arial"/>
          <w:sz w:val="24"/>
          <w:szCs w:val="24"/>
        </w:rPr>
        <w:t>disminuy</w:t>
      </w:r>
      <w:r>
        <w:rPr>
          <w:rFonts w:ascii="Arial" w:hAnsi="Arial" w:cs="Arial"/>
          <w:sz w:val="24"/>
          <w:szCs w:val="24"/>
        </w:rPr>
        <w:t>ó</w:t>
      </w:r>
      <w:r w:rsidR="004105CA" w:rsidRPr="008D2788">
        <w:rPr>
          <w:rFonts w:ascii="Arial" w:hAnsi="Arial" w:cs="Arial"/>
          <w:sz w:val="24"/>
          <w:szCs w:val="24"/>
        </w:rPr>
        <w:t xml:space="preserve"> 0.5 puntos porcentuales con relación a 2020</w:t>
      </w:r>
      <w:r w:rsidR="00F95F2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="004105CA" w:rsidRPr="008D27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Siguieron</w:t>
      </w:r>
      <w:r w:rsidR="004105CA" w:rsidRPr="008D2788">
        <w:rPr>
          <w:rFonts w:ascii="Arial" w:hAnsi="Arial" w:cs="Arial"/>
          <w:sz w:val="24"/>
          <w:szCs w:val="24"/>
        </w:rPr>
        <w:t xml:space="preserve"> la Unión Europea</w:t>
      </w:r>
      <w:r>
        <w:rPr>
          <w:rFonts w:ascii="Arial" w:hAnsi="Arial" w:cs="Arial"/>
          <w:sz w:val="24"/>
          <w:szCs w:val="24"/>
        </w:rPr>
        <w:t>,</w:t>
      </w:r>
      <w:r w:rsidR="004105CA" w:rsidRPr="008D2788">
        <w:rPr>
          <w:rFonts w:ascii="Arial" w:hAnsi="Arial" w:cs="Arial"/>
          <w:sz w:val="24"/>
          <w:szCs w:val="24"/>
        </w:rPr>
        <w:t xml:space="preserve"> con 22.0 %</w:t>
      </w:r>
      <w:r w:rsidR="00D70197">
        <w:rPr>
          <w:rFonts w:ascii="Arial" w:hAnsi="Arial" w:cs="Arial"/>
          <w:sz w:val="24"/>
          <w:szCs w:val="24"/>
        </w:rPr>
        <w:t>;</w:t>
      </w:r>
      <w:r w:rsidR="004105CA" w:rsidRPr="008D2788">
        <w:rPr>
          <w:rFonts w:ascii="Arial" w:hAnsi="Arial" w:cs="Arial"/>
          <w:sz w:val="24"/>
          <w:szCs w:val="24"/>
        </w:rPr>
        <w:t xml:space="preserve"> 4.9 puntos porcentuales más que el año anterior; China, con</w:t>
      </w:r>
      <w:r w:rsidR="00F95F2D">
        <w:rPr>
          <w:rFonts w:ascii="Arial" w:hAnsi="Arial" w:cs="Arial"/>
          <w:sz w:val="24"/>
          <w:szCs w:val="24"/>
        </w:rPr>
        <w:t xml:space="preserve">     </w:t>
      </w:r>
      <w:r w:rsidR="004105CA" w:rsidRPr="008D2788">
        <w:rPr>
          <w:rFonts w:ascii="Arial" w:hAnsi="Arial" w:cs="Arial"/>
          <w:sz w:val="24"/>
          <w:szCs w:val="24"/>
        </w:rPr>
        <w:t xml:space="preserve"> 4.3 %, aument</w:t>
      </w:r>
      <w:r w:rsidR="00035D40">
        <w:rPr>
          <w:rFonts w:ascii="Arial" w:hAnsi="Arial" w:cs="Arial"/>
          <w:sz w:val="24"/>
          <w:szCs w:val="24"/>
        </w:rPr>
        <w:t>ó</w:t>
      </w:r>
      <w:r w:rsidR="004105CA" w:rsidRPr="008D2788">
        <w:rPr>
          <w:rFonts w:ascii="Arial" w:hAnsi="Arial" w:cs="Arial"/>
          <w:sz w:val="24"/>
          <w:szCs w:val="24"/>
        </w:rPr>
        <w:t xml:space="preserve"> 2.1 puntos porcentuales respecto </w:t>
      </w:r>
      <w:r w:rsidR="00035D40">
        <w:rPr>
          <w:rFonts w:ascii="Arial" w:hAnsi="Arial" w:cs="Arial"/>
          <w:sz w:val="24"/>
          <w:szCs w:val="24"/>
        </w:rPr>
        <w:t>a</w:t>
      </w:r>
      <w:r w:rsidR="004105CA" w:rsidRPr="008D2788">
        <w:rPr>
          <w:rFonts w:ascii="Arial" w:hAnsi="Arial" w:cs="Arial"/>
          <w:sz w:val="24"/>
          <w:szCs w:val="24"/>
        </w:rPr>
        <w:t xml:space="preserve"> 202</w:t>
      </w:r>
      <w:r w:rsidR="00880070" w:rsidRPr="008D2788">
        <w:rPr>
          <w:rFonts w:ascii="Arial" w:hAnsi="Arial" w:cs="Arial"/>
          <w:sz w:val="24"/>
          <w:szCs w:val="24"/>
        </w:rPr>
        <w:t>0</w:t>
      </w:r>
      <w:r w:rsidR="004105CA" w:rsidRPr="008D2788">
        <w:rPr>
          <w:rFonts w:ascii="Arial" w:hAnsi="Arial" w:cs="Arial"/>
          <w:sz w:val="24"/>
          <w:szCs w:val="24"/>
        </w:rPr>
        <w:t>; Japón</w:t>
      </w:r>
      <w:r w:rsidR="00035D40">
        <w:rPr>
          <w:rFonts w:ascii="Arial" w:hAnsi="Arial" w:cs="Arial"/>
          <w:sz w:val="24"/>
          <w:szCs w:val="24"/>
        </w:rPr>
        <w:t>,</w:t>
      </w:r>
      <w:r w:rsidR="004105CA" w:rsidRPr="008D2788">
        <w:rPr>
          <w:rFonts w:ascii="Arial" w:hAnsi="Arial" w:cs="Arial"/>
          <w:sz w:val="24"/>
          <w:szCs w:val="24"/>
        </w:rPr>
        <w:t xml:space="preserve"> con 3.6 % y Suiza con </w:t>
      </w:r>
      <w:r w:rsidR="00E16CB7">
        <w:rPr>
          <w:rFonts w:ascii="Arial" w:hAnsi="Arial" w:cs="Arial"/>
          <w:sz w:val="24"/>
          <w:szCs w:val="24"/>
        </w:rPr>
        <w:t xml:space="preserve">                     </w:t>
      </w:r>
      <w:r w:rsidR="004105CA" w:rsidRPr="008D2788">
        <w:rPr>
          <w:rFonts w:ascii="Arial" w:hAnsi="Arial" w:cs="Arial"/>
          <w:sz w:val="24"/>
          <w:szCs w:val="24"/>
        </w:rPr>
        <w:t xml:space="preserve">2.1 </w:t>
      </w:r>
      <w:r w:rsidR="00035D40">
        <w:rPr>
          <w:rFonts w:ascii="Arial" w:hAnsi="Arial" w:cs="Arial"/>
          <w:sz w:val="24"/>
          <w:szCs w:val="24"/>
        </w:rPr>
        <w:t>por ciento</w:t>
      </w:r>
      <w:r w:rsidR="004105CA" w:rsidRPr="008D2788">
        <w:rPr>
          <w:rFonts w:ascii="Arial" w:hAnsi="Arial" w:cs="Arial"/>
          <w:sz w:val="24"/>
          <w:szCs w:val="24"/>
        </w:rPr>
        <w:t>. El resto de los países contribuy</w:t>
      </w:r>
      <w:r w:rsidR="00F95F2D">
        <w:rPr>
          <w:rFonts w:ascii="Arial" w:hAnsi="Arial" w:cs="Arial"/>
          <w:sz w:val="24"/>
          <w:szCs w:val="24"/>
        </w:rPr>
        <w:t>ó</w:t>
      </w:r>
      <w:r w:rsidR="004105CA" w:rsidRPr="008D2788">
        <w:rPr>
          <w:rFonts w:ascii="Arial" w:hAnsi="Arial" w:cs="Arial"/>
          <w:sz w:val="24"/>
          <w:szCs w:val="24"/>
        </w:rPr>
        <w:t xml:space="preserve"> con 8.9 </w:t>
      </w:r>
      <w:r w:rsidR="00F95F2D">
        <w:rPr>
          <w:rFonts w:ascii="Arial" w:hAnsi="Arial" w:cs="Arial"/>
          <w:sz w:val="24"/>
          <w:szCs w:val="24"/>
        </w:rPr>
        <w:t>% (ver</w:t>
      </w:r>
      <w:r w:rsidR="00035D40">
        <w:rPr>
          <w:rFonts w:ascii="Arial" w:hAnsi="Arial" w:cs="Arial"/>
          <w:sz w:val="24"/>
          <w:szCs w:val="24"/>
        </w:rPr>
        <w:t xml:space="preserve"> gráfica 21</w:t>
      </w:r>
      <w:r w:rsidR="00F95F2D">
        <w:rPr>
          <w:rFonts w:ascii="Arial" w:hAnsi="Arial" w:cs="Arial"/>
          <w:sz w:val="24"/>
          <w:szCs w:val="24"/>
        </w:rPr>
        <w:t>)</w:t>
      </w:r>
      <w:r w:rsidR="00035D40">
        <w:rPr>
          <w:rFonts w:ascii="Arial" w:hAnsi="Arial" w:cs="Arial"/>
          <w:sz w:val="24"/>
          <w:szCs w:val="24"/>
        </w:rPr>
        <w:t>.</w:t>
      </w:r>
      <w:r w:rsidR="004105CA" w:rsidRPr="008D2788">
        <w:rPr>
          <w:rFonts w:ascii="Arial" w:hAnsi="Arial" w:cs="Arial"/>
          <w:sz w:val="24"/>
          <w:szCs w:val="24"/>
        </w:rPr>
        <w:t xml:space="preserve"> </w:t>
      </w:r>
    </w:p>
    <w:p w14:paraId="51B4B287" w14:textId="7A82C632" w:rsidR="00EB2142" w:rsidRDefault="00EB2142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16D20EED" w14:textId="77777777" w:rsidR="006B6DCE" w:rsidRDefault="006B6DCE" w:rsidP="002A0561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26D519EC" w14:textId="219972B3" w:rsidR="00694CD8" w:rsidRPr="008D2788" w:rsidRDefault="004105CA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8D2788">
        <w:rPr>
          <w:rFonts w:ascii="Arial" w:hAnsi="Arial" w:cs="Arial"/>
          <w:bCs/>
          <w:sz w:val="20"/>
          <w:szCs w:val="20"/>
        </w:rPr>
        <w:t xml:space="preserve">Gráfica </w:t>
      </w:r>
      <w:r w:rsidR="009E630C" w:rsidRPr="008D2788">
        <w:rPr>
          <w:rFonts w:ascii="Arial" w:hAnsi="Arial" w:cs="Arial"/>
          <w:bCs/>
          <w:sz w:val="20"/>
          <w:szCs w:val="20"/>
        </w:rPr>
        <w:t>21</w:t>
      </w:r>
    </w:p>
    <w:p w14:paraId="06D0D6AE" w14:textId="53DDFA5A" w:rsidR="004105CA" w:rsidRPr="008D2788" w:rsidRDefault="00812173" w:rsidP="002A0561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Participación de los g</w:t>
      </w:r>
      <w:r w:rsidR="004105CA" w:rsidRPr="008D2788">
        <w:rPr>
          <w:rFonts w:ascii="Arial" w:hAnsi="Arial" w:cs="Arial"/>
          <w:b/>
          <w:bCs/>
          <w:smallCaps/>
        </w:rPr>
        <w:t>astos por el consumo de servicios del exterior, según principal destino en 2020 y 2021</w:t>
      </w:r>
    </w:p>
    <w:p w14:paraId="0C44E204" w14:textId="7869328C" w:rsidR="00357153" w:rsidRPr="008D2788" w:rsidRDefault="003F0448" w:rsidP="002A0561">
      <w:pPr>
        <w:spacing w:after="0" w:line="240" w:lineRule="auto"/>
        <w:jc w:val="center"/>
        <w:rPr>
          <w:rFonts w:ascii="Arial" w:hAnsi="Arial" w:cs="Arial"/>
          <w:bCs/>
          <w:smallCaps/>
          <w:sz w:val="14"/>
        </w:rPr>
      </w:pPr>
      <w:r w:rsidRPr="008D2788">
        <w:rPr>
          <w:rFonts w:ascii="Arial" w:hAnsi="Arial" w:cs="Arial"/>
          <w:sz w:val="18"/>
          <w:szCs w:val="24"/>
        </w:rPr>
        <w:t>(</w:t>
      </w:r>
      <w:r w:rsidR="00035D40">
        <w:rPr>
          <w:rFonts w:ascii="Arial" w:hAnsi="Arial" w:cs="Arial"/>
          <w:sz w:val="18"/>
          <w:szCs w:val="24"/>
        </w:rPr>
        <w:t>p</w:t>
      </w:r>
      <w:r w:rsidRPr="008D2788">
        <w:rPr>
          <w:rFonts w:ascii="Arial" w:hAnsi="Arial" w:cs="Arial"/>
          <w:sz w:val="18"/>
          <w:szCs w:val="24"/>
        </w:rPr>
        <w:t>orcentaje)</w:t>
      </w:r>
    </w:p>
    <w:p w14:paraId="6AAE5015" w14:textId="36697DA6" w:rsidR="004105CA" w:rsidRPr="00572DB1" w:rsidRDefault="004C4B91" w:rsidP="00D73FB7">
      <w:pPr>
        <w:spacing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08062219" wp14:editId="37D1FB9C">
            <wp:extent cx="5314852" cy="2246400"/>
            <wp:effectExtent l="0" t="0" r="635" b="1905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314852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4D6E" w14:textId="30304B0D" w:rsidR="00035D40" w:rsidRDefault="004105CA" w:rsidP="00035D40">
      <w:pPr>
        <w:pStyle w:val="NormalWeb"/>
        <w:spacing w:before="0" w:beforeAutospacing="0" w:after="0" w:afterAutospacing="0"/>
        <w:ind w:left="709" w:right="849"/>
        <w:jc w:val="both"/>
        <w:rPr>
          <w:rFonts w:ascii="Arial" w:hAnsi="Arial" w:cs="Arial"/>
          <w:bCs/>
          <w:sz w:val="16"/>
          <w:szCs w:val="16"/>
        </w:rPr>
      </w:pPr>
      <w:r w:rsidRPr="008D2788">
        <w:rPr>
          <w:rFonts w:ascii="Arial" w:hAnsi="Arial" w:cs="Arial"/>
          <w:bCs/>
          <w:sz w:val="16"/>
          <w:szCs w:val="16"/>
        </w:rPr>
        <w:t xml:space="preserve">Nota: </w:t>
      </w:r>
      <w:r w:rsidR="00035D40">
        <w:rPr>
          <w:rFonts w:ascii="Arial" w:hAnsi="Arial" w:cs="Arial"/>
          <w:bCs/>
          <w:sz w:val="16"/>
          <w:szCs w:val="16"/>
        </w:rPr>
        <w:t xml:space="preserve">    </w:t>
      </w:r>
      <w:r w:rsidR="009E630C" w:rsidRPr="008D2788">
        <w:rPr>
          <w:rFonts w:ascii="Arial" w:hAnsi="Arial" w:cs="Arial"/>
          <w:bCs/>
          <w:sz w:val="16"/>
          <w:szCs w:val="16"/>
        </w:rPr>
        <w:t xml:space="preserve">Porcentajes obtenidos respecto del total de gastos a precios constantes </w:t>
      </w:r>
      <w:r w:rsidR="00F95F2D" w:rsidRPr="002A0561">
        <w:rPr>
          <w:rFonts w:ascii="Arial" w:hAnsi="Arial" w:cs="Arial"/>
          <w:bCs/>
          <w:smallCaps/>
          <w:sz w:val="16"/>
          <w:szCs w:val="16"/>
        </w:rPr>
        <w:t>inpp</w:t>
      </w:r>
      <w:r w:rsidR="00F95F2D" w:rsidRPr="008D2788">
        <w:rPr>
          <w:rFonts w:ascii="Arial" w:hAnsi="Arial" w:cs="Arial"/>
          <w:bCs/>
          <w:sz w:val="16"/>
          <w:szCs w:val="16"/>
        </w:rPr>
        <w:t xml:space="preserve"> </w:t>
      </w:r>
      <w:r w:rsidR="009E630C" w:rsidRPr="008D2788">
        <w:rPr>
          <w:rFonts w:ascii="Arial" w:hAnsi="Arial" w:cs="Arial"/>
          <w:bCs/>
          <w:sz w:val="16"/>
          <w:szCs w:val="16"/>
        </w:rPr>
        <w:t xml:space="preserve">promedio anual 2021 por clase </w:t>
      </w:r>
    </w:p>
    <w:p w14:paraId="56BD6A3A" w14:textId="15D0C4E7" w:rsidR="004378B5" w:rsidRPr="008D2788" w:rsidRDefault="00035D40" w:rsidP="002A0561">
      <w:pPr>
        <w:pStyle w:val="NormalWeb"/>
        <w:spacing w:before="0" w:beforeAutospacing="0" w:after="0" w:afterAutospacing="0"/>
        <w:ind w:left="709" w:right="849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9E630C" w:rsidRPr="008D2788">
        <w:rPr>
          <w:rFonts w:ascii="Arial" w:hAnsi="Arial" w:cs="Arial"/>
          <w:bCs/>
          <w:sz w:val="16"/>
          <w:szCs w:val="16"/>
        </w:rPr>
        <w:t>de actividad</w:t>
      </w:r>
      <w:r w:rsidR="004378B5" w:rsidRPr="008D2788">
        <w:rPr>
          <w:rFonts w:ascii="Arial" w:hAnsi="Arial" w:cs="Arial"/>
          <w:bCs/>
          <w:sz w:val="16"/>
          <w:szCs w:val="16"/>
        </w:rPr>
        <w:t xml:space="preserve"> </w:t>
      </w:r>
      <w:r w:rsidR="009E630C" w:rsidRPr="008D2788">
        <w:rPr>
          <w:rFonts w:ascii="Arial" w:hAnsi="Arial" w:cs="Arial"/>
          <w:bCs/>
          <w:sz w:val="16"/>
          <w:szCs w:val="16"/>
        </w:rPr>
        <w:t>económica para cada año.</w:t>
      </w:r>
    </w:p>
    <w:p w14:paraId="434F8EB8" w14:textId="051E8745" w:rsidR="00035D40" w:rsidRDefault="00035D40" w:rsidP="00035D40">
      <w:pPr>
        <w:pStyle w:val="NormalWeb"/>
        <w:spacing w:before="0" w:beforeAutospacing="0" w:after="0" w:afterAutospacing="0"/>
        <w:ind w:left="709" w:right="849"/>
        <w:jc w:val="both"/>
        <w:rPr>
          <w:rFonts w:ascii="Arial" w:hAnsi="Arial" w:cs="Arial"/>
          <w:bCs/>
          <w:sz w:val="16"/>
          <w:szCs w:val="16"/>
        </w:rPr>
      </w:pPr>
      <w:r w:rsidRPr="008D2788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90362" wp14:editId="05AF9961">
                <wp:simplePos x="0" y="0"/>
                <wp:positionH relativeFrom="margin">
                  <wp:posOffset>458936</wp:posOffset>
                </wp:positionH>
                <wp:positionV relativeFrom="paragraph">
                  <wp:posOffset>24765</wp:posOffset>
                </wp:positionV>
                <wp:extent cx="76200" cy="76200"/>
                <wp:effectExtent l="0" t="0" r="0" b="0"/>
                <wp:wrapNone/>
                <wp:docPr id="472640312" name="Triángulo isósce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B728056" id="Triángulo isósceles 6" o:spid="_x0000_s1026" type="#_x0000_t5" style="position:absolute;margin-left:36.15pt;margin-top:1.95pt;width:6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" fillcolor="#00b050" stroked="f" strokeweight="1pt">
                <w10:wrap anchorx="margin"/>
              </v:shape>
            </w:pict>
          </mc:Fallback>
        </mc:AlternateContent>
      </w:r>
      <w:r w:rsidR="004378B5" w:rsidRPr="008D2788">
        <w:rPr>
          <w:rFonts w:ascii="Arial" w:hAnsi="Arial" w:cs="Arial"/>
          <w:bCs/>
          <w:sz w:val="16"/>
          <w:szCs w:val="16"/>
        </w:rPr>
        <w:t xml:space="preserve">             </w:t>
      </w:r>
      <w:r w:rsidR="004105CA" w:rsidRPr="008D2788">
        <w:rPr>
          <w:rFonts w:ascii="Arial" w:hAnsi="Arial" w:cs="Arial"/>
          <w:bCs/>
          <w:sz w:val="16"/>
          <w:szCs w:val="16"/>
        </w:rPr>
        <w:t xml:space="preserve">Cambio positivo estadísticamente </w:t>
      </w:r>
      <w:r w:rsidR="004378B5" w:rsidRPr="008D2788">
        <w:rPr>
          <w:rFonts w:ascii="Arial" w:hAnsi="Arial" w:cs="Arial"/>
          <w:bCs/>
          <w:sz w:val="16"/>
          <w:szCs w:val="16"/>
        </w:rPr>
        <w:t xml:space="preserve">significativo,  </w:t>
      </w:r>
      <w:r w:rsidR="00B811A9" w:rsidRPr="008D2788">
        <w:rPr>
          <w:rFonts w:ascii="Arial" w:hAnsi="Arial" w:cs="Arial"/>
          <w:bCs/>
          <w:sz w:val="16"/>
          <w:szCs w:val="16"/>
        </w:rPr>
        <w:t xml:space="preserve"> </w:t>
      </w:r>
      <w:r w:rsidR="004378B5" w:rsidRPr="008D2788">
        <w:rPr>
          <w:rFonts w:ascii="Arial" w:hAnsi="Arial" w:cs="Arial"/>
          <w:bCs/>
          <w:sz w:val="16"/>
          <w:szCs w:val="16"/>
        </w:rPr>
        <w:t xml:space="preserve"> </w:t>
      </w:r>
      <w:r w:rsidR="00B811A9" w:rsidRPr="008D2788">
        <w:rPr>
          <w:rFonts w:ascii="Arial" w:hAnsi="Arial" w:cs="Arial"/>
          <w:bCs/>
          <w:sz w:val="16"/>
          <w:szCs w:val="16"/>
        </w:rPr>
        <w:t xml:space="preserve"> </w:t>
      </w:r>
    </w:p>
    <w:p w14:paraId="5B625F0E" w14:textId="5BDB4E87" w:rsidR="00167EB0" w:rsidRDefault="00035D40" w:rsidP="00035D40">
      <w:pPr>
        <w:pStyle w:val="NormalWeb"/>
        <w:spacing w:before="0" w:beforeAutospacing="0" w:after="0" w:afterAutospacing="0"/>
        <w:ind w:left="709" w:right="849"/>
        <w:jc w:val="both"/>
        <w:rPr>
          <w:rFonts w:ascii="Arial" w:hAnsi="Arial" w:cs="Arial"/>
          <w:bCs/>
          <w:sz w:val="16"/>
          <w:szCs w:val="16"/>
        </w:rPr>
      </w:pPr>
      <w:r w:rsidRPr="008D2788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309C54" wp14:editId="55756F4D">
                <wp:simplePos x="0" y="0"/>
                <wp:positionH relativeFrom="margin">
                  <wp:posOffset>453301</wp:posOffset>
                </wp:positionH>
                <wp:positionV relativeFrom="paragraph">
                  <wp:posOffset>31786</wp:posOffset>
                </wp:positionV>
                <wp:extent cx="81485" cy="62902"/>
                <wp:effectExtent l="0" t="0" r="0" b="0"/>
                <wp:wrapNone/>
                <wp:docPr id="1812870578" name="Triángulo isósce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485" cy="62902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9311ECE" id="Triángulo isósceles 7" o:spid="_x0000_s1026" type="#_x0000_t5" style="position:absolute;margin-left:35.7pt;margin-top:2.5pt;width:6.4pt;height:4.9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" fillcolor="red" stroked="f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4105CA" w:rsidRPr="008D2788">
        <w:rPr>
          <w:rFonts w:ascii="Arial" w:hAnsi="Arial" w:cs="Arial"/>
          <w:bCs/>
          <w:sz w:val="16"/>
          <w:szCs w:val="16"/>
        </w:rPr>
        <w:t>Cambio negativo estadísticamente significativo</w:t>
      </w:r>
      <w:r w:rsidR="00B811A9" w:rsidRPr="008D2788">
        <w:rPr>
          <w:rFonts w:ascii="Arial" w:hAnsi="Arial" w:cs="Arial"/>
          <w:bCs/>
          <w:sz w:val="16"/>
          <w:szCs w:val="16"/>
        </w:rPr>
        <w:t>.</w:t>
      </w:r>
    </w:p>
    <w:p w14:paraId="7D1C0FD3" w14:textId="1ECCF52F" w:rsidR="00035D40" w:rsidRPr="00B364EE" w:rsidRDefault="00035D40" w:rsidP="002A0561">
      <w:pPr>
        <w:spacing w:after="0" w:line="240" w:lineRule="auto"/>
        <w:ind w:left="1701" w:right="1699" w:hanging="992"/>
        <w:jc w:val="both"/>
        <w:rPr>
          <w:rFonts w:ascii="Arial" w:eastAsia="+mn-ea" w:hAnsi="Arial" w:cs="Arial"/>
          <w:bCs/>
          <w:kern w:val="24"/>
          <w:sz w:val="16"/>
          <w:szCs w:val="16"/>
          <w:lang w:eastAsia="es-MX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Fuente: </w:t>
      </w:r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 xml:space="preserve">inegi. </w:t>
      </w:r>
      <w:proofErr w:type="spellStart"/>
      <w:r w:rsidRPr="00864FE5">
        <w:rPr>
          <w:rFonts w:ascii="Arial" w:hAnsi="Arial" w:cs="Arial"/>
          <w:bCs/>
          <w:smallCaps/>
          <w:color w:val="000000" w:themeColor="text1"/>
          <w:sz w:val="16"/>
          <w:szCs w:val="16"/>
        </w:rPr>
        <w:t>ecis</w:t>
      </w:r>
      <w:proofErr w:type="spellEnd"/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, </w:t>
      </w:r>
      <w:r w:rsidR="00EB2142">
        <w:rPr>
          <w:rFonts w:ascii="Arial" w:hAnsi="Arial" w:cs="Arial"/>
          <w:bCs/>
          <w:color w:val="000000" w:themeColor="text1"/>
          <w:sz w:val="16"/>
          <w:szCs w:val="16"/>
        </w:rPr>
        <w:t xml:space="preserve">2021 y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2022.</w:t>
      </w:r>
    </w:p>
    <w:p w14:paraId="28A2BEEF" w14:textId="77777777" w:rsidR="00035D40" w:rsidRPr="008D2788" w:rsidRDefault="00035D40" w:rsidP="002A0561">
      <w:pPr>
        <w:pStyle w:val="NormalWeb"/>
        <w:spacing w:before="0" w:beforeAutospacing="0" w:after="0" w:afterAutospacing="0"/>
        <w:ind w:left="709" w:right="849"/>
        <w:jc w:val="both"/>
        <w:rPr>
          <w:rFonts w:ascii="Arial" w:hAnsi="Arial" w:cs="Arial"/>
          <w:bCs/>
          <w:sz w:val="16"/>
          <w:szCs w:val="16"/>
        </w:rPr>
      </w:pPr>
    </w:p>
    <w:p w14:paraId="685847CE" w14:textId="1DC7AADD" w:rsidR="004378B5" w:rsidRPr="008D2788" w:rsidRDefault="004378B5" w:rsidP="00F4207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24"/>
          <w:sz w:val="16"/>
          <w:szCs w:val="16"/>
        </w:rPr>
      </w:pPr>
    </w:p>
    <w:p w14:paraId="2A70D007" w14:textId="77777777" w:rsidR="004378B5" w:rsidRDefault="004378B5" w:rsidP="00F4207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404040" w:themeColor="text1" w:themeTint="BF"/>
          <w:kern w:val="24"/>
          <w:szCs w:val="16"/>
        </w:rPr>
      </w:pPr>
    </w:p>
    <w:p w14:paraId="09765AD0" w14:textId="77777777" w:rsidR="00264BA5" w:rsidRPr="008D2788" w:rsidRDefault="00264BA5" w:rsidP="00F4207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404040" w:themeColor="text1" w:themeTint="BF"/>
          <w:kern w:val="24"/>
          <w:szCs w:val="16"/>
        </w:rPr>
      </w:pPr>
    </w:p>
    <w:p w14:paraId="2CD7D649" w14:textId="27823171" w:rsidR="00EF6B24" w:rsidRDefault="00DE59FB" w:rsidP="00F42075">
      <w:pPr>
        <w:autoSpaceDE w:val="0"/>
        <w:autoSpaceDN w:val="0"/>
        <w:adjustRightInd w:val="0"/>
        <w:spacing w:after="0" w:line="240" w:lineRule="auto"/>
        <w:ind w:right="-518"/>
        <w:outlineLvl w:val="0"/>
        <w:rPr>
          <w:rFonts w:ascii="Arial Negrita" w:hAnsi="Arial Negrita" w:cs="Arial"/>
          <w:b/>
          <w:smallCaps/>
          <w:sz w:val="24"/>
          <w:szCs w:val="24"/>
        </w:rPr>
      </w:pPr>
      <w:r>
        <w:rPr>
          <w:rFonts w:ascii="Arial Negrita" w:hAnsi="Arial Negrita" w:cs="Arial"/>
          <w:b/>
          <w:smallCaps/>
          <w:sz w:val="24"/>
          <w:szCs w:val="24"/>
        </w:rPr>
        <w:t xml:space="preserve">Aspectos </w:t>
      </w:r>
      <w:r w:rsidR="004A42E4" w:rsidRPr="008D2788">
        <w:rPr>
          <w:rFonts w:ascii="Arial Negrita" w:hAnsi="Arial Negrita" w:cs="Arial"/>
          <w:b/>
          <w:smallCaps/>
          <w:sz w:val="24"/>
          <w:szCs w:val="24"/>
        </w:rPr>
        <w:t>metodológic</w:t>
      </w:r>
      <w:r>
        <w:rPr>
          <w:rFonts w:ascii="Arial Negrita" w:hAnsi="Arial Negrita" w:cs="Arial"/>
          <w:b/>
          <w:smallCaps/>
          <w:sz w:val="24"/>
          <w:szCs w:val="24"/>
        </w:rPr>
        <w:t>os</w:t>
      </w:r>
    </w:p>
    <w:p w14:paraId="3AA94DA8" w14:textId="77777777" w:rsidR="00035D40" w:rsidRPr="008D2788" w:rsidRDefault="00035D40" w:rsidP="002A0561">
      <w:pPr>
        <w:autoSpaceDE w:val="0"/>
        <w:autoSpaceDN w:val="0"/>
        <w:adjustRightInd w:val="0"/>
        <w:spacing w:after="0" w:line="240" w:lineRule="auto"/>
        <w:ind w:right="-518"/>
        <w:outlineLvl w:val="0"/>
        <w:rPr>
          <w:rFonts w:ascii="Arial Negrita" w:hAnsi="Arial Negrita" w:cs="Arial"/>
          <w:b/>
          <w:smallCaps/>
          <w:sz w:val="24"/>
          <w:szCs w:val="24"/>
        </w:rPr>
      </w:pPr>
    </w:p>
    <w:p w14:paraId="0049F69B" w14:textId="0F56A19B" w:rsidR="00274A2D" w:rsidRDefault="00274A2D" w:rsidP="00F4207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D2788">
        <w:rPr>
          <w:rFonts w:ascii="Arial" w:hAnsi="Arial" w:cs="Arial"/>
          <w:bCs/>
          <w:sz w:val="24"/>
          <w:szCs w:val="24"/>
        </w:rPr>
        <w:t xml:space="preserve">La </w:t>
      </w:r>
      <w:r w:rsidR="00DE59FB" w:rsidRPr="00DE59FB">
        <w:rPr>
          <w:rFonts w:ascii="Arial" w:hAnsi="Arial" w:cs="Arial"/>
          <w:bCs/>
          <w:smallCaps/>
          <w:sz w:val="24"/>
          <w:szCs w:val="24"/>
        </w:rPr>
        <w:t>ecis</w:t>
      </w:r>
      <w:r w:rsidRPr="008D2788">
        <w:rPr>
          <w:rFonts w:ascii="Arial" w:hAnsi="Arial" w:cs="Arial"/>
          <w:bCs/>
          <w:sz w:val="24"/>
          <w:szCs w:val="24"/>
        </w:rPr>
        <w:t xml:space="preserve"> forma parte de una serie de estadísticas que</w:t>
      </w:r>
      <w:r w:rsidR="00DE59FB">
        <w:rPr>
          <w:rFonts w:ascii="Arial" w:hAnsi="Arial" w:cs="Arial"/>
          <w:bCs/>
          <w:sz w:val="24"/>
          <w:szCs w:val="24"/>
        </w:rPr>
        <w:t>,</w:t>
      </w:r>
      <w:r w:rsidRPr="008D2788">
        <w:rPr>
          <w:rFonts w:ascii="Arial" w:hAnsi="Arial" w:cs="Arial"/>
          <w:bCs/>
          <w:sz w:val="24"/>
          <w:szCs w:val="24"/>
        </w:rPr>
        <w:t xml:space="preserve"> en conjunto</w:t>
      </w:r>
      <w:r w:rsidR="00DE59FB">
        <w:rPr>
          <w:rFonts w:ascii="Arial" w:hAnsi="Arial" w:cs="Arial"/>
          <w:bCs/>
          <w:sz w:val="24"/>
          <w:szCs w:val="24"/>
        </w:rPr>
        <w:t>,</w:t>
      </w:r>
      <w:r w:rsidRPr="008D2788">
        <w:rPr>
          <w:rFonts w:ascii="Arial" w:hAnsi="Arial" w:cs="Arial"/>
          <w:bCs/>
          <w:sz w:val="24"/>
          <w:szCs w:val="24"/>
        </w:rPr>
        <w:t xml:space="preserve"> componen el programa de Estadísticas de Comercio Internacional de Servicios y Digitalización.</w:t>
      </w:r>
      <w:r w:rsidR="00F95F2D">
        <w:rPr>
          <w:rFonts w:ascii="Arial" w:hAnsi="Arial" w:cs="Arial"/>
          <w:bCs/>
          <w:sz w:val="24"/>
          <w:szCs w:val="24"/>
        </w:rPr>
        <w:t xml:space="preserve"> </w:t>
      </w:r>
      <w:r w:rsidRPr="008D2788">
        <w:rPr>
          <w:rFonts w:ascii="Arial" w:hAnsi="Arial" w:cs="Arial"/>
          <w:bCs/>
          <w:sz w:val="24"/>
          <w:szCs w:val="24"/>
        </w:rPr>
        <w:t xml:space="preserve">De acuerdo con el </w:t>
      </w:r>
      <w:r w:rsidR="00DE59FB" w:rsidRPr="00DE59FB">
        <w:rPr>
          <w:rFonts w:ascii="Arial" w:hAnsi="Arial" w:cs="Arial"/>
          <w:bCs/>
          <w:smallCaps/>
          <w:sz w:val="24"/>
          <w:szCs w:val="24"/>
        </w:rPr>
        <w:t>mecis</w:t>
      </w:r>
      <w:r w:rsidRPr="008D2788">
        <w:rPr>
          <w:rFonts w:ascii="Arial" w:hAnsi="Arial" w:cs="Arial"/>
          <w:bCs/>
          <w:sz w:val="24"/>
          <w:szCs w:val="24"/>
        </w:rPr>
        <w:t xml:space="preserve"> 2010 de las Naciones Unidas, los servicios se describen como el resultado de una actividad de producción que cambia las condiciones de las unidades que los consumen o facilita el intercambio de productos o de activos financieros</w:t>
      </w:r>
      <w:r w:rsidR="00974194">
        <w:rPr>
          <w:rFonts w:ascii="Arial" w:hAnsi="Arial" w:cs="Arial"/>
          <w:bCs/>
          <w:sz w:val="24"/>
          <w:szCs w:val="24"/>
        </w:rPr>
        <w:t>.</w:t>
      </w:r>
      <w:r w:rsidRPr="008D2788">
        <w:rPr>
          <w:rFonts w:ascii="Arial" w:hAnsi="Arial" w:cs="Arial"/>
          <w:bCs/>
          <w:sz w:val="24"/>
          <w:szCs w:val="24"/>
        </w:rPr>
        <w:t xml:space="preserve"> </w:t>
      </w:r>
      <w:r w:rsidR="00974194">
        <w:rPr>
          <w:rFonts w:ascii="Arial" w:hAnsi="Arial" w:cs="Arial"/>
          <w:bCs/>
          <w:sz w:val="24"/>
          <w:szCs w:val="24"/>
        </w:rPr>
        <w:t>Por lo</w:t>
      </w:r>
      <w:r w:rsidRPr="008D2788">
        <w:rPr>
          <w:rFonts w:ascii="Arial" w:hAnsi="Arial" w:cs="Arial"/>
          <w:bCs/>
          <w:sz w:val="24"/>
          <w:szCs w:val="24"/>
        </w:rPr>
        <w:t xml:space="preserve"> tanto, el término Comercio Internacional de Servicios (</w:t>
      </w:r>
      <w:r w:rsidR="00DE59FB" w:rsidRPr="00DE59FB">
        <w:rPr>
          <w:rFonts w:ascii="Arial" w:hAnsi="Arial" w:cs="Arial"/>
          <w:bCs/>
          <w:smallCaps/>
          <w:sz w:val="24"/>
          <w:szCs w:val="24"/>
        </w:rPr>
        <w:t>cis</w:t>
      </w:r>
      <w:r w:rsidRPr="008D2788">
        <w:rPr>
          <w:rFonts w:ascii="Arial" w:hAnsi="Arial" w:cs="Arial"/>
          <w:bCs/>
          <w:sz w:val="24"/>
          <w:szCs w:val="24"/>
        </w:rPr>
        <w:t>) abarca el comercio de servicios en el sentido convencional de las transacciones (las exportaciones e importaciones) entre residentes y no residentes</w:t>
      </w:r>
      <w:r w:rsidR="00F95F2D">
        <w:rPr>
          <w:rFonts w:ascii="Arial" w:hAnsi="Arial" w:cs="Arial"/>
          <w:bCs/>
          <w:sz w:val="24"/>
          <w:szCs w:val="24"/>
        </w:rPr>
        <w:t xml:space="preserve">. Además, </w:t>
      </w:r>
      <w:r w:rsidRPr="008D2788">
        <w:rPr>
          <w:rFonts w:ascii="Arial" w:hAnsi="Arial" w:cs="Arial"/>
          <w:bCs/>
          <w:sz w:val="24"/>
          <w:szCs w:val="24"/>
        </w:rPr>
        <w:t xml:space="preserve">comprende los servicios suministrados por intermedio de empresas establecidas a nivel local pero que </w:t>
      </w:r>
      <w:r w:rsidR="00F95F2D">
        <w:rPr>
          <w:rFonts w:ascii="Arial" w:hAnsi="Arial" w:cs="Arial"/>
          <w:bCs/>
          <w:sz w:val="24"/>
          <w:szCs w:val="24"/>
        </w:rPr>
        <w:t xml:space="preserve">las controla un </w:t>
      </w:r>
      <w:r w:rsidRPr="008D2788">
        <w:rPr>
          <w:rFonts w:ascii="Arial" w:hAnsi="Arial" w:cs="Arial"/>
          <w:bCs/>
          <w:sz w:val="24"/>
          <w:szCs w:val="24"/>
        </w:rPr>
        <w:t>capital extranjero</w:t>
      </w:r>
      <w:r w:rsidR="00F95F2D">
        <w:rPr>
          <w:rFonts w:ascii="Arial" w:hAnsi="Arial" w:cs="Arial"/>
          <w:bCs/>
          <w:sz w:val="24"/>
          <w:szCs w:val="24"/>
        </w:rPr>
        <w:t xml:space="preserve">. Estas últimas </w:t>
      </w:r>
      <w:r w:rsidRPr="008D2788">
        <w:rPr>
          <w:rFonts w:ascii="Arial" w:hAnsi="Arial" w:cs="Arial"/>
          <w:bCs/>
          <w:sz w:val="24"/>
          <w:szCs w:val="24"/>
        </w:rPr>
        <w:t xml:space="preserve">no son sujeto de estudio de la </w:t>
      </w:r>
      <w:r w:rsidR="00DE59FB" w:rsidRPr="00DE59FB">
        <w:rPr>
          <w:rFonts w:ascii="Arial" w:hAnsi="Arial" w:cs="Arial"/>
          <w:bCs/>
          <w:smallCaps/>
          <w:sz w:val="24"/>
          <w:szCs w:val="24"/>
        </w:rPr>
        <w:t>ecis</w:t>
      </w:r>
      <w:r w:rsidRPr="008D2788">
        <w:rPr>
          <w:rFonts w:ascii="Arial" w:hAnsi="Arial" w:cs="Arial"/>
          <w:bCs/>
          <w:sz w:val="24"/>
          <w:szCs w:val="24"/>
        </w:rPr>
        <w:t xml:space="preserve">. </w:t>
      </w:r>
    </w:p>
    <w:p w14:paraId="7990BAAD" w14:textId="77777777" w:rsidR="00F42075" w:rsidRPr="008D2788" w:rsidRDefault="00F42075" w:rsidP="002A05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8646EA" w14:textId="444F3122" w:rsidR="00274A2D" w:rsidRPr="008D2788" w:rsidRDefault="00274A2D" w:rsidP="002A05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D2788">
        <w:rPr>
          <w:rFonts w:ascii="Arial" w:hAnsi="Arial" w:cs="Arial"/>
          <w:bCs/>
          <w:sz w:val="24"/>
          <w:szCs w:val="24"/>
        </w:rPr>
        <w:t xml:space="preserve">La base conceptual para la compilación, procesamiento y publicación de la </w:t>
      </w:r>
      <w:r w:rsidR="00DE59FB" w:rsidRPr="002A0561">
        <w:rPr>
          <w:rFonts w:ascii="Arial" w:hAnsi="Arial" w:cs="Arial"/>
          <w:bCs/>
          <w:smallCaps/>
          <w:sz w:val="24"/>
          <w:szCs w:val="24"/>
        </w:rPr>
        <w:t>ecis</w:t>
      </w:r>
      <w:r w:rsidRPr="008D2788">
        <w:rPr>
          <w:rFonts w:ascii="Arial" w:hAnsi="Arial" w:cs="Arial"/>
          <w:bCs/>
          <w:sz w:val="24"/>
          <w:szCs w:val="24"/>
        </w:rPr>
        <w:t xml:space="preserve"> se alinea </w:t>
      </w:r>
      <w:r w:rsidR="00D5424A">
        <w:rPr>
          <w:rFonts w:ascii="Arial" w:hAnsi="Arial" w:cs="Arial"/>
          <w:bCs/>
          <w:sz w:val="24"/>
          <w:szCs w:val="24"/>
        </w:rPr>
        <w:t>con</w:t>
      </w:r>
      <w:r w:rsidRPr="008D2788">
        <w:rPr>
          <w:rFonts w:ascii="Arial" w:hAnsi="Arial" w:cs="Arial"/>
          <w:bCs/>
          <w:sz w:val="24"/>
          <w:szCs w:val="24"/>
        </w:rPr>
        <w:t xml:space="preserve"> las recomendaciones internacionales y mejores prácticas </w:t>
      </w:r>
      <w:r w:rsidR="00D5424A">
        <w:rPr>
          <w:rFonts w:ascii="Arial" w:hAnsi="Arial" w:cs="Arial"/>
          <w:bCs/>
          <w:sz w:val="24"/>
          <w:szCs w:val="24"/>
        </w:rPr>
        <w:t xml:space="preserve">del </w:t>
      </w:r>
      <w:r w:rsidR="00DE59FB" w:rsidRPr="00DE59FB">
        <w:rPr>
          <w:rFonts w:ascii="Arial" w:hAnsi="Arial" w:cs="Arial"/>
          <w:bCs/>
          <w:smallCaps/>
          <w:sz w:val="24"/>
          <w:szCs w:val="24"/>
        </w:rPr>
        <w:t>mecis</w:t>
      </w:r>
      <w:r w:rsidRPr="008D2788">
        <w:rPr>
          <w:rFonts w:ascii="Arial" w:hAnsi="Arial" w:cs="Arial"/>
          <w:bCs/>
          <w:sz w:val="24"/>
          <w:szCs w:val="24"/>
        </w:rPr>
        <w:t xml:space="preserve"> 2010</w:t>
      </w:r>
      <w:r w:rsidR="00D5424A">
        <w:rPr>
          <w:rFonts w:ascii="Arial" w:hAnsi="Arial" w:cs="Arial"/>
          <w:bCs/>
          <w:sz w:val="24"/>
          <w:szCs w:val="24"/>
        </w:rPr>
        <w:t xml:space="preserve">. Este se </w:t>
      </w:r>
      <w:r w:rsidRPr="008D2788">
        <w:rPr>
          <w:rFonts w:ascii="Arial" w:hAnsi="Arial" w:cs="Arial"/>
          <w:bCs/>
          <w:sz w:val="24"/>
          <w:szCs w:val="24"/>
        </w:rPr>
        <w:t xml:space="preserve">ajusta al Sistema de Cuentas Nacionales de 2008 y a la sexta edición del </w:t>
      </w:r>
      <w:r w:rsidRPr="002A0561">
        <w:rPr>
          <w:rFonts w:ascii="Arial" w:hAnsi="Arial" w:cs="Arial"/>
          <w:bCs/>
          <w:i/>
          <w:iCs/>
          <w:sz w:val="24"/>
          <w:szCs w:val="24"/>
        </w:rPr>
        <w:t>Manual de la Balanza de Pagos y Posición de Inversión Internacional</w:t>
      </w:r>
      <w:r w:rsidR="00DE59FB">
        <w:rPr>
          <w:rFonts w:ascii="Arial" w:hAnsi="Arial" w:cs="Arial"/>
          <w:bCs/>
          <w:sz w:val="24"/>
          <w:szCs w:val="24"/>
        </w:rPr>
        <w:t xml:space="preserve"> </w:t>
      </w:r>
      <w:r w:rsidRPr="008D2788">
        <w:rPr>
          <w:rFonts w:ascii="Arial" w:hAnsi="Arial" w:cs="Arial"/>
          <w:bCs/>
          <w:sz w:val="24"/>
          <w:szCs w:val="24"/>
        </w:rPr>
        <w:t xml:space="preserve">del Fondo Monetario Internacional. </w:t>
      </w:r>
    </w:p>
    <w:p w14:paraId="42744884" w14:textId="4A4D7BAF" w:rsidR="00274A2D" w:rsidRPr="008D2788" w:rsidRDefault="00274A2D" w:rsidP="002A05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A6E6AD" w14:textId="77777777" w:rsidR="008959B3" w:rsidRDefault="008959B3" w:rsidP="00F42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EC84EE" w14:textId="77777777" w:rsidR="008959B3" w:rsidRDefault="008959B3" w:rsidP="00F42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78CD32" w14:textId="77777777" w:rsidR="008959B3" w:rsidRDefault="008959B3" w:rsidP="00F42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7F52DF" w14:textId="77777777" w:rsidR="008959B3" w:rsidRDefault="008959B3" w:rsidP="00F42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5BAA01" w14:textId="77777777" w:rsidR="008959B3" w:rsidRDefault="008959B3" w:rsidP="00F42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F88E6C" w14:textId="029B215D" w:rsidR="00653970" w:rsidRDefault="00C776A2" w:rsidP="00F42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2788">
        <w:rPr>
          <w:rFonts w:ascii="Arial" w:hAnsi="Arial" w:cs="Arial"/>
          <w:sz w:val="24"/>
          <w:szCs w:val="24"/>
        </w:rPr>
        <w:t xml:space="preserve">La </w:t>
      </w:r>
      <w:r w:rsidR="00DE3A0B" w:rsidRPr="008D2788">
        <w:rPr>
          <w:rFonts w:ascii="Arial" w:hAnsi="Arial" w:cs="Arial"/>
          <w:sz w:val="24"/>
          <w:szCs w:val="24"/>
        </w:rPr>
        <w:t xml:space="preserve">población objetivo en la </w:t>
      </w:r>
      <w:r w:rsidR="00DE59FB" w:rsidRPr="00DE59FB">
        <w:rPr>
          <w:rFonts w:ascii="Arial" w:hAnsi="Arial" w:cs="Arial"/>
          <w:smallCaps/>
          <w:sz w:val="24"/>
          <w:szCs w:val="24"/>
        </w:rPr>
        <w:t xml:space="preserve">ecis </w:t>
      </w:r>
      <w:r w:rsidR="00DE3A0B" w:rsidRPr="008D2788">
        <w:rPr>
          <w:rFonts w:ascii="Arial" w:hAnsi="Arial" w:cs="Arial"/>
          <w:sz w:val="24"/>
          <w:szCs w:val="24"/>
        </w:rPr>
        <w:t>202</w:t>
      </w:r>
      <w:r w:rsidR="002547AC" w:rsidRPr="008D2788">
        <w:rPr>
          <w:rFonts w:ascii="Arial" w:hAnsi="Arial" w:cs="Arial"/>
          <w:sz w:val="24"/>
          <w:szCs w:val="24"/>
        </w:rPr>
        <w:t>2</w:t>
      </w:r>
      <w:r w:rsidR="00DE3A0B" w:rsidRPr="008D2788">
        <w:rPr>
          <w:rFonts w:ascii="Arial" w:hAnsi="Arial" w:cs="Arial"/>
          <w:sz w:val="24"/>
          <w:szCs w:val="24"/>
        </w:rPr>
        <w:t xml:space="preserve"> son las empresas del país pertenecientes a los grandes sectores de actividad económica (industria</w:t>
      </w:r>
      <w:r w:rsidR="00B32D0E">
        <w:rPr>
          <w:rStyle w:val="Refdenotaalpie"/>
          <w:rFonts w:ascii="Arial" w:hAnsi="Arial" w:cs="Arial"/>
          <w:sz w:val="24"/>
          <w:szCs w:val="24"/>
        </w:rPr>
        <w:footnoteReference w:id="5"/>
      </w:r>
      <w:r w:rsidR="00DE59FB">
        <w:rPr>
          <w:rFonts w:ascii="Arial" w:hAnsi="Arial" w:cs="Arial"/>
          <w:sz w:val="24"/>
          <w:szCs w:val="24"/>
        </w:rPr>
        <w:t>,</w:t>
      </w:r>
      <w:r w:rsidR="00DE3A0B" w:rsidRPr="008D2788">
        <w:rPr>
          <w:rFonts w:ascii="Arial" w:hAnsi="Arial" w:cs="Arial"/>
          <w:sz w:val="24"/>
          <w:szCs w:val="24"/>
        </w:rPr>
        <w:t xml:space="preserve"> comercio</w:t>
      </w:r>
      <w:r w:rsidR="00B32D0E">
        <w:rPr>
          <w:rStyle w:val="Refdenotaalpie"/>
          <w:rFonts w:ascii="Arial" w:hAnsi="Arial" w:cs="Arial"/>
          <w:sz w:val="24"/>
          <w:szCs w:val="24"/>
        </w:rPr>
        <w:footnoteReference w:id="6"/>
      </w:r>
      <w:r w:rsidR="00DE3A0B" w:rsidRPr="008D2788">
        <w:rPr>
          <w:rFonts w:ascii="Arial" w:hAnsi="Arial" w:cs="Arial"/>
          <w:sz w:val="24"/>
          <w:szCs w:val="24"/>
        </w:rPr>
        <w:t xml:space="preserve"> y servicios privados no financieros), según el Sistema de Clasificación Industrial de América del Norte </w:t>
      </w:r>
      <w:r w:rsidR="00DE3A0B" w:rsidRPr="00B32D0E">
        <w:rPr>
          <w:rFonts w:ascii="Arial" w:hAnsi="Arial" w:cs="Arial"/>
          <w:sz w:val="24"/>
          <w:szCs w:val="24"/>
        </w:rPr>
        <w:t>2018</w:t>
      </w:r>
      <w:r w:rsidR="00DE3A0B" w:rsidRPr="008D2788">
        <w:rPr>
          <w:rFonts w:ascii="Arial" w:hAnsi="Arial" w:cs="Arial"/>
          <w:sz w:val="24"/>
          <w:szCs w:val="24"/>
        </w:rPr>
        <w:t>, y que en los Censos Económicos (</w:t>
      </w:r>
      <w:r w:rsidR="00DE59FB" w:rsidRPr="00DE59FB">
        <w:rPr>
          <w:rFonts w:ascii="Arial" w:hAnsi="Arial" w:cs="Arial"/>
          <w:smallCaps/>
          <w:sz w:val="24"/>
          <w:szCs w:val="24"/>
        </w:rPr>
        <w:t>ce</w:t>
      </w:r>
      <w:r w:rsidR="00DE3A0B" w:rsidRPr="008D2788">
        <w:rPr>
          <w:rFonts w:ascii="Arial" w:hAnsi="Arial" w:cs="Arial"/>
          <w:sz w:val="24"/>
          <w:szCs w:val="24"/>
        </w:rPr>
        <w:t xml:space="preserve">) </w:t>
      </w:r>
      <w:r w:rsidR="00DE59FB">
        <w:rPr>
          <w:rFonts w:ascii="Arial" w:hAnsi="Arial" w:cs="Arial"/>
          <w:sz w:val="24"/>
          <w:szCs w:val="24"/>
        </w:rPr>
        <w:t xml:space="preserve">2019 </w:t>
      </w:r>
      <w:r w:rsidR="00DE3A0B" w:rsidRPr="008D2788">
        <w:rPr>
          <w:rFonts w:ascii="Arial" w:hAnsi="Arial" w:cs="Arial"/>
          <w:sz w:val="24"/>
          <w:szCs w:val="24"/>
        </w:rPr>
        <w:t xml:space="preserve">reportaron realizar alguna actividad de servicios con el extranjero o tener alguna relación de propiedad u operacional con empresas </w:t>
      </w:r>
      <w:r w:rsidR="00A921EC">
        <w:rPr>
          <w:rFonts w:ascii="Arial" w:hAnsi="Arial" w:cs="Arial"/>
          <w:sz w:val="24"/>
          <w:szCs w:val="24"/>
        </w:rPr>
        <w:t>fuera del país</w:t>
      </w:r>
      <w:r w:rsidR="00DE3A0B" w:rsidRPr="008D2788">
        <w:rPr>
          <w:rFonts w:ascii="Arial" w:hAnsi="Arial" w:cs="Arial"/>
          <w:sz w:val="24"/>
          <w:szCs w:val="24"/>
        </w:rPr>
        <w:t xml:space="preserve">. </w:t>
      </w:r>
    </w:p>
    <w:p w14:paraId="7D489FA7" w14:textId="77777777" w:rsidR="00F42075" w:rsidRPr="008D2788" w:rsidRDefault="00F42075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894A99" w14:textId="709809DD" w:rsidR="00C776A2" w:rsidRDefault="00DE3A0B" w:rsidP="00F42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2788">
        <w:rPr>
          <w:rFonts w:ascii="Arial" w:hAnsi="Arial" w:cs="Arial"/>
          <w:sz w:val="24"/>
          <w:szCs w:val="24"/>
        </w:rPr>
        <w:t xml:space="preserve">La </w:t>
      </w:r>
      <w:r w:rsidR="00C776A2" w:rsidRPr="008D2788">
        <w:rPr>
          <w:rFonts w:ascii="Arial" w:hAnsi="Arial" w:cs="Arial"/>
          <w:sz w:val="24"/>
          <w:szCs w:val="24"/>
        </w:rPr>
        <w:t xml:space="preserve">unidad de observación en la </w:t>
      </w:r>
      <w:r w:rsidR="00DE59FB" w:rsidRPr="00DE59FB">
        <w:rPr>
          <w:rFonts w:ascii="Arial" w:hAnsi="Arial" w:cs="Arial"/>
          <w:smallCaps/>
          <w:sz w:val="24"/>
          <w:szCs w:val="24"/>
        </w:rPr>
        <w:t>ecis</w:t>
      </w:r>
      <w:r w:rsidR="00C776A2" w:rsidRPr="008D2788">
        <w:rPr>
          <w:rFonts w:ascii="Arial" w:hAnsi="Arial" w:cs="Arial"/>
          <w:sz w:val="24"/>
          <w:szCs w:val="24"/>
        </w:rPr>
        <w:t xml:space="preserve"> 202</w:t>
      </w:r>
      <w:r w:rsidR="002547AC" w:rsidRPr="008D2788">
        <w:rPr>
          <w:rFonts w:ascii="Arial" w:hAnsi="Arial" w:cs="Arial"/>
          <w:sz w:val="24"/>
          <w:szCs w:val="24"/>
        </w:rPr>
        <w:t>2</w:t>
      </w:r>
      <w:r w:rsidR="00C776A2" w:rsidRPr="008D2788">
        <w:rPr>
          <w:rFonts w:ascii="Arial" w:hAnsi="Arial" w:cs="Arial"/>
          <w:sz w:val="24"/>
          <w:szCs w:val="24"/>
        </w:rPr>
        <w:t xml:space="preserve"> </w:t>
      </w:r>
      <w:r w:rsidR="00DE59FB">
        <w:rPr>
          <w:rFonts w:ascii="Arial" w:hAnsi="Arial" w:cs="Arial"/>
          <w:sz w:val="24"/>
          <w:szCs w:val="24"/>
        </w:rPr>
        <w:t>fue</w:t>
      </w:r>
      <w:r w:rsidR="00C776A2" w:rsidRPr="008D2788">
        <w:rPr>
          <w:rFonts w:ascii="Arial" w:hAnsi="Arial" w:cs="Arial"/>
          <w:sz w:val="24"/>
          <w:szCs w:val="24"/>
        </w:rPr>
        <w:t xml:space="preserve"> la empresa</w:t>
      </w:r>
      <w:r w:rsidR="002547AC" w:rsidRPr="008D2788">
        <w:rPr>
          <w:rFonts w:ascii="Arial" w:hAnsi="Arial" w:cs="Arial"/>
          <w:sz w:val="24"/>
          <w:szCs w:val="24"/>
        </w:rPr>
        <w:t xml:space="preserve">, </w:t>
      </w:r>
      <w:r w:rsidR="00DE59FB">
        <w:rPr>
          <w:rFonts w:ascii="Arial" w:hAnsi="Arial" w:cs="Arial"/>
          <w:sz w:val="24"/>
          <w:szCs w:val="24"/>
        </w:rPr>
        <w:t>que se define como</w:t>
      </w:r>
      <w:r w:rsidR="00653970" w:rsidRPr="008D2788">
        <w:rPr>
          <w:rFonts w:ascii="Arial" w:hAnsi="Arial" w:cs="Arial"/>
          <w:sz w:val="24"/>
          <w:szCs w:val="24"/>
        </w:rPr>
        <w:t xml:space="preserve"> la unidad económica que bajo una sola entidad propietaria o controladora combina acciones y recursos para realizar actividades de producción de bienes, </w:t>
      </w:r>
      <w:r w:rsidR="00274A2D" w:rsidRPr="008D2788">
        <w:rPr>
          <w:rFonts w:ascii="Arial" w:hAnsi="Arial" w:cs="Arial"/>
          <w:sz w:val="24"/>
          <w:szCs w:val="24"/>
        </w:rPr>
        <w:t>compraventa</w:t>
      </w:r>
      <w:r w:rsidR="00653970" w:rsidRPr="008D2788">
        <w:rPr>
          <w:rFonts w:ascii="Arial" w:hAnsi="Arial" w:cs="Arial"/>
          <w:sz w:val="24"/>
          <w:szCs w:val="24"/>
        </w:rPr>
        <w:t xml:space="preserve"> de mercancías o prestación de servicios, sea con fines mercantiles o no. Puede estar integrada por uno o más establecimientos. </w:t>
      </w:r>
    </w:p>
    <w:p w14:paraId="021EA688" w14:textId="77777777" w:rsidR="00F42075" w:rsidRPr="008D2788" w:rsidRDefault="00F42075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E999A" w14:textId="30920192" w:rsidR="00C776A2" w:rsidRDefault="00C776A2" w:rsidP="00F42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2788">
        <w:rPr>
          <w:rFonts w:ascii="Arial" w:hAnsi="Arial" w:cs="Arial"/>
          <w:sz w:val="24"/>
          <w:szCs w:val="24"/>
        </w:rPr>
        <w:t>La información se captó</w:t>
      </w:r>
      <w:r w:rsidR="00C1798E" w:rsidRPr="008D2788">
        <w:rPr>
          <w:rFonts w:ascii="Arial" w:hAnsi="Arial" w:cs="Arial"/>
          <w:sz w:val="24"/>
          <w:szCs w:val="24"/>
        </w:rPr>
        <w:t xml:space="preserve"> del</w:t>
      </w:r>
      <w:r w:rsidRPr="008D2788">
        <w:rPr>
          <w:rFonts w:ascii="Arial" w:hAnsi="Arial" w:cs="Arial"/>
          <w:sz w:val="24"/>
          <w:szCs w:val="24"/>
        </w:rPr>
        <w:t xml:space="preserve"> </w:t>
      </w:r>
      <w:r w:rsidR="00C1798E" w:rsidRPr="008D2788">
        <w:rPr>
          <w:rFonts w:ascii="Arial" w:hAnsi="Arial" w:cs="Arial"/>
          <w:sz w:val="24"/>
          <w:szCs w:val="24"/>
        </w:rPr>
        <w:t xml:space="preserve">8 de </w:t>
      </w:r>
      <w:r w:rsidR="00300A4B" w:rsidRPr="008D2788">
        <w:rPr>
          <w:rFonts w:ascii="Arial" w:hAnsi="Arial" w:cs="Arial"/>
          <w:sz w:val="24"/>
          <w:szCs w:val="24"/>
        </w:rPr>
        <w:t xml:space="preserve">agosto </w:t>
      </w:r>
      <w:r w:rsidR="00C1798E" w:rsidRPr="008D2788">
        <w:rPr>
          <w:rFonts w:ascii="Arial" w:hAnsi="Arial" w:cs="Arial"/>
          <w:sz w:val="24"/>
          <w:szCs w:val="24"/>
        </w:rPr>
        <w:t xml:space="preserve">al </w:t>
      </w:r>
      <w:r w:rsidR="00300A4B" w:rsidRPr="008D2788">
        <w:rPr>
          <w:rFonts w:ascii="Arial" w:hAnsi="Arial" w:cs="Arial"/>
          <w:sz w:val="24"/>
          <w:szCs w:val="24"/>
        </w:rPr>
        <w:t>30</w:t>
      </w:r>
      <w:r w:rsidR="00C1798E" w:rsidRPr="008D2788">
        <w:rPr>
          <w:rFonts w:ascii="Arial" w:hAnsi="Arial" w:cs="Arial"/>
          <w:sz w:val="24"/>
          <w:szCs w:val="24"/>
        </w:rPr>
        <w:t xml:space="preserve"> de</w:t>
      </w:r>
      <w:r w:rsidR="00300A4B" w:rsidRPr="008D2788">
        <w:rPr>
          <w:rFonts w:ascii="Arial" w:hAnsi="Arial" w:cs="Arial"/>
          <w:sz w:val="24"/>
          <w:szCs w:val="24"/>
        </w:rPr>
        <w:t xml:space="preserve"> septiembre</w:t>
      </w:r>
      <w:r w:rsidR="00C1798E" w:rsidRPr="008D2788">
        <w:rPr>
          <w:rFonts w:ascii="Arial" w:hAnsi="Arial" w:cs="Arial"/>
          <w:sz w:val="24"/>
          <w:szCs w:val="24"/>
        </w:rPr>
        <w:t xml:space="preserve"> de 202</w:t>
      </w:r>
      <w:r w:rsidR="00300A4B" w:rsidRPr="008D2788">
        <w:rPr>
          <w:rFonts w:ascii="Arial" w:hAnsi="Arial" w:cs="Arial"/>
          <w:sz w:val="24"/>
          <w:szCs w:val="24"/>
        </w:rPr>
        <w:t>2</w:t>
      </w:r>
      <w:r w:rsidRPr="008D2788">
        <w:rPr>
          <w:rFonts w:ascii="Arial" w:hAnsi="Arial" w:cs="Arial"/>
          <w:sz w:val="24"/>
          <w:szCs w:val="24"/>
        </w:rPr>
        <w:t>, vía internet</w:t>
      </w:r>
      <w:r w:rsidR="00C1798E" w:rsidRPr="008D2788">
        <w:rPr>
          <w:rFonts w:ascii="Arial" w:hAnsi="Arial" w:cs="Arial"/>
          <w:sz w:val="24"/>
          <w:szCs w:val="24"/>
        </w:rPr>
        <w:t>.</w:t>
      </w:r>
      <w:r w:rsidR="007417D0" w:rsidRPr="008D2788">
        <w:rPr>
          <w:rFonts w:ascii="Arial" w:hAnsi="Arial" w:cs="Arial"/>
          <w:sz w:val="24"/>
          <w:szCs w:val="24"/>
        </w:rPr>
        <w:t xml:space="preserve"> </w:t>
      </w:r>
      <w:r w:rsidRPr="008D2788">
        <w:rPr>
          <w:rFonts w:ascii="Arial" w:hAnsi="Arial" w:cs="Arial"/>
          <w:sz w:val="24"/>
          <w:szCs w:val="24"/>
        </w:rPr>
        <w:t xml:space="preserve">El periodo de referencia </w:t>
      </w:r>
      <w:r w:rsidR="00DE3A0B" w:rsidRPr="008D2788">
        <w:rPr>
          <w:rFonts w:ascii="Arial" w:hAnsi="Arial" w:cs="Arial"/>
          <w:sz w:val="24"/>
          <w:szCs w:val="24"/>
        </w:rPr>
        <w:t xml:space="preserve">(temporal) </w:t>
      </w:r>
      <w:r w:rsidRPr="008D2788">
        <w:rPr>
          <w:rFonts w:ascii="Arial" w:hAnsi="Arial" w:cs="Arial"/>
          <w:sz w:val="24"/>
          <w:szCs w:val="24"/>
        </w:rPr>
        <w:t xml:space="preserve">de la </w:t>
      </w:r>
      <w:r w:rsidR="00ED579D" w:rsidRPr="00ED579D">
        <w:rPr>
          <w:rFonts w:ascii="Arial" w:hAnsi="Arial" w:cs="Arial"/>
          <w:smallCaps/>
          <w:sz w:val="24"/>
          <w:szCs w:val="24"/>
        </w:rPr>
        <w:t>ecis</w:t>
      </w:r>
      <w:r w:rsidRPr="008D2788">
        <w:rPr>
          <w:rFonts w:ascii="Arial" w:hAnsi="Arial" w:cs="Arial"/>
          <w:sz w:val="24"/>
          <w:szCs w:val="24"/>
        </w:rPr>
        <w:t xml:space="preserve"> 202</w:t>
      </w:r>
      <w:r w:rsidR="000E0C78" w:rsidRPr="008D2788">
        <w:rPr>
          <w:rFonts w:ascii="Arial" w:hAnsi="Arial" w:cs="Arial"/>
          <w:sz w:val="24"/>
          <w:szCs w:val="24"/>
        </w:rPr>
        <w:t>2 es el año 2021</w:t>
      </w:r>
      <w:r w:rsidR="00C1798E" w:rsidRPr="008D2788">
        <w:rPr>
          <w:rFonts w:ascii="Arial" w:hAnsi="Arial" w:cs="Arial"/>
          <w:sz w:val="24"/>
          <w:szCs w:val="24"/>
        </w:rPr>
        <w:t>.</w:t>
      </w:r>
    </w:p>
    <w:p w14:paraId="5B189168" w14:textId="77777777" w:rsidR="00F42075" w:rsidRPr="008D2788" w:rsidRDefault="00F42075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69DAC" w14:textId="13A84E95" w:rsidR="00E95032" w:rsidRPr="00422B53" w:rsidRDefault="002E57C1" w:rsidP="00E95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2788">
        <w:rPr>
          <w:rFonts w:ascii="Arial" w:hAnsi="Arial" w:cs="Arial"/>
          <w:sz w:val="24"/>
          <w:szCs w:val="24"/>
        </w:rPr>
        <w:t>Para la estratificación de las empresas en grandes, medianas, pequeñas y micro, se emple</w:t>
      </w:r>
      <w:r w:rsidR="00E95032">
        <w:rPr>
          <w:rFonts w:ascii="Arial" w:hAnsi="Arial" w:cs="Arial"/>
          <w:sz w:val="24"/>
          <w:szCs w:val="24"/>
        </w:rPr>
        <w:t>ó</w:t>
      </w:r>
      <w:r w:rsidRPr="008D2788">
        <w:rPr>
          <w:rFonts w:ascii="Arial" w:hAnsi="Arial" w:cs="Arial"/>
          <w:sz w:val="24"/>
          <w:szCs w:val="24"/>
        </w:rPr>
        <w:t xml:space="preserve"> la propuesta </w:t>
      </w:r>
      <w:r w:rsidR="00E95032">
        <w:rPr>
          <w:rFonts w:ascii="Arial" w:hAnsi="Arial" w:cs="Arial"/>
          <w:sz w:val="24"/>
          <w:szCs w:val="24"/>
        </w:rPr>
        <w:t>de la</w:t>
      </w:r>
      <w:r w:rsidRPr="008D2788">
        <w:rPr>
          <w:rFonts w:ascii="Arial" w:hAnsi="Arial" w:cs="Arial"/>
          <w:sz w:val="24"/>
          <w:szCs w:val="24"/>
        </w:rPr>
        <w:t xml:space="preserve"> </w:t>
      </w:r>
      <w:r w:rsidR="00F42075" w:rsidRPr="00F42075">
        <w:rPr>
          <w:rFonts w:ascii="Arial" w:hAnsi="Arial" w:cs="Arial"/>
          <w:smallCaps/>
          <w:sz w:val="24"/>
          <w:szCs w:val="24"/>
        </w:rPr>
        <w:t>se</w:t>
      </w:r>
      <w:r w:rsidRPr="008D2788">
        <w:rPr>
          <w:rFonts w:ascii="Arial" w:hAnsi="Arial" w:cs="Arial"/>
          <w:sz w:val="24"/>
          <w:szCs w:val="24"/>
        </w:rPr>
        <w:t xml:space="preserve"> en el </w:t>
      </w:r>
      <w:r w:rsidR="00F42075" w:rsidRPr="00F42075">
        <w:rPr>
          <w:rFonts w:ascii="Arial" w:hAnsi="Arial" w:cs="Arial"/>
          <w:smallCaps/>
          <w:sz w:val="24"/>
          <w:szCs w:val="24"/>
        </w:rPr>
        <w:t>dof</w:t>
      </w:r>
      <w:r w:rsidRPr="008D2788">
        <w:rPr>
          <w:rFonts w:ascii="Arial" w:hAnsi="Arial" w:cs="Arial"/>
          <w:sz w:val="24"/>
          <w:szCs w:val="24"/>
        </w:rPr>
        <w:t xml:space="preserve"> del 30 de junio de 2009</w:t>
      </w:r>
      <w:r w:rsidR="00E95032">
        <w:rPr>
          <w:rFonts w:ascii="Arial" w:hAnsi="Arial" w:cs="Arial"/>
          <w:sz w:val="24"/>
          <w:szCs w:val="24"/>
        </w:rPr>
        <w:t xml:space="preserve">. Así, se deflactaron </w:t>
      </w:r>
      <w:r w:rsidR="00983A69" w:rsidRPr="008D2788">
        <w:rPr>
          <w:rFonts w:ascii="Arial" w:hAnsi="Arial" w:cs="Arial"/>
          <w:sz w:val="24"/>
          <w:szCs w:val="24"/>
        </w:rPr>
        <w:t>los montos de las ventas anuales a diciembre de 2018</w:t>
      </w:r>
      <w:r w:rsidR="00F42075">
        <w:rPr>
          <w:rFonts w:ascii="Arial" w:hAnsi="Arial" w:cs="Arial"/>
          <w:sz w:val="24"/>
          <w:szCs w:val="24"/>
        </w:rPr>
        <w:t xml:space="preserve">, para lo cual se </w:t>
      </w:r>
      <w:r w:rsidR="009B3BD6" w:rsidRPr="008D2788">
        <w:rPr>
          <w:rFonts w:ascii="Arial" w:hAnsi="Arial" w:cs="Arial"/>
          <w:sz w:val="24"/>
          <w:szCs w:val="24"/>
        </w:rPr>
        <w:t>emple</w:t>
      </w:r>
      <w:r w:rsidR="00E95032">
        <w:rPr>
          <w:rFonts w:ascii="Arial" w:hAnsi="Arial" w:cs="Arial"/>
          <w:sz w:val="24"/>
          <w:szCs w:val="24"/>
        </w:rPr>
        <w:t>ó</w:t>
      </w:r>
      <w:r w:rsidR="009B3BD6" w:rsidRPr="008D2788">
        <w:rPr>
          <w:rFonts w:ascii="Arial" w:hAnsi="Arial" w:cs="Arial"/>
          <w:sz w:val="24"/>
          <w:szCs w:val="24"/>
        </w:rPr>
        <w:t xml:space="preserve"> el </w:t>
      </w:r>
      <w:r w:rsidR="00F42075" w:rsidRPr="00F42075">
        <w:rPr>
          <w:rFonts w:ascii="Arial" w:hAnsi="Arial" w:cs="Arial"/>
          <w:smallCaps/>
          <w:sz w:val="24"/>
          <w:szCs w:val="24"/>
        </w:rPr>
        <w:t>inpp</w:t>
      </w:r>
      <w:r w:rsidR="00E95032">
        <w:rPr>
          <w:rFonts w:ascii="Arial" w:hAnsi="Arial" w:cs="Arial"/>
          <w:sz w:val="24"/>
          <w:szCs w:val="24"/>
        </w:rPr>
        <w:t xml:space="preserve">, con </w:t>
      </w:r>
      <w:r w:rsidR="00E95032" w:rsidRPr="008D2788">
        <w:rPr>
          <w:rFonts w:ascii="Arial" w:hAnsi="Arial" w:cs="Arial"/>
          <w:sz w:val="24"/>
          <w:szCs w:val="24"/>
        </w:rPr>
        <w:t xml:space="preserve">año base 2021. </w:t>
      </w:r>
    </w:p>
    <w:p w14:paraId="3BBF85BD" w14:textId="77777777" w:rsidR="00F42075" w:rsidRPr="008D2788" w:rsidRDefault="00F42075" w:rsidP="002A05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8D2C14" w14:textId="77777777" w:rsidR="00F42075" w:rsidRDefault="00F42075" w:rsidP="00F42075">
      <w:pPr>
        <w:autoSpaceDE w:val="0"/>
        <w:autoSpaceDN w:val="0"/>
        <w:adjustRightInd w:val="0"/>
        <w:spacing w:after="0" w:line="240" w:lineRule="auto"/>
        <w:ind w:right="-518"/>
        <w:outlineLvl w:val="0"/>
        <w:rPr>
          <w:rFonts w:ascii="Arial Negrita" w:hAnsi="Arial Negrita" w:cs="Arial"/>
          <w:b/>
          <w:smallCaps/>
          <w:sz w:val="24"/>
          <w:szCs w:val="24"/>
        </w:rPr>
      </w:pPr>
    </w:p>
    <w:p w14:paraId="2775160A" w14:textId="1AFCB3DF" w:rsidR="00167EB0" w:rsidRPr="008D2788" w:rsidRDefault="004A42E4" w:rsidP="002A0561">
      <w:pPr>
        <w:autoSpaceDE w:val="0"/>
        <w:autoSpaceDN w:val="0"/>
        <w:adjustRightInd w:val="0"/>
        <w:spacing w:after="0" w:line="240" w:lineRule="auto"/>
        <w:ind w:right="-518"/>
        <w:outlineLvl w:val="0"/>
        <w:rPr>
          <w:rFonts w:ascii="Arial Negrita" w:hAnsi="Arial Negrita" w:cs="Arial"/>
          <w:b/>
          <w:smallCaps/>
          <w:sz w:val="24"/>
          <w:szCs w:val="24"/>
        </w:rPr>
      </w:pPr>
      <w:r w:rsidRPr="008D2788">
        <w:rPr>
          <w:rFonts w:ascii="Arial Negrita" w:hAnsi="Arial Negrita" w:cs="Arial"/>
          <w:b/>
          <w:smallCaps/>
          <w:sz w:val="24"/>
          <w:szCs w:val="24"/>
        </w:rPr>
        <w:t>Diseño estadístico</w:t>
      </w:r>
    </w:p>
    <w:p w14:paraId="0D3A475C" w14:textId="77777777" w:rsidR="00557751" w:rsidRDefault="00557751" w:rsidP="00F42075">
      <w:pPr>
        <w:pStyle w:val="Textoindependiente"/>
        <w:jc w:val="both"/>
        <w:rPr>
          <w:color w:val="404040" w:themeColor="text1" w:themeTint="BF"/>
        </w:rPr>
      </w:pPr>
    </w:p>
    <w:p w14:paraId="3036AD3A" w14:textId="055AE02B" w:rsidR="009B5A14" w:rsidRDefault="00B94DAF" w:rsidP="00F42075">
      <w:pPr>
        <w:pStyle w:val="Textoindependiente"/>
        <w:jc w:val="both"/>
      </w:pPr>
      <w:r w:rsidRPr="008D2788">
        <w:t xml:space="preserve">El marco </w:t>
      </w:r>
      <w:r w:rsidR="0065111E" w:rsidRPr="008D2788">
        <w:t xml:space="preserve">estadístico </w:t>
      </w:r>
      <w:r w:rsidRPr="008D2788">
        <w:t>se integró a partir de las empresas que cumplen con al menos una de las condiciones de los siguientes grupos</w:t>
      </w:r>
      <w:r w:rsidR="00E95032">
        <w:t>,</w:t>
      </w:r>
      <w:r w:rsidRPr="008D2788">
        <w:t xml:space="preserve"> conforme a los resultados de los </w:t>
      </w:r>
      <w:r w:rsidR="00F42075" w:rsidRPr="00F42075">
        <w:rPr>
          <w:smallCaps/>
        </w:rPr>
        <w:t>ce</w:t>
      </w:r>
      <w:r w:rsidR="00A15917" w:rsidRPr="008D2788">
        <w:t xml:space="preserve"> 2019</w:t>
      </w:r>
      <w:r w:rsidRPr="008D2788">
        <w:t>:</w:t>
      </w:r>
    </w:p>
    <w:p w14:paraId="05FD21E5" w14:textId="77777777" w:rsidR="00F42075" w:rsidRDefault="00F42075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  <w:lang w:val="es-ES"/>
        </w:rPr>
      </w:pPr>
    </w:p>
    <w:p w14:paraId="7249FC67" w14:textId="07453B35" w:rsidR="00B94DAF" w:rsidRPr="00D47EB0" w:rsidRDefault="009B5A14" w:rsidP="002A0561">
      <w:pPr>
        <w:spacing w:after="0" w:line="240" w:lineRule="auto"/>
        <w:ind w:right="21"/>
        <w:jc w:val="center"/>
        <w:rPr>
          <w:rFonts w:ascii="Arial" w:hAnsi="Arial" w:cs="Arial"/>
          <w:bCs/>
          <w:sz w:val="20"/>
          <w:szCs w:val="20"/>
        </w:rPr>
      </w:pPr>
      <w:r w:rsidRPr="00D47EB0">
        <w:rPr>
          <w:rFonts w:ascii="Arial" w:hAnsi="Arial" w:cs="Arial"/>
          <w:bCs/>
          <w:sz w:val="20"/>
          <w:szCs w:val="20"/>
        </w:rPr>
        <w:t>Cuadro 1</w:t>
      </w:r>
    </w:p>
    <w:tbl>
      <w:tblPr>
        <w:tblW w:w="10080" w:type="dxa"/>
        <w:jc w:val="center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9182"/>
      </w:tblGrid>
      <w:tr w:rsidR="00572DB1" w:rsidRPr="00572DB1" w14:paraId="003D614E" w14:textId="77777777" w:rsidTr="00572DB1">
        <w:trPr>
          <w:trHeight w:val="477"/>
          <w:jc w:val="center"/>
        </w:trPr>
        <w:tc>
          <w:tcPr>
            <w:tcW w:w="898" w:type="dxa"/>
            <w:vMerge w:val="restart"/>
            <w:shd w:val="clear" w:color="auto" w:fill="002060"/>
            <w:vAlign w:val="center"/>
            <w:hideMark/>
          </w:tcPr>
          <w:p w14:paraId="1B64DD94" w14:textId="77777777" w:rsidR="00572DB1" w:rsidRPr="00572DB1" w:rsidRDefault="00572DB1" w:rsidP="00D73FB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572DB1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Grupo</w:t>
            </w:r>
          </w:p>
        </w:tc>
        <w:tc>
          <w:tcPr>
            <w:tcW w:w="9182" w:type="dxa"/>
            <w:vMerge w:val="restart"/>
            <w:shd w:val="clear" w:color="auto" w:fill="002060"/>
            <w:vAlign w:val="center"/>
            <w:hideMark/>
          </w:tcPr>
          <w:p w14:paraId="07952872" w14:textId="77777777" w:rsidR="00572DB1" w:rsidRPr="00572DB1" w:rsidRDefault="00572DB1" w:rsidP="00D73FB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572DB1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Condición</w:t>
            </w:r>
          </w:p>
        </w:tc>
      </w:tr>
      <w:tr w:rsidR="00572DB1" w:rsidRPr="00572DB1" w14:paraId="1A2F39E5" w14:textId="77777777" w:rsidTr="00572DB1">
        <w:trPr>
          <w:trHeight w:val="450"/>
          <w:jc w:val="center"/>
        </w:trPr>
        <w:tc>
          <w:tcPr>
            <w:tcW w:w="898" w:type="dxa"/>
            <w:vMerge/>
            <w:shd w:val="clear" w:color="auto" w:fill="002060"/>
            <w:vAlign w:val="center"/>
            <w:hideMark/>
          </w:tcPr>
          <w:p w14:paraId="4DCA902D" w14:textId="77777777" w:rsidR="00572DB1" w:rsidRPr="00572DB1" w:rsidRDefault="00572DB1" w:rsidP="00D73FB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es-MX"/>
              </w:rPr>
            </w:pPr>
          </w:p>
        </w:tc>
        <w:tc>
          <w:tcPr>
            <w:tcW w:w="9182" w:type="dxa"/>
            <w:vMerge/>
            <w:shd w:val="clear" w:color="auto" w:fill="002060"/>
            <w:vAlign w:val="center"/>
            <w:hideMark/>
          </w:tcPr>
          <w:p w14:paraId="6F09F9F2" w14:textId="77777777" w:rsidR="00572DB1" w:rsidRPr="00572DB1" w:rsidRDefault="00572DB1" w:rsidP="00D73FB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es-MX"/>
              </w:rPr>
            </w:pPr>
          </w:p>
        </w:tc>
      </w:tr>
      <w:tr w:rsidR="00572DB1" w:rsidRPr="00572DB1" w14:paraId="3A36EF39" w14:textId="77777777" w:rsidTr="00572DB1">
        <w:trPr>
          <w:trHeight w:val="225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14:paraId="20CCCF8C" w14:textId="77777777" w:rsidR="00572DB1" w:rsidRPr="008D2788" w:rsidRDefault="00572DB1" w:rsidP="00D73FB7">
            <w:pPr>
              <w:spacing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8D2788">
              <w:rPr>
                <w:rFonts w:ascii="Arial" w:eastAsia="Times New Roman" w:hAnsi="Arial" w:cs="Arial"/>
                <w:lang w:eastAsia="es-MX"/>
              </w:rPr>
              <w:t>I</w:t>
            </w:r>
          </w:p>
        </w:tc>
        <w:tc>
          <w:tcPr>
            <w:tcW w:w="9182" w:type="dxa"/>
            <w:shd w:val="clear" w:color="auto" w:fill="auto"/>
            <w:vAlign w:val="center"/>
            <w:hideMark/>
          </w:tcPr>
          <w:p w14:paraId="6C430107" w14:textId="71C16E33" w:rsidR="00572DB1" w:rsidRPr="008D2788" w:rsidRDefault="00572DB1" w:rsidP="00D73FB7">
            <w:pPr>
              <w:spacing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8D2788">
              <w:rPr>
                <w:rFonts w:ascii="Arial" w:eastAsia="Times New Roman" w:hAnsi="Arial" w:cs="Arial"/>
                <w:lang w:eastAsia="es-MX"/>
              </w:rPr>
              <w:t>Empresas que tienen información en al menos una de las 27 variables de gastos y/</w:t>
            </w:r>
            <w:r w:rsidR="00F42075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8D2788">
              <w:rPr>
                <w:rFonts w:ascii="Arial" w:eastAsia="Times New Roman" w:hAnsi="Arial" w:cs="Arial"/>
                <w:lang w:eastAsia="es-MX"/>
              </w:rPr>
              <w:t>o en 13 variables de ingresos referentes a bienes y servicios en el extranjero.   </w:t>
            </w:r>
          </w:p>
        </w:tc>
      </w:tr>
      <w:tr w:rsidR="00572DB1" w:rsidRPr="00572DB1" w14:paraId="1509425A" w14:textId="77777777" w:rsidTr="00572DB1">
        <w:trPr>
          <w:trHeight w:val="225"/>
          <w:jc w:val="center"/>
        </w:trPr>
        <w:tc>
          <w:tcPr>
            <w:tcW w:w="898" w:type="dxa"/>
            <w:vMerge w:val="restart"/>
            <w:shd w:val="clear" w:color="auto" w:fill="auto"/>
            <w:vAlign w:val="center"/>
            <w:hideMark/>
          </w:tcPr>
          <w:p w14:paraId="688437EB" w14:textId="77777777" w:rsidR="00572DB1" w:rsidRPr="008D2788" w:rsidRDefault="00572DB1" w:rsidP="00D73FB7">
            <w:pPr>
              <w:spacing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8D2788">
              <w:rPr>
                <w:rFonts w:ascii="Arial" w:eastAsia="Times New Roman" w:hAnsi="Arial" w:cs="Arial"/>
                <w:lang w:eastAsia="es-MX"/>
              </w:rPr>
              <w:t>II</w:t>
            </w:r>
          </w:p>
        </w:tc>
        <w:tc>
          <w:tcPr>
            <w:tcW w:w="9182" w:type="dxa"/>
            <w:shd w:val="clear" w:color="auto" w:fill="auto"/>
            <w:vAlign w:val="center"/>
            <w:hideMark/>
          </w:tcPr>
          <w:p w14:paraId="336226E3" w14:textId="77777777" w:rsidR="00572DB1" w:rsidRPr="008D2788" w:rsidRDefault="00572DB1" w:rsidP="00D73FB7">
            <w:pPr>
              <w:spacing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8D2788">
              <w:rPr>
                <w:rFonts w:ascii="Arial" w:eastAsia="Times New Roman" w:hAnsi="Arial" w:cs="Arial"/>
                <w:lang w:eastAsia="es-MX"/>
              </w:rPr>
              <w:t xml:space="preserve">Pertenece a algún grupo </w:t>
            </w:r>
            <w:r w:rsidRPr="008D2788">
              <w:rPr>
                <w:rFonts w:ascii="Arial" w:eastAsia="Times New Roman" w:hAnsi="Arial" w:cs="Arial"/>
                <w:i/>
                <w:lang w:eastAsia="es-MX"/>
              </w:rPr>
              <w:t>holding</w:t>
            </w:r>
            <w:r w:rsidRPr="008D2788">
              <w:rPr>
                <w:rFonts w:ascii="Arial" w:eastAsia="Times New Roman" w:hAnsi="Arial" w:cs="Arial"/>
                <w:lang w:eastAsia="es-MX"/>
              </w:rPr>
              <w:t xml:space="preserve">, grupo empresarial, grupo financiero, empresa controladora, con participación de capital extranjero en el capital social o en procesos integrados con empresas ubicadas en otros países. </w:t>
            </w:r>
          </w:p>
        </w:tc>
      </w:tr>
      <w:tr w:rsidR="00572DB1" w:rsidRPr="00572DB1" w14:paraId="633B50A7" w14:textId="77777777" w:rsidTr="00572DB1">
        <w:trPr>
          <w:trHeight w:val="225"/>
          <w:jc w:val="center"/>
        </w:trPr>
        <w:tc>
          <w:tcPr>
            <w:tcW w:w="898" w:type="dxa"/>
            <w:vMerge/>
            <w:vAlign w:val="center"/>
            <w:hideMark/>
          </w:tcPr>
          <w:p w14:paraId="1F4330D8" w14:textId="77777777" w:rsidR="00572DB1" w:rsidRPr="008D2788" w:rsidRDefault="00572DB1" w:rsidP="00D73FB7">
            <w:pPr>
              <w:spacing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9182" w:type="dxa"/>
            <w:shd w:val="clear" w:color="auto" w:fill="auto"/>
            <w:vAlign w:val="center"/>
            <w:hideMark/>
          </w:tcPr>
          <w:p w14:paraId="6FB58025" w14:textId="368D071D" w:rsidR="00572DB1" w:rsidRPr="008D2788" w:rsidRDefault="00572DB1" w:rsidP="00D73FB7">
            <w:pPr>
              <w:spacing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8D2788">
              <w:rPr>
                <w:rFonts w:ascii="Arial" w:eastAsia="Times New Roman" w:hAnsi="Arial" w:cs="Arial"/>
                <w:lang w:eastAsia="es-MX"/>
              </w:rPr>
              <w:t xml:space="preserve">a) Presenta semejanza estadística con el grupo I. </w:t>
            </w:r>
          </w:p>
        </w:tc>
      </w:tr>
      <w:tr w:rsidR="00572DB1" w:rsidRPr="00572DB1" w14:paraId="6C2DE3DA" w14:textId="77777777" w:rsidTr="00572DB1">
        <w:trPr>
          <w:trHeight w:val="225"/>
          <w:jc w:val="center"/>
        </w:trPr>
        <w:tc>
          <w:tcPr>
            <w:tcW w:w="898" w:type="dxa"/>
            <w:vMerge/>
            <w:vAlign w:val="center"/>
            <w:hideMark/>
          </w:tcPr>
          <w:p w14:paraId="75921033" w14:textId="77777777" w:rsidR="00572DB1" w:rsidRPr="008D2788" w:rsidRDefault="00572DB1" w:rsidP="00D73FB7">
            <w:pPr>
              <w:spacing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9182" w:type="dxa"/>
            <w:shd w:val="clear" w:color="auto" w:fill="auto"/>
            <w:vAlign w:val="center"/>
            <w:hideMark/>
          </w:tcPr>
          <w:p w14:paraId="7F846631" w14:textId="5B56B7FA" w:rsidR="00572DB1" w:rsidRPr="008D2788" w:rsidRDefault="00572DB1" w:rsidP="00D73FB7">
            <w:pPr>
              <w:spacing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8D2788">
              <w:rPr>
                <w:rFonts w:ascii="Arial" w:eastAsia="Times New Roman" w:hAnsi="Arial" w:cs="Arial"/>
                <w:lang w:eastAsia="es-MX"/>
              </w:rPr>
              <w:t>b) Cuentan con personal ocupado mayor a 1</w:t>
            </w:r>
            <w:r w:rsidR="00F42075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8D2788">
              <w:rPr>
                <w:rFonts w:ascii="Arial" w:eastAsia="Times New Roman" w:hAnsi="Arial" w:cs="Arial"/>
                <w:lang w:eastAsia="es-MX"/>
              </w:rPr>
              <w:t xml:space="preserve">000. </w:t>
            </w:r>
          </w:p>
        </w:tc>
      </w:tr>
    </w:tbl>
    <w:p w14:paraId="378B1DAE" w14:textId="77777777" w:rsidR="00B94DAF" w:rsidRPr="00572DB1" w:rsidRDefault="00B94DAF" w:rsidP="00D73FB7">
      <w:pPr>
        <w:pStyle w:val="Textoindependiente"/>
        <w:ind w:left="120"/>
        <w:rPr>
          <w:b/>
          <w:bCs/>
          <w:color w:val="404040" w:themeColor="text1" w:themeTint="BF"/>
          <w:lang w:val="es-MX"/>
        </w:rPr>
      </w:pPr>
    </w:p>
    <w:p w14:paraId="0956DA83" w14:textId="06464B87" w:rsidR="00B94DAF" w:rsidRPr="008D2788" w:rsidRDefault="009C0516" w:rsidP="00D73F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2788">
        <w:rPr>
          <w:rFonts w:ascii="Arial" w:hAnsi="Arial" w:cs="Arial"/>
          <w:sz w:val="24"/>
          <w:szCs w:val="24"/>
        </w:rPr>
        <w:t xml:space="preserve">El esquema de muestreo de la </w:t>
      </w:r>
      <w:r w:rsidR="00F42075" w:rsidRPr="00F42075">
        <w:rPr>
          <w:rFonts w:ascii="Arial" w:hAnsi="Arial" w:cs="Arial"/>
          <w:smallCaps/>
          <w:sz w:val="24"/>
          <w:szCs w:val="24"/>
        </w:rPr>
        <w:t>ecis</w:t>
      </w:r>
      <w:r w:rsidRPr="008D2788">
        <w:rPr>
          <w:rFonts w:ascii="Arial" w:hAnsi="Arial" w:cs="Arial"/>
          <w:sz w:val="24"/>
          <w:szCs w:val="24"/>
        </w:rPr>
        <w:t xml:space="preserve"> 202</w:t>
      </w:r>
      <w:r w:rsidR="00967C86" w:rsidRPr="008D2788">
        <w:rPr>
          <w:rFonts w:ascii="Arial" w:hAnsi="Arial" w:cs="Arial"/>
          <w:sz w:val="24"/>
          <w:szCs w:val="24"/>
        </w:rPr>
        <w:t>2</w:t>
      </w:r>
      <w:r w:rsidRPr="008D2788">
        <w:rPr>
          <w:rFonts w:ascii="Arial" w:hAnsi="Arial" w:cs="Arial"/>
          <w:sz w:val="24"/>
          <w:szCs w:val="24"/>
        </w:rPr>
        <w:t xml:space="preserve"> es probabilístico y estratificado</w:t>
      </w:r>
      <w:r w:rsidR="004C4B91">
        <w:rPr>
          <w:rFonts w:ascii="Arial" w:hAnsi="Arial" w:cs="Arial"/>
          <w:sz w:val="24"/>
          <w:szCs w:val="24"/>
        </w:rPr>
        <w:t>, es decir, las unidades de muestreo tienen una probabilidad conocida y distinta de cero de ser seleccionadas y las que comparten características similares se agrupan para formar estratos</w:t>
      </w:r>
      <w:r w:rsidR="00617E48" w:rsidRPr="008D2788">
        <w:rPr>
          <w:rFonts w:ascii="Arial" w:hAnsi="Arial" w:cs="Arial"/>
          <w:sz w:val="24"/>
          <w:szCs w:val="24"/>
        </w:rPr>
        <w:t xml:space="preserve"> (</w:t>
      </w:r>
      <w:r w:rsidR="00F64D27">
        <w:rPr>
          <w:rFonts w:ascii="Arial" w:hAnsi="Arial" w:cs="Arial"/>
          <w:sz w:val="24"/>
          <w:szCs w:val="24"/>
        </w:rPr>
        <w:t>se emplean</w:t>
      </w:r>
      <w:r w:rsidR="00F64D27" w:rsidRPr="008D2788">
        <w:rPr>
          <w:rFonts w:ascii="Arial" w:hAnsi="Arial" w:cs="Arial"/>
          <w:sz w:val="24"/>
          <w:szCs w:val="24"/>
        </w:rPr>
        <w:t xml:space="preserve"> </w:t>
      </w:r>
      <w:r w:rsidR="00617E48" w:rsidRPr="008D2788">
        <w:rPr>
          <w:rFonts w:ascii="Arial" w:hAnsi="Arial" w:cs="Arial"/>
          <w:sz w:val="24"/>
          <w:szCs w:val="24"/>
        </w:rPr>
        <w:t>dos variables auxiliares para la estratificación)</w:t>
      </w:r>
      <w:r w:rsidRPr="008D2788">
        <w:rPr>
          <w:rFonts w:ascii="Arial" w:hAnsi="Arial" w:cs="Arial"/>
          <w:sz w:val="24"/>
          <w:szCs w:val="24"/>
        </w:rPr>
        <w:t xml:space="preserve">. Las unidades económicas se seleccionaron a partir </w:t>
      </w:r>
      <w:r w:rsidRPr="008D2788">
        <w:rPr>
          <w:rFonts w:ascii="Arial" w:hAnsi="Arial" w:cs="Arial"/>
          <w:sz w:val="24"/>
          <w:szCs w:val="24"/>
        </w:rPr>
        <w:lastRenderedPageBreak/>
        <w:t>de un marco de 9</w:t>
      </w:r>
      <w:r w:rsidR="00F42075">
        <w:rPr>
          <w:rFonts w:ascii="Arial" w:hAnsi="Arial" w:cs="Arial"/>
          <w:sz w:val="24"/>
          <w:szCs w:val="24"/>
        </w:rPr>
        <w:t xml:space="preserve"> </w:t>
      </w:r>
      <w:r w:rsidRPr="008D2788">
        <w:rPr>
          <w:rFonts w:ascii="Arial" w:hAnsi="Arial" w:cs="Arial"/>
          <w:sz w:val="24"/>
          <w:szCs w:val="24"/>
        </w:rPr>
        <w:t xml:space="preserve">796 </w:t>
      </w:r>
      <w:r w:rsidR="003041C0" w:rsidRPr="008D2788">
        <w:rPr>
          <w:rFonts w:ascii="Arial" w:hAnsi="Arial" w:cs="Arial"/>
          <w:sz w:val="24"/>
          <w:szCs w:val="24"/>
        </w:rPr>
        <w:t>empresas que cumpl</w:t>
      </w:r>
      <w:r w:rsidR="00F42075">
        <w:rPr>
          <w:rFonts w:ascii="Arial" w:hAnsi="Arial" w:cs="Arial"/>
          <w:sz w:val="24"/>
          <w:szCs w:val="24"/>
        </w:rPr>
        <w:t>ía</w:t>
      </w:r>
      <w:r w:rsidR="003041C0" w:rsidRPr="008D2788">
        <w:rPr>
          <w:rFonts w:ascii="Arial" w:hAnsi="Arial" w:cs="Arial"/>
          <w:sz w:val="24"/>
          <w:szCs w:val="24"/>
        </w:rPr>
        <w:t>n</w:t>
      </w:r>
      <w:r w:rsidR="00F64D27">
        <w:rPr>
          <w:rFonts w:ascii="Arial" w:hAnsi="Arial" w:cs="Arial"/>
          <w:sz w:val="24"/>
          <w:szCs w:val="24"/>
        </w:rPr>
        <w:t xml:space="preserve"> con</w:t>
      </w:r>
      <w:r w:rsidR="003041C0" w:rsidRPr="008D2788">
        <w:rPr>
          <w:rFonts w:ascii="Arial" w:hAnsi="Arial" w:cs="Arial"/>
          <w:sz w:val="24"/>
          <w:szCs w:val="24"/>
        </w:rPr>
        <w:t xml:space="preserve"> las características de la población objeto de estudio provenientes del Registro Estadístico de Negocios de México (</w:t>
      </w:r>
      <w:proofErr w:type="spellStart"/>
      <w:r w:rsidR="00F42075" w:rsidRPr="002A0561">
        <w:rPr>
          <w:rFonts w:ascii="Arial" w:hAnsi="Arial" w:cs="Arial"/>
          <w:smallCaps/>
          <w:sz w:val="24"/>
          <w:szCs w:val="24"/>
        </w:rPr>
        <w:t>renem</w:t>
      </w:r>
      <w:proofErr w:type="spellEnd"/>
      <w:r w:rsidR="003041C0" w:rsidRPr="008D2788">
        <w:rPr>
          <w:rFonts w:ascii="Arial" w:hAnsi="Arial" w:cs="Arial"/>
          <w:sz w:val="24"/>
          <w:szCs w:val="24"/>
        </w:rPr>
        <w:t>)</w:t>
      </w:r>
      <w:r w:rsidR="00B32D0E">
        <w:rPr>
          <w:rStyle w:val="Refdenotaalpie"/>
          <w:rFonts w:ascii="Arial" w:hAnsi="Arial" w:cs="Arial"/>
          <w:sz w:val="24"/>
          <w:szCs w:val="24"/>
        </w:rPr>
        <w:footnoteReference w:id="7"/>
      </w:r>
      <w:r w:rsidR="00F42075">
        <w:rPr>
          <w:rFonts w:ascii="Arial" w:hAnsi="Arial" w:cs="Arial"/>
          <w:sz w:val="24"/>
          <w:szCs w:val="24"/>
        </w:rPr>
        <w:t>,</w:t>
      </w:r>
      <w:r w:rsidR="003041C0" w:rsidRPr="008D2788">
        <w:rPr>
          <w:rFonts w:ascii="Arial" w:hAnsi="Arial" w:cs="Arial"/>
          <w:sz w:val="24"/>
          <w:szCs w:val="24"/>
        </w:rPr>
        <w:t xml:space="preserve"> distribuidas por gran sector de actividad económica-tamaño de empresa. </w:t>
      </w:r>
    </w:p>
    <w:p w14:paraId="295204EB" w14:textId="5D825B3A" w:rsidR="009C0516" w:rsidRPr="008D2788" w:rsidRDefault="003041C0" w:rsidP="00D73F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2788">
        <w:rPr>
          <w:rFonts w:ascii="Arial" w:hAnsi="Arial" w:cs="Arial"/>
          <w:sz w:val="24"/>
          <w:szCs w:val="24"/>
        </w:rPr>
        <w:t>La</w:t>
      </w:r>
      <w:r w:rsidR="00E95032">
        <w:rPr>
          <w:rFonts w:ascii="Arial" w:hAnsi="Arial" w:cs="Arial"/>
          <w:sz w:val="24"/>
          <w:szCs w:val="24"/>
        </w:rPr>
        <w:t>s</w:t>
      </w:r>
      <w:r w:rsidRPr="008D2788">
        <w:rPr>
          <w:rFonts w:ascii="Arial" w:hAnsi="Arial" w:cs="Arial"/>
          <w:sz w:val="24"/>
          <w:szCs w:val="24"/>
        </w:rPr>
        <w:t xml:space="preserve"> unidad</w:t>
      </w:r>
      <w:r w:rsidR="00E95032">
        <w:rPr>
          <w:rFonts w:ascii="Arial" w:hAnsi="Arial" w:cs="Arial"/>
          <w:sz w:val="24"/>
          <w:szCs w:val="24"/>
        </w:rPr>
        <w:t>es</w:t>
      </w:r>
      <w:r w:rsidRPr="008D2788">
        <w:rPr>
          <w:rFonts w:ascii="Arial" w:hAnsi="Arial" w:cs="Arial"/>
          <w:sz w:val="24"/>
          <w:szCs w:val="24"/>
        </w:rPr>
        <w:t xml:space="preserve"> de muestreo </w:t>
      </w:r>
      <w:r w:rsidR="00F42075">
        <w:rPr>
          <w:rFonts w:ascii="Arial" w:hAnsi="Arial" w:cs="Arial"/>
          <w:sz w:val="24"/>
          <w:szCs w:val="24"/>
        </w:rPr>
        <w:t>fueron</w:t>
      </w:r>
      <w:r w:rsidR="00516DA4">
        <w:rPr>
          <w:rFonts w:ascii="Arial" w:hAnsi="Arial" w:cs="Arial"/>
          <w:sz w:val="24"/>
          <w:szCs w:val="24"/>
        </w:rPr>
        <w:t xml:space="preserve"> </w:t>
      </w:r>
      <w:r w:rsidR="00C803DF" w:rsidRPr="008D2788">
        <w:rPr>
          <w:rFonts w:ascii="Arial" w:hAnsi="Arial" w:cs="Arial"/>
          <w:sz w:val="24"/>
          <w:szCs w:val="24"/>
        </w:rPr>
        <w:t xml:space="preserve">las </w:t>
      </w:r>
      <w:r w:rsidR="009C0516" w:rsidRPr="008D2788">
        <w:rPr>
          <w:rFonts w:ascii="Arial" w:hAnsi="Arial" w:cs="Arial"/>
          <w:sz w:val="24"/>
          <w:szCs w:val="24"/>
        </w:rPr>
        <w:t>empresas</w:t>
      </w:r>
      <w:r w:rsidR="00742991" w:rsidRPr="008D2788">
        <w:rPr>
          <w:rFonts w:ascii="Arial" w:hAnsi="Arial" w:cs="Arial"/>
          <w:sz w:val="24"/>
          <w:szCs w:val="24"/>
        </w:rPr>
        <w:t xml:space="preserve"> del país</w:t>
      </w:r>
      <w:r w:rsidR="009C0516" w:rsidRPr="008D2788">
        <w:rPr>
          <w:rFonts w:ascii="Arial" w:hAnsi="Arial" w:cs="Arial"/>
          <w:sz w:val="24"/>
          <w:szCs w:val="24"/>
        </w:rPr>
        <w:t xml:space="preserve"> con instalaciones fijas que</w:t>
      </w:r>
      <w:r w:rsidR="00E95032">
        <w:rPr>
          <w:rFonts w:ascii="Arial" w:hAnsi="Arial" w:cs="Arial"/>
          <w:sz w:val="24"/>
          <w:szCs w:val="24"/>
        </w:rPr>
        <w:t xml:space="preserve">, en los </w:t>
      </w:r>
      <w:r w:rsidR="00E95032" w:rsidRPr="002A0561">
        <w:rPr>
          <w:rFonts w:ascii="Arial" w:hAnsi="Arial" w:cs="Arial"/>
          <w:smallCaps/>
          <w:sz w:val="24"/>
          <w:szCs w:val="24"/>
        </w:rPr>
        <w:t>ce</w:t>
      </w:r>
      <w:r w:rsidR="00E95032">
        <w:rPr>
          <w:rFonts w:ascii="Arial" w:hAnsi="Arial" w:cs="Arial"/>
          <w:sz w:val="24"/>
          <w:szCs w:val="24"/>
        </w:rPr>
        <w:t xml:space="preserve"> 2019, </w:t>
      </w:r>
      <w:r w:rsidR="009C0516" w:rsidRPr="008D2788">
        <w:rPr>
          <w:rFonts w:ascii="Arial" w:hAnsi="Arial" w:cs="Arial"/>
          <w:sz w:val="24"/>
          <w:szCs w:val="24"/>
        </w:rPr>
        <w:t>reportaron realizar alguna actividad de servicio con el extranjero</w:t>
      </w:r>
      <w:r w:rsidR="00E95032">
        <w:rPr>
          <w:rFonts w:ascii="Arial" w:hAnsi="Arial" w:cs="Arial"/>
          <w:sz w:val="24"/>
          <w:szCs w:val="24"/>
        </w:rPr>
        <w:t>,</w:t>
      </w:r>
      <w:r w:rsidR="009C0516" w:rsidRPr="008D2788">
        <w:rPr>
          <w:rFonts w:ascii="Arial" w:hAnsi="Arial" w:cs="Arial"/>
          <w:sz w:val="24"/>
          <w:szCs w:val="24"/>
        </w:rPr>
        <w:t xml:space="preserve"> o tener alguna relación de propiedad u operacional con empresas en el exterior</w:t>
      </w:r>
      <w:r w:rsidR="00E95032">
        <w:rPr>
          <w:rFonts w:ascii="Arial" w:hAnsi="Arial" w:cs="Arial"/>
          <w:sz w:val="24"/>
          <w:szCs w:val="24"/>
        </w:rPr>
        <w:t xml:space="preserve">. Las actividades que reportaron correspondieron </w:t>
      </w:r>
      <w:r w:rsidR="009C0516" w:rsidRPr="008D2788">
        <w:rPr>
          <w:rFonts w:ascii="Arial" w:hAnsi="Arial" w:cs="Arial"/>
          <w:sz w:val="24"/>
          <w:szCs w:val="24"/>
        </w:rPr>
        <w:t xml:space="preserve">a los grandes sectores de actividad económica (industria, comercio y servicios privados no financieros). </w:t>
      </w:r>
    </w:p>
    <w:p w14:paraId="4A938390" w14:textId="369F4E6B" w:rsidR="009C0516" w:rsidRPr="008D2788" w:rsidRDefault="009C0516" w:rsidP="00D73F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2788">
        <w:rPr>
          <w:rFonts w:ascii="Arial" w:hAnsi="Arial" w:cs="Arial"/>
          <w:sz w:val="24"/>
          <w:szCs w:val="24"/>
        </w:rPr>
        <w:t xml:space="preserve">El tamaño de </w:t>
      </w:r>
      <w:r w:rsidR="00F64D27">
        <w:rPr>
          <w:rFonts w:ascii="Arial" w:hAnsi="Arial" w:cs="Arial"/>
          <w:sz w:val="24"/>
          <w:szCs w:val="24"/>
        </w:rPr>
        <w:t xml:space="preserve">la </w:t>
      </w:r>
      <w:r w:rsidRPr="008D2788">
        <w:rPr>
          <w:rFonts w:ascii="Arial" w:hAnsi="Arial" w:cs="Arial"/>
          <w:sz w:val="24"/>
          <w:szCs w:val="24"/>
        </w:rPr>
        <w:t>muestra fue de 5</w:t>
      </w:r>
      <w:r w:rsidR="00516DA4">
        <w:rPr>
          <w:rFonts w:ascii="Arial" w:hAnsi="Arial" w:cs="Arial"/>
          <w:sz w:val="24"/>
          <w:szCs w:val="24"/>
        </w:rPr>
        <w:t xml:space="preserve"> </w:t>
      </w:r>
      <w:r w:rsidR="00742991" w:rsidRPr="008D2788">
        <w:rPr>
          <w:rFonts w:ascii="Arial" w:hAnsi="Arial" w:cs="Arial"/>
          <w:sz w:val="24"/>
          <w:szCs w:val="24"/>
        </w:rPr>
        <w:t>609</w:t>
      </w:r>
      <w:r w:rsidRPr="008D2788">
        <w:rPr>
          <w:rFonts w:ascii="Arial" w:hAnsi="Arial" w:cs="Arial"/>
          <w:sz w:val="24"/>
          <w:szCs w:val="24"/>
        </w:rPr>
        <w:t xml:space="preserve"> empresas.</w:t>
      </w:r>
      <w:r w:rsidR="00617E48" w:rsidRPr="008D2788">
        <w:rPr>
          <w:rFonts w:ascii="Arial" w:hAnsi="Arial" w:cs="Arial"/>
          <w:sz w:val="24"/>
          <w:szCs w:val="24"/>
        </w:rPr>
        <w:t xml:space="preserve"> La selección se realizó de forma aleatoria e independiente en cada dominio de estudio de acuerdo con la afijación</w:t>
      </w:r>
      <w:r w:rsidR="00F64D27">
        <w:rPr>
          <w:rFonts w:ascii="Arial" w:hAnsi="Arial" w:cs="Arial"/>
          <w:sz w:val="24"/>
          <w:szCs w:val="24"/>
        </w:rPr>
        <w:t>.</w:t>
      </w:r>
      <w:r w:rsidRPr="008D2788">
        <w:rPr>
          <w:rFonts w:ascii="Arial" w:hAnsi="Arial" w:cs="Arial"/>
          <w:sz w:val="24"/>
          <w:szCs w:val="24"/>
        </w:rPr>
        <w:t xml:space="preserve"> </w:t>
      </w:r>
      <w:r w:rsidR="00F64D27">
        <w:rPr>
          <w:rFonts w:ascii="Arial" w:hAnsi="Arial" w:cs="Arial"/>
          <w:sz w:val="24"/>
          <w:szCs w:val="24"/>
        </w:rPr>
        <w:t>P</w:t>
      </w:r>
      <w:r w:rsidRPr="008D2788">
        <w:rPr>
          <w:rFonts w:ascii="Arial" w:hAnsi="Arial" w:cs="Arial"/>
          <w:sz w:val="24"/>
          <w:szCs w:val="24"/>
        </w:rPr>
        <w:t xml:space="preserve">ara cada dominio, se calcularon tamaños de muestra para estimar un porcentaje con un nivel de confianza de </w:t>
      </w:r>
      <w:r w:rsidR="00D91837" w:rsidRPr="008D2788">
        <w:rPr>
          <w:rFonts w:ascii="Arial" w:hAnsi="Arial" w:cs="Arial"/>
          <w:sz w:val="24"/>
          <w:szCs w:val="24"/>
        </w:rPr>
        <w:t xml:space="preserve">          </w:t>
      </w:r>
      <w:r w:rsidRPr="008D2788">
        <w:rPr>
          <w:rFonts w:ascii="Arial" w:hAnsi="Arial" w:cs="Arial"/>
          <w:sz w:val="24"/>
          <w:szCs w:val="24"/>
        </w:rPr>
        <w:t xml:space="preserve">95 %, </w:t>
      </w:r>
      <w:r w:rsidR="00742991" w:rsidRPr="008D2788">
        <w:rPr>
          <w:rFonts w:ascii="Arial" w:hAnsi="Arial" w:cs="Arial"/>
          <w:sz w:val="24"/>
          <w:szCs w:val="24"/>
        </w:rPr>
        <w:t xml:space="preserve">un coeficiente de variación entre </w:t>
      </w:r>
      <w:r w:rsidR="001C14BE" w:rsidRPr="008D2788">
        <w:rPr>
          <w:rFonts w:ascii="Arial" w:hAnsi="Arial" w:cs="Arial"/>
          <w:sz w:val="24"/>
          <w:szCs w:val="24"/>
        </w:rPr>
        <w:t>1</w:t>
      </w:r>
      <w:r w:rsidR="00742991" w:rsidRPr="008D2788">
        <w:rPr>
          <w:rFonts w:ascii="Arial" w:hAnsi="Arial" w:cs="Arial"/>
          <w:sz w:val="24"/>
          <w:szCs w:val="24"/>
        </w:rPr>
        <w:t xml:space="preserve">.0 y </w:t>
      </w:r>
      <w:r w:rsidR="00F32DA0" w:rsidRPr="008D2788">
        <w:rPr>
          <w:rFonts w:ascii="Arial" w:hAnsi="Arial" w:cs="Arial"/>
          <w:sz w:val="24"/>
          <w:szCs w:val="24"/>
        </w:rPr>
        <w:t>6</w:t>
      </w:r>
      <w:r w:rsidR="00742991" w:rsidRPr="008D2788">
        <w:rPr>
          <w:rFonts w:ascii="Arial" w:hAnsi="Arial" w:cs="Arial"/>
          <w:sz w:val="24"/>
          <w:szCs w:val="24"/>
        </w:rPr>
        <w:t>.0 % y una</w:t>
      </w:r>
      <w:r w:rsidRPr="008D2788">
        <w:rPr>
          <w:rFonts w:ascii="Arial" w:hAnsi="Arial" w:cs="Arial"/>
          <w:sz w:val="24"/>
          <w:szCs w:val="24"/>
        </w:rPr>
        <w:t xml:space="preserve"> tasa de no respuesta esperada</w:t>
      </w:r>
      <w:r w:rsidR="003041C0" w:rsidRPr="008D2788">
        <w:rPr>
          <w:rFonts w:ascii="Arial" w:hAnsi="Arial" w:cs="Arial"/>
          <w:sz w:val="24"/>
          <w:szCs w:val="24"/>
        </w:rPr>
        <w:t xml:space="preserve"> </w:t>
      </w:r>
      <w:r w:rsidR="00DE7209" w:rsidRPr="008D2788">
        <w:rPr>
          <w:rFonts w:ascii="Arial" w:hAnsi="Arial" w:cs="Arial"/>
          <w:sz w:val="24"/>
          <w:szCs w:val="24"/>
        </w:rPr>
        <w:t>de 25 por ciento</w:t>
      </w:r>
      <w:r w:rsidR="003041C0" w:rsidRPr="008D2788">
        <w:rPr>
          <w:rFonts w:ascii="Arial" w:hAnsi="Arial" w:cs="Arial"/>
          <w:sz w:val="24"/>
          <w:szCs w:val="24"/>
        </w:rPr>
        <w:t>.</w:t>
      </w:r>
      <w:r w:rsidRPr="008D2788">
        <w:rPr>
          <w:rFonts w:ascii="Arial" w:hAnsi="Arial" w:cs="Arial"/>
          <w:sz w:val="24"/>
          <w:szCs w:val="24"/>
        </w:rPr>
        <w:t xml:space="preserve"> </w:t>
      </w:r>
    </w:p>
    <w:p w14:paraId="16142132" w14:textId="18903258" w:rsidR="00C776A2" w:rsidRPr="00572DB1" w:rsidRDefault="00B94DAF" w:rsidP="00D73FB7">
      <w:pPr>
        <w:spacing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8D2788">
        <w:rPr>
          <w:rFonts w:ascii="Arial" w:hAnsi="Arial" w:cs="Arial"/>
          <w:sz w:val="24"/>
          <w:szCs w:val="24"/>
        </w:rPr>
        <w:t>La</w:t>
      </w:r>
      <w:r w:rsidR="009C0516" w:rsidRPr="008D2788">
        <w:rPr>
          <w:rFonts w:ascii="Arial" w:hAnsi="Arial" w:cs="Arial"/>
          <w:sz w:val="24"/>
          <w:szCs w:val="24"/>
        </w:rPr>
        <w:t xml:space="preserve"> información de la </w:t>
      </w:r>
      <w:r w:rsidR="00516DA4" w:rsidRPr="00516DA4">
        <w:rPr>
          <w:rFonts w:ascii="Arial" w:hAnsi="Arial" w:cs="Arial"/>
          <w:smallCaps/>
          <w:sz w:val="24"/>
          <w:szCs w:val="24"/>
        </w:rPr>
        <w:t>ecis</w:t>
      </w:r>
      <w:r w:rsidR="009C0516" w:rsidRPr="008D2788">
        <w:rPr>
          <w:rFonts w:ascii="Arial" w:hAnsi="Arial" w:cs="Arial"/>
          <w:sz w:val="24"/>
          <w:szCs w:val="24"/>
        </w:rPr>
        <w:t xml:space="preserve"> 202</w:t>
      </w:r>
      <w:r w:rsidR="00742991" w:rsidRPr="008D2788">
        <w:rPr>
          <w:rFonts w:ascii="Arial" w:hAnsi="Arial" w:cs="Arial"/>
          <w:sz w:val="24"/>
          <w:szCs w:val="24"/>
        </w:rPr>
        <w:t>2</w:t>
      </w:r>
      <w:r w:rsidR="009C0516" w:rsidRPr="008D2788">
        <w:rPr>
          <w:rFonts w:ascii="Arial" w:hAnsi="Arial" w:cs="Arial"/>
          <w:sz w:val="24"/>
          <w:szCs w:val="24"/>
        </w:rPr>
        <w:t xml:space="preserve"> se encuentra disponible en:</w:t>
      </w:r>
    </w:p>
    <w:p w14:paraId="79BC671E" w14:textId="5E86C10F" w:rsidR="00C776A2" w:rsidRPr="008D2788" w:rsidRDefault="00392270" w:rsidP="00D73FB7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hyperlink r:id="rId45" w:history="1">
        <w:r w:rsidR="0013057F" w:rsidRPr="008D2788">
          <w:rPr>
            <w:rStyle w:val="Hipervnculo"/>
            <w:rFonts w:ascii="Arial" w:hAnsi="Arial" w:cs="Arial"/>
            <w:sz w:val="24"/>
            <w:szCs w:val="24"/>
            <w:lang w:val="es-ES"/>
          </w:rPr>
          <w:t>https://www.inegi.org.mx/investigacion/ecis/2022/</w:t>
        </w:r>
      </w:hyperlink>
    </w:p>
    <w:sectPr w:rsidR="00C776A2" w:rsidRPr="008D2788" w:rsidSect="000E0AA7">
      <w:headerReference w:type="default" r:id="rId46"/>
      <w:footerReference w:type="default" r:id="rId47"/>
      <w:pgSz w:w="12240" w:h="15840"/>
      <w:pgMar w:top="1843" w:right="118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95D2B" w14:textId="77777777" w:rsidR="00392270" w:rsidRDefault="00392270" w:rsidP="005E21E0">
      <w:pPr>
        <w:spacing w:after="0" w:line="240" w:lineRule="auto"/>
      </w:pPr>
      <w:r>
        <w:separator/>
      </w:r>
    </w:p>
  </w:endnote>
  <w:endnote w:type="continuationSeparator" w:id="0">
    <w:p w14:paraId="60D941E5" w14:textId="77777777" w:rsidR="00392270" w:rsidRDefault="00392270" w:rsidP="005E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C19CD" w14:textId="588456ED" w:rsidR="0008691F" w:rsidRPr="00342852" w:rsidRDefault="0008691F" w:rsidP="00342852">
    <w:pPr>
      <w:pStyle w:val="Piedepgina"/>
      <w:jc w:val="center"/>
      <w:rPr>
        <w:rFonts w:ascii="Arial" w:hAnsi="Arial" w:cs="Arial"/>
        <w:b/>
        <w:bCs/>
        <w:color w:val="003057"/>
        <w:sz w:val="20"/>
      </w:rPr>
    </w:pPr>
    <w:r w:rsidRPr="00342852">
      <w:rPr>
        <w:rFonts w:ascii="Arial" w:hAnsi="Arial" w:cs="Arial"/>
        <w:b/>
        <w:bCs/>
        <w:color w:val="003057"/>
        <w:sz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774E" w14:textId="77777777" w:rsidR="00392270" w:rsidRDefault="00392270" w:rsidP="005E21E0">
      <w:pPr>
        <w:spacing w:after="0" w:line="240" w:lineRule="auto"/>
      </w:pPr>
      <w:r>
        <w:separator/>
      </w:r>
    </w:p>
  </w:footnote>
  <w:footnote w:type="continuationSeparator" w:id="0">
    <w:p w14:paraId="52B9CE32" w14:textId="77777777" w:rsidR="00392270" w:rsidRDefault="00392270" w:rsidP="005E21E0">
      <w:pPr>
        <w:spacing w:after="0" w:line="240" w:lineRule="auto"/>
      </w:pPr>
      <w:r>
        <w:continuationSeparator/>
      </w:r>
    </w:p>
  </w:footnote>
  <w:footnote w:id="1">
    <w:p w14:paraId="2D7F47D5" w14:textId="32D767F4" w:rsidR="0008691F" w:rsidRPr="00300A11" w:rsidRDefault="0008691F" w:rsidP="002A0561">
      <w:p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300A11">
        <w:rPr>
          <w:rStyle w:val="Refdenotaalpie"/>
          <w:rFonts w:ascii="Arial" w:hAnsi="Arial" w:cs="Arial"/>
          <w:sz w:val="16"/>
          <w:szCs w:val="16"/>
        </w:rPr>
        <w:footnoteRef/>
      </w:r>
      <w:r w:rsidRPr="00300A11">
        <w:rPr>
          <w:rFonts w:ascii="Arial" w:hAnsi="Arial" w:cs="Arial"/>
          <w:sz w:val="16"/>
          <w:szCs w:val="16"/>
        </w:rPr>
        <w:t xml:space="preserve"> El comercio internacional de servicios relacionados con viajes, servicios de seguros y pensiones, servicios financieros y los bienes y servicios del gobierno no son objeto de estudio de la </w:t>
      </w:r>
      <w:r w:rsidRPr="00342822">
        <w:rPr>
          <w:rFonts w:ascii="Arial" w:hAnsi="Arial" w:cs="Arial"/>
          <w:smallCaps/>
          <w:sz w:val="16"/>
          <w:szCs w:val="16"/>
        </w:rPr>
        <w:t>ecis</w:t>
      </w:r>
      <w:r w:rsidRPr="00300A11">
        <w:rPr>
          <w:rFonts w:ascii="Arial" w:hAnsi="Arial" w:cs="Arial"/>
          <w:sz w:val="16"/>
          <w:szCs w:val="16"/>
        </w:rPr>
        <w:t>. Lo anterior</w:t>
      </w:r>
      <w:r>
        <w:rPr>
          <w:rFonts w:ascii="Arial" w:hAnsi="Arial" w:cs="Arial"/>
          <w:sz w:val="16"/>
          <w:szCs w:val="16"/>
        </w:rPr>
        <w:t>,</w:t>
      </w:r>
      <w:r w:rsidRPr="00300A11">
        <w:rPr>
          <w:rFonts w:ascii="Arial" w:hAnsi="Arial" w:cs="Arial"/>
          <w:sz w:val="16"/>
          <w:szCs w:val="16"/>
        </w:rPr>
        <w:t xml:space="preserve"> porque </w:t>
      </w:r>
      <w:r w:rsidRPr="002A0561">
        <w:rPr>
          <w:rFonts w:ascii="Arial" w:hAnsi="Arial" w:cs="Arial"/>
          <w:smallCaps/>
          <w:sz w:val="16"/>
          <w:szCs w:val="16"/>
        </w:rPr>
        <w:t>inegi</w:t>
      </w:r>
      <w:r>
        <w:rPr>
          <w:rFonts w:ascii="Arial" w:hAnsi="Arial" w:cs="Arial"/>
          <w:sz w:val="16"/>
          <w:szCs w:val="16"/>
        </w:rPr>
        <w:t xml:space="preserve"> pu</w:t>
      </w:r>
      <w:r w:rsidRPr="00300A11">
        <w:rPr>
          <w:rFonts w:ascii="Arial" w:hAnsi="Arial" w:cs="Arial"/>
          <w:sz w:val="16"/>
          <w:szCs w:val="16"/>
        </w:rPr>
        <w:t>blica información relacionada con el comercio internacional de servicios, tal como los de viajes internacionales (Encuestas de Viajeros Internacionales</w:t>
      </w:r>
      <w:r>
        <w:rPr>
          <w:rFonts w:ascii="Arial" w:hAnsi="Arial" w:cs="Arial"/>
          <w:sz w:val="16"/>
          <w:szCs w:val="16"/>
        </w:rPr>
        <w:t>)</w:t>
      </w:r>
      <w:r w:rsidRPr="00300A11">
        <w:rPr>
          <w:rFonts w:ascii="Arial" w:hAnsi="Arial" w:cs="Arial"/>
          <w:sz w:val="16"/>
          <w:szCs w:val="16"/>
        </w:rPr>
        <w:t xml:space="preserve">, </w:t>
      </w:r>
      <w:r w:rsidR="007A49BD" w:rsidRPr="007A49BD">
        <w:rPr>
          <w:rFonts w:ascii="Arial" w:hAnsi="Arial" w:cs="Arial"/>
          <w:bCs/>
          <w:sz w:val="16"/>
          <w:szCs w:val="24"/>
        </w:rPr>
        <w:t>«</w:t>
      </w:r>
      <w:r w:rsidRPr="00300A11">
        <w:rPr>
          <w:rFonts w:ascii="Arial" w:hAnsi="Arial" w:cs="Arial"/>
          <w:sz w:val="16"/>
          <w:szCs w:val="16"/>
        </w:rPr>
        <w:t>servicios de manufactura en insumos físicos propiedad de otros</w:t>
      </w:r>
      <w:r w:rsidR="007A49BD">
        <w:rPr>
          <w:rFonts w:ascii="Arial" w:hAnsi="Arial" w:cs="Arial"/>
          <w:bCs/>
          <w:kern w:val="24"/>
          <w:sz w:val="16"/>
          <w:szCs w:val="16"/>
        </w:rPr>
        <w:t>»</w:t>
      </w:r>
      <w:r w:rsidRPr="00300A11">
        <w:rPr>
          <w:rFonts w:ascii="Arial" w:hAnsi="Arial" w:cs="Arial"/>
          <w:sz w:val="16"/>
          <w:szCs w:val="16"/>
        </w:rPr>
        <w:t xml:space="preserve"> (Estadística del Programa de la Industria Manufacturera, Maquiladora y de Servicios de Exportación), así como datos de la Encuesta Mensual de la Industria Manufacturera, al igual que la Balanza Comercial de Mercancías de México.  </w:t>
      </w:r>
    </w:p>
  </w:footnote>
  <w:footnote w:id="2">
    <w:p w14:paraId="64A59726" w14:textId="77777777" w:rsidR="0008691F" w:rsidRPr="00300A11" w:rsidRDefault="0008691F" w:rsidP="002A0561">
      <w:p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300A11">
        <w:rPr>
          <w:rStyle w:val="Refdenotaalpie"/>
          <w:rFonts w:ascii="Arial" w:hAnsi="Arial" w:cs="Arial"/>
          <w:sz w:val="16"/>
          <w:szCs w:val="16"/>
        </w:rPr>
        <w:footnoteRef/>
      </w:r>
      <w:r w:rsidRPr="00300A11">
        <w:rPr>
          <w:rFonts w:ascii="Arial" w:hAnsi="Arial" w:cs="Arial"/>
          <w:sz w:val="16"/>
          <w:szCs w:val="16"/>
        </w:rPr>
        <w:t xml:space="preserve"> Conformado por las actividades de minería, energía eléctrica, suministro de agua y gas, construcción y manufacturas.</w:t>
      </w:r>
    </w:p>
  </w:footnote>
  <w:footnote w:id="3">
    <w:p w14:paraId="25EAC11A" w14:textId="093CCFD6" w:rsidR="0008691F" w:rsidRPr="00300A11" w:rsidRDefault="0008691F" w:rsidP="007A49BD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300A11">
        <w:rPr>
          <w:rStyle w:val="Refdenotaalpie"/>
          <w:rFonts w:ascii="Arial" w:hAnsi="Arial" w:cs="Arial"/>
          <w:sz w:val="16"/>
          <w:szCs w:val="16"/>
        </w:rPr>
        <w:footnoteRef/>
      </w:r>
      <w:r w:rsidRPr="00300A11">
        <w:rPr>
          <w:rFonts w:ascii="Arial" w:hAnsi="Arial" w:cs="Arial"/>
          <w:sz w:val="16"/>
          <w:szCs w:val="16"/>
        </w:rPr>
        <w:t xml:space="preserve"> Integrado por las actividades de comercio al por mayor y comercio al por menor.</w:t>
      </w:r>
    </w:p>
  </w:footnote>
  <w:footnote w:id="4">
    <w:p w14:paraId="39FEB7A5" w14:textId="01AB675E" w:rsidR="0008691F" w:rsidRDefault="0008691F" w:rsidP="007A49BD">
      <w:pPr>
        <w:pStyle w:val="Textonotapie"/>
        <w:ind w:left="142" w:hanging="142"/>
        <w:jc w:val="both"/>
      </w:pPr>
      <w:r w:rsidRPr="00300A11">
        <w:rPr>
          <w:rStyle w:val="Refdenotaalpie"/>
          <w:rFonts w:ascii="Arial" w:hAnsi="Arial" w:cs="Arial"/>
          <w:sz w:val="16"/>
          <w:szCs w:val="16"/>
        </w:rPr>
        <w:footnoteRef/>
      </w:r>
      <w:r w:rsidRPr="00300A11">
        <w:rPr>
          <w:rFonts w:ascii="Arial" w:hAnsi="Arial" w:cs="Arial"/>
          <w:sz w:val="16"/>
          <w:szCs w:val="16"/>
        </w:rPr>
        <w:t xml:space="preserve"> Estratificación bivariada referente a la publicada en el </w:t>
      </w:r>
      <w:r w:rsidRPr="002A0561">
        <w:rPr>
          <w:rFonts w:ascii="Arial" w:hAnsi="Arial" w:cs="Arial"/>
          <w:i/>
          <w:iCs/>
          <w:sz w:val="16"/>
          <w:szCs w:val="16"/>
        </w:rPr>
        <w:t>Diario Oficial de la Federación</w:t>
      </w:r>
      <w:r w:rsidRPr="00300A11">
        <w:rPr>
          <w:rFonts w:ascii="Arial" w:hAnsi="Arial" w:cs="Arial"/>
          <w:sz w:val="16"/>
          <w:szCs w:val="16"/>
        </w:rPr>
        <w:t xml:space="preserve"> (DOF) por la Secretaría de Economía </w:t>
      </w:r>
      <w:r>
        <w:rPr>
          <w:rFonts w:ascii="Arial" w:hAnsi="Arial" w:cs="Arial"/>
          <w:sz w:val="16"/>
          <w:szCs w:val="16"/>
        </w:rPr>
        <w:t>(</w:t>
      </w:r>
      <w:r w:rsidRPr="00342822">
        <w:rPr>
          <w:rFonts w:ascii="Arial" w:hAnsi="Arial" w:cs="Arial"/>
          <w:smallCaps/>
          <w:sz w:val="16"/>
          <w:szCs w:val="16"/>
        </w:rPr>
        <w:t>se</w:t>
      </w:r>
      <w:r>
        <w:rPr>
          <w:rFonts w:ascii="Arial" w:hAnsi="Arial" w:cs="Arial"/>
          <w:sz w:val="16"/>
          <w:szCs w:val="16"/>
        </w:rPr>
        <w:t xml:space="preserve">) </w:t>
      </w:r>
      <w:r w:rsidRPr="00300A11">
        <w:rPr>
          <w:rFonts w:ascii="Arial" w:hAnsi="Arial" w:cs="Arial"/>
          <w:sz w:val="16"/>
          <w:szCs w:val="16"/>
        </w:rPr>
        <w:t xml:space="preserve">el 30 de junio de 2009. </w:t>
      </w:r>
    </w:p>
  </w:footnote>
  <w:footnote w:id="5">
    <w:p w14:paraId="1BC2E4EF" w14:textId="72855CB4" w:rsidR="00B32D0E" w:rsidRPr="00902A81" w:rsidRDefault="00B32D0E" w:rsidP="00902A81">
      <w:pPr>
        <w:pStyle w:val="Textonotapie"/>
        <w:jc w:val="both"/>
        <w:rPr>
          <w:rFonts w:ascii="Arial" w:hAnsi="Arial" w:cs="Arial"/>
          <w:sz w:val="16"/>
        </w:rPr>
      </w:pPr>
      <w:r w:rsidRPr="00902A81">
        <w:rPr>
          <w:rStyle w:val="Refdenotaalpie"/>
          <w:rFonts w:ascii="Arial" w:hAnsi="Arial" w:cs="Arial"/>
          <w:sz w:val="14"/>
        </w:rPr>
        <w:footnoteRef/>
      </w:r>
      <w:r w:rsidRPr="00902A81">
        <w:rPr>
          <w:rFonts w:ascii="Arial" w:hAnsi="Arial" w:cs="Arial"/>
          <w:sz w:val="14"/>
        </w:rPr>
        <w:t xml:space="preserve"> </w:t>
      </w:r>
      <w:r w:rsidRPr="00902A81">
        <w:rPr>
          <w:rFonts w:ascii="Arial" w:hAnsi="Arial" w:cs="Arial"/>
          <w:sz w:val="16"/>
        </w:rPr>
        <w:t>Conformado por las actividades de minería, energía eléctrica, suministro de agua y gas, construcción y manufacturas.</w:t>
      </w:r>
    </w:p>
  </w:footnote>
  <w:footnote w:id="6">
    <w:p w14:paraId="6A7FDBD1" w14:textId="1BA6CEDB" w:rsidR="00B32D0E" w:rsidRDefault="00B32D0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455DE">
        <w:rPr>
          <w:rFonts w:ascii="Arial" w:hAnsi="Arial" w:cs="Arial"/>
          <w:sz w:val="16"/>
        </w:rPr>
        <w:t>Integrado por las actividades de comercio al por mayor y comercio al por menor.</w:t>
      </w:r>
    </w:p>
  </w:footnote>
  <w:footnote w:id="7">
    <w:p w14:paraId="6AC4AF73" w14:textId="39947021" w:rsidR="00B32D0E" w:rsidRDefault="00B32D0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54E0D">
        <w:rPr>
          <w:rFonts w:ascii="Arial" w:hAnsi="Arial" w:cs="Arial"/>
          <w:sz w:val="16"/>
        </w:rPr>
        <w:t xml:space="preserve">Versión </w:t>
      </w:r>
      <w:r w:rsidR="00382121" w:rsidRPr="00382121">
        <w:rPr>
          <w:rFonts w:ascii="Arial" w:hAnsi="Arial" w:cs="Arial"/>
          <w:smallCaps/>
          <w:sz w:val="16"/>
        </w:rPr>
        <w:t>renem</w:t>
      </w:r>
      <w:r w:rsidRPr="00754E0D">
        <w:rPr>
          <w:rFonts w:ascii="Arial" w:hAnsi="Arial" w:cs="Arial"/>
          <w:sz w:val="16"/>
        </w:rPr>
        <w:t xml:space="preserve"> 7 de diciembre de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D8E8F" w14:textId="59584911" w:rsidR="0008691F" w:rsidRPr="00342852" w:rsidRDefault="0008691F" w:rsidP="00AB57A8">
    <w:pPr>
      <w:pStyle w:val="Encabezado"/>
      <w:ind w:left="-567" w:right="49"/>
      <w:jc w:val="right"/>
      <w:rPr>
        <w:rFonts w:ascii="Arial" w:hAnsi="Arial" w:cs="Arial"/>
        <w:b/>
        <w:color w:val="002060"/>
        <w:sz w:val="24"/>
        <w:lang w:val="pt-BR"/>
      </w:rPr>
    </w:pPr>
    <w:r w:rsidRPr="00342852">
      <w:rPr>
        <w:rFonts w:ascii="Arial" w:hAnsi="Arial" w:cs="Arial"/>
        <w:noProof/>
        <w:sz w:val="24"/>
      </w:rPr>
      <w:drawing>
        <wp:anchor distT="0" distB="0" distL="114300" distR="114300" simplePos="0" relativeHeight="251659264" behindDoc="0" locked="0" layoutInCell="1" allowOverlap="1" wp14:anchorId="0DB12BD0" wp14:editId="60EA7485">
          <wp:simplePos x="0" y="0"/>
          <wp:positionH relativeFrom="margin">
            <wp:posOffset>-56515</wp:posOffset>
          </wp:positionH>
          <wp:positionV relativeFrom="paragraph">
            <wp:posOffset>-143510</wp:posOffset>
          </wp:positionV>
          <wp:extent cx="2760980" cy="795655"/>
          <wp:effectExtent l="0" t="0" r="1270" b="4445"/>
          <wp:wrapSquare wrapText="bothSides"/>
          <wp:docPr id="144987191" name="Imagen 144987191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99583202" descr="Un letrero de color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98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852">
      <w:rPr>
        <w:rFonts w:ascii="Arial" w:hAnsi="Arial" w:cs="Arial"/>
        <w:b/>
        <w:color w:val="002060"/>
        <w:sz w:val="24"/>
      </w:rPr>
      <w:t xml:space="preserve">Comunicado de prensa número </w:t>
    </w:r>
    <w:r>
      <w:rPr>
        <w:rFonts w:ascii="Arial" w:hAnsi="Arial" w:cs="Arial"/>
        <w:b/>
        <w:color w:val="002060"/>
        <w:sz w:val="24"/>
      </w:rPr>
      <w:t>593</w:t>
    </w:r>
    <w:r w:rsidRPr="00342852">
      <w:rPr>
        <w:rFonts w:ascii="Arial" w:hAnsi="Arial" w:cs="Arial"/>
        <w:b/>
        <w:color w:val="002060"/>
        <w:sz w:val="24"/>
      </w:rPr>
      <w:t>/</w:t>
    </w:r>
    <w:r>
      <w:rPr>
        <w:rFonts w:ascii="Arial" w:hAnsi="Arial" w:cs="Arial"/>
        <w:b/>
        <w:color w:val="002060"/>
        <w:sz w:val="24"/>
      </w:rPr>
      <w:t>23</w:t>
    </w:r>
  </w:p>
  <w:p w14:paraId="03C2C464" w14:textId="33987114" w:rsidR="0008691F" w:rsidRPr="00342852" w:rsidRDefault="0008691F" w:rsidP="00AB57A8">
    <w:pPr>
      <w:pStyle w:val="Encabezado"/>
      <w:ind w:left="-567" w:right="49"/>
      <w:jc w:val="right"/>
      <w:rPr>
        <w:rFonts w:ascii="Arial" w:hAnsi="Arial" w:cs="Arial"/>
        <w:b/>
        <w:color w:val="002060"/>
        <w:sz w:val="24"/>
        <w:lang w:val="pt-BR"/>
      </w:rPr>
    </w:pPr>
    <w:r w:rsidRPr="00342852">
      <w:rPr>
        <w:rFonts w:ascii="Arial" w:hAnsi="Arial" w:cs="Arial"/>
        <w:b/>
        <w:color w:val="002060"/>
        <w:sz w:val="24"/>
        <w:lang w:val="pt-BR"/>
      </w:rPr>
      <w:t>16 de octubre de 2023</w:t>
    </w:r>
  </w:p>
  <w:p w14:paraId="61F4EBE5" w14:textId="2BEAD682" w:rsidR="0008691F" w:rsidRPr="00342852" w:rsidRDefault="0008691F" w:rsidP="00AB57A8">
    <w:pPr>
      <w:pStyle w:val="Encabezado"/>
      <w:ind w:left="-567" w:right="49"/>
      <w:jc w:val="right"/>
      <w:rPr>
        <w:rFonts w:ascii="Arial" w:hAnsi="Arial" w:cs="Arial"/>
        <w:sz w:val="24"/>
      </w:rPr>
    </w:pPr>
    <w:r w:rsidRPr="00342852">
      <w:rPr>
        <w:rFonts w:ascii="Arial" w:hAnsi="Arial" w:cs="Arial"/>
        <w:b/>
        <w:color w:val="002060"/>
        <w:sz w:val="24"/>
      </w:rPr>
      <w:t xml:space="preserve">Página </w:t>
    </w:r>
    <w:r w:rsidRPr="00342852">
      <w:rPr>
        <w:rFonts w:ascii="Arial" w:hAnsi="Arial" w:cs="Arial"/>
        <w:b/>
        <w:color w:val="002060"/>
        <w:sz w:val="24"/>
      </w:rPr>
      <w:fldChar w:fldCharType="begin"/>
    </w:r>
    <w:r w:rsidRPr="00342852">
      <w:rPr>
        <w:rFonts w:ascii="Arial" w:hAnsi="Arial" w:cs="Arial"/>
        <w:b/>
        <w:color w:val="002060"/>
        <w:sz w:val="24"/>
      </w:rPr>
      <w:instrText xml:space="preserve"> PAGE  \* Arabic </w:instrText>
    </w:r>
    <w:r w:rsidRPr="00342852">
      <w:rPr>
        <w:rFonts w:ascii="Arial" w:hAnsi="Arial" w:cs="Arial"/>
        <w:b/>
        <w:color w:val="002060"/>
        <w:sz w:val="24"/>
      </w:rPr>
      <w:fldChar w:fldCharType="separate"/>
    </w:r>
    <w:r w:rsidRPr="00342852">
      <w:rPr>
        <w:rFonts w:ascii="Arial" w:hAnsi="Arial" w:cs="Arial"/>
        <w:b/>
        <w:color w:val="002060"/>
        <w:sz w:val="24"/>
      </w:rPr>
      <w:t>1</w:t>
    </w:r>
    <w:r w:rsidRPr="00342852">
      <w:rPr>
        <w:rFonts w:ascii="Arial" w:hAnsi="Arial" w:cs="Arial"/>
        <w:b/>
        <w:color w:val="002060"/>
        <w:sz w:val="24"/>
      </w:rPr>
      <w:fldChar w:fldCharType="end"/>
    </w:r>
    <w:r w:rsidRPr="00342852">
      <w:rPr>
        <w:rFonts w:ascii="Arial" w:hAnsi="Arial" w:cs="Arial"/>
        <w:b/>
        <w:color w:val="002060"/>
        <w:sz w:val="24"/>
      </w:rPr>
      <w:t>/</w:t>
    </w:r>
    <w:r>
      <w:rPr>
        <w:rFonts w:ascii="Arial" w:hAnsi="Arial" w:cs="Arial"/>
        <w:b/>
        <w:color w:val="002060"/>
        <w:sz w:val="24"/>
      </w:rPr>
      <w:t>23</w:t>
    </w:r>
  </w:p>
  <w:p w14:paraId="0F015BFC" w14:textId="57595563" w:rsidR="0008691F" w:rsidRPr="00342852" w:rsidRDefault="0008691F">
    <w:pPr>
      <w:pStyle w:val="Encabezado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6F258E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E2C5B"/>
    <w:multiLevelType w:val="hybridMultilevel"/>
    <w:tmpl w:val="C6647722"/>
    <w:lvl w:ilvl="0" w:tplc="D79878E6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A6D1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76A40C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4AED1B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06497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CA4CEC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D903D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158DF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6D416C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A523D"/>
    <w:multiLevelType w:val="hybridMultilevel"/>
    <w:tmpl w:val="EA80B63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610BB"/>
    <w:multiLevelType w:val="hybridMultilevel"/>
    <w:tmpl w:val="15DCFE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74CE0"/>
    <w:multiLevelType w:val="hybridMultilevel"/>
    <w:tmpl w:val="C7DCD0D6"/>
    <w:lvl w:ilvl="0" w:tplc="2E90A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27BF9"/>
    <w:multiLevelType w:val="hybridMultilevel"/>
    <w:tmpl w:val="270C688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03EBE"/>
    <w:multiLevelType w:val="hybridMultilevel"/>
    <w:tmpl w:val="EA80B63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10BC1"/>
    <w:multiLevelType w:val="hybridMultilevel"/>
    <w:tmpl w:val="2BD28D60"/>
    <w:lvl w:ilvl="0" w:tplc="DAD01A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CD39DB"/>
    <w:multiLevelType w:val="hybridMultilevel"/>
    <w:tmpl w:val="9F9A5B56"/>
    <w:lvl w:ilvl="0" w:tplc="7B5A9E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35831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10CA4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232EF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DAA35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2CAE28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E02CF6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9A23F3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6A09A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C1"/>
    <w:rsid w:val="000037D3"/>
    <w:rsid w:val="00007214"/>
    <w:rsid w:val="00010B4D"/>
    <w:rsid w:val="00012537"/>
    <w:rsid w:val="00014EA2"/>
    <w:rsid w:val="00022B84"/>
    <w:rsid w:val="00023D95"/>
    <w:rsid w:val="00024007"/>
    <w:rsid w:val="000268BA"/>
    <w:rsid w:val="0002734E"/>
    <w:rsid w:val="00031D78"/>
    <w:rsid w:val="000336E5"/>
    <w:rsid w:val="00034F8D"/>
    <w:rsid w:val="00035D40"/>
    <w:rsid w:val="0003670B"/>
    <w:rsid w:val="00041BF2"/>
    <w:rsid w:val="0004228C"/>
    <w:rsid w:val="00044079"/>
    <w:rsid w:val="00051CC1"/>
    <w:rsid w:val="00053A02"/>
    <w:rsid w:val="000600C6"/>
    <w:rsid w:val="00061771"/>
    <w:rsid w:val="00064A72"/>
    <w:rsid w:val="000668BB"/>
    <w:rsid w:val="00067E26"/>
    <w:rsid w:val="00072F94"/>
    <w:rsid w:val="00073DC5"/>
    <w:rsid w:val="00076FB7"/>
    <w:rsid w:val="00081A2E"/>
    <w:rsid w:val="0008691F"/>
    <w:rsid w:val="00091D09"/>
    <w:rsid w:val="0009229C"/>
    <w:rsid w:val="000924F4"/>
    <w:rsid w:val="000941BC"/>
    <w:rsid w:val="0009483B"/>
    <w:rsid w:val="000951BA"/>
    <w:rsid w:val="0009522F"/>
    <w:rsid w:val="000A0618"/>
    <w:rsid w:val="000A27B7"/>
    <w:rsid w:val="000A5009"/>
    <w:rsid w:val="000A6918"/>
    <w:rsid w:val="000A6FE6"/>
    <w:rsid w:val="000B77A9"/>
    <w:rsid w:val="000C04EA"/>
    <w:rsid w:val="000C09DA"/>
    <w:rsid w:val="000C57FF"/>
    <w:rsid w:val="000C5C51"/>
    <w:rsid w:val="000C5F68"/>
    <w:rsid w:val="000D0314"/>
    <w:rsid w:val="000D09E8"/>
    <w:rsid w:val="000D1A64"/>
    <w:rsid w:val="000D3746"/>
    <w:rsid w:val="000D48BE"/>
    <w:rsid w:val="000E04B2"/>
    <w:rsid w:val="000E076B"/>
    <w:rsid w:val="000E09EE"/>
    <w:rsid w:val="000E0AA7"/>
    <w:rsid w:val="000E0C78"/>
    <w:rsid w:val="000E0DF9"/>
    <w:rsid w:val="000E1975"/>
    <w:rsid w:val="000E5AA4"/>
    <w:rsid w:val="000E5D32"/>
    <w:rsid w:val="000E6CF8"/>
    <w:rsid w:val="000F6D59"/>
    <w:rsid w:val="00104D30"/>
    <w:rsid w:val="00106C19"/>
    <w:rsid w:val="001167A1"/>
    <w:rsid w:val="001223B2"/>
    <w:rsid w:val="00122599"/>
    <w:rsid w:val="00124980"/>
    <w:rsid w:val="0012540F"/>
    <w:rsid w:val="0013057F"/>
    <w:rsid w:val="00130D7C"/>
    <w:rsid w:val="00133D7D"/>
    <w:rsid w:val="001405AB"/>
    <w:rsid w:val="001422AF"/>
    <w:rsid w:val="001459B5"/>
    <w:rsid w:val="0014664A"/>
    <w:rsid w:val="00153135"/>
    <w:rsid w:val="00155462"/>
    <w:rsid w:val="001609F9"/>
    <w:rsid w:val="001639F4"/>
    <w:rsid w:val="00163B4F"/>
    <w:rsid w:val="0016597E"/>
    <w:rsid w:val="00167EB0"/>
    <w:rsid w:val="0017170C"/>
    <w:rsid w:val="001719AB"/>
    <w:rsid w:val="001762F5"/>
    <w:rsid w:val="00181987"/>
    <w:rsid w:val="001843D0"/>
    <w:rsid w:val="001868EF"/>
    <w:rsid w:val="001877CE"/>
    <w:rsid w:val="00187C15"/>
    <w:rsid w:val="001911DC"/>
    <w:rsid w:val="00194217"/>
    <w:rsid w:val="00195162"/>
    <w:rsid w:val="001951B0"/>
    <w:rsid w:val="00197501"/>
    <w:rsid w:val="001A30BC"/>
    <w:rsid w:val="001A3C39"/>
    <w:rsid w:val="001B0472"/>
    <w:rsid w:val="001B2D22"/>
    <w:rsid w:val="001B593D"/>
    <w:rsid w:val="001B62F2"/>
    <w:rsid w:val="001B7616"/>
    <w:rsid w:val="001B7BD9"/>
    <w:rsid w:val="001C14BE"/>
    <w:rsid w:val="001C175C"/>
    <w:rsid w:val="001C1781"/>
    <w:rsid w:val="001C4D86"/>
    <w:rsid w:val="001C5358"/>
    <w:rsid w:val="001D2563"/>
    <w:rsid w:val="001D2EFC"/>
    <w:rsid w:val="001D71C9"/>
    <w:rsid w:val="001D7536"/>
    <w:rsid w:val="001E4D22"/>
    <w:rsid w:val="001F3B36"/>
    <w:rsid w:val="001F611D"/>
    <w:rsid w:val="00200F4A"/>
    <w:rsid w:val="00206D93"/>
    <w:rsid w:val="00212BD2"/>
    <w:rsid w:val="002131F6"/>
    <w:rsid w:val="002153FB"/>
    <w:rsid w:val="00216ADD"/>
    <w:rsid w:val="00222C81"/>
    <w:rsid w:val="00224DD2"/>
    <w:rsid w:val="0022505B"/>
    <w:rsid w:val="00225229"/>
    <w:rsid w:val="00226622"/>
    <w:rsid w:val="002266C6"/>
    <w:rsid w:val="0023055F"/>
    <w:rsid w:val="00230C0C"/>
    <w:rsid w:val="0023154A"/>
    <w:rsid w:val="0023294D"/>
    <w:rsid w:val="00241F93"/>
    <w:rsid w:val="00242836"/>
    <w:rsid w:val="002436D9"/>
    <w:rsid w:val="0024445D"/>
    <w:rsid w:val="0024629F"/>
    <w:rsid w:val="0024664F"/>
    <w:rsid w:val="00246D12"/>
    <w:rsid w:val="002478E6"/>
    <w:rsid w:val="00251ECD"/>
    <w:rsid w:val="002547AC"/>
    <w:rsid w:val="002630C2"/>
    <w:rsid w:val="00264BA5"/>
    <w:rsid w:val="0026544A"/>
    <w:rsid w:val="0026575D"/>
    <w:rsid w:val="00270313"/>
    <w:rsid w:val="00272F47"/>
    <w:rsid w:val="00274A2D"/>
    <w:rsid w:val="002821C6"/>
    <w:rsid w:val="002832C4"/>
    <w:rsid w:val="002839E9"/>
    <w:rsid w:val="002847B8"/>
    <w:rsid w:val="00287217"/>
    <w:rsid w:val="002879F7"/>
    <w:rsid w:val="0029050C"/>
    <w:rsid w:val="00291F0C"/>
    <w:rsid w:val="002A0561"/>
    <w:rsid w:val="002A20A2"/>
    <w:rsid w:val="002A3A90"/>
    <w:rsid w:val="002A4569"/>
    <w:rsid w:val="002A5083"/>
    <w:rsid w:val="002A5B10"/>
    <w:rsid w:val="002B430A"/>
    <w:rsid w:val="002B4BCC"/>
    <w:rsid w:val="002B7ABE"/>
    <w:rsid w:val="002C18D5"/>
    <w:rsid w:val="002C42EE"/>
    <w:rsid w:val="002C4471"/>
    <w:rsid w:val="002C46BD"/>
    <w:rsid w:val="002C5B08"/>
    <w:rsid w:val="002D33D7"/>
    <w:rsid w:val="002D4EC6"/>
    <w:rsid w:val="002D5FA5"/>
    <w:rsid w:val="002D7804"/>
    <w:rsid w:val="002E01C7"/>
    <w:rsid w:val="002E5237"/>
    <w:rsid w:val="002E57C1"/>
    <w:rsid w:val="002E61D0"/>
    <w:rsid w:val="002E6BAF"/>
    <w:rsid w:val="002F0577"/>
    <w:rsid w:val="002F076C"/>
    <w:rsid w:val="002F3A8B"/>
    <w:rsid w:val="002F47CB"/>
    <w:rsid w:val="00300A11"/>
    <w:rsid w:val="00300A4B"/>
    <w:rsid w:val="003037B4"/>
    <w:rsid w:val="00303BFC"/>
    <w:rsid w:val="003041C0"/>
    <w:rsid w:val="00304DC2"/>
    <w:rsid w:val="0031581A"/>
    <w:rsid w:val="00330A7F"/>
    <w:rsid w:val="0033245C"/>
    <w:rsid w:val="0033498F"/>
    <w:rsid w:val="00334BE4"/>
    <w:rsid w:val="00335295"/>
    <w:rsid w:val="0033579A"/>
    <w:rsid w:val="00335C69"/>
    <w:rsid w:val="003373F9"/>
    <w:rsid w:val="00340983"/>
    <w:rsid w:val="00340A29"/>
    <w:rsid w:val="00341A66"/>
    <w:rsid w:val="00342822"/>
    <w:rsid w:val="00342852"/>
    <w:rsid w:val="0034585C"/>
    <w:rsid w:val="00350C88"/>
    <w:rsid w:val="00351CEE"/>
    <w:rsid w:val="00357153"/>
    <w:rsid w:val="00357B45"/>
    <w:rsid w:val="00363034"/>
    <w:rsid w:val="00364E4F"/>
    <w:rsid w:val="0036667C"/>
    <w:rsid w:val="00371DEA"/>
    <w:rsid w:val="00380003"/>
    <w:rsid w:val="003809B9"/>
    <w:rsid w:val="00380BD6"/>
    <w:rsid w:val="00382121"/>
    <w:rsid w:val="003828CA"/>
    <w:rsid w:val="00384D1F"/>
    <w:rsid w:val="003874AB"/>
    <w:rsid w:val="003909FD"/>
    <w:rsid w:val="00392270"/>
    <w:rsid w:val="00392918"/>
    <w:rsid w:val="00393CF7"/>
    <w:rsid w:val="003A37A4"/>
    <w:rsid w:val="003A5CCE"/>
    <w:rsid w:val="003A6901"/>
    <w:rsid w:val="003B2E2A"/>
    <w:rsid w:val="003B3476"/>
    <w:rsid w:val="003B3E6D"/>
    <w:rsid w:val="003B67A6"/>
    <w:rsid w:val="003B76E8"/>
    <w:rsid w:val="003C1A2B"/>
    <w:rsid w:val="003C1E3C"/>
    <w:rsid w:val="003C6D2E"/>
    <w:rsid w:val="003D0F72"/>
    <w:rsid w:val="003D10BF"/>
    <w:rsid w:val="003D1324"/>
    <w:rsid w:val="003D2A53"/>
    <w:rsid w:val="003D66F7"/>
    <w:rsid w:val="003D72FD"/>
    <w:rsid w:val="003E33A8"/>
    <w:rsid w:val="003E69FD"/>
    <w:rsid w:val="003F0448"/>
    <w:rsid w:val="003F2B9A"/>
    <w:rsid w:val="004005DC"/>
    <w:rsid w:val="00401990"/>
    <w:rsid w:val="00402041"/>
    <w:rsid w:val="00405EB5"/>
    <w:rsid w:val="004105CA"/>
    <w:rsid w:val="00412E50"/>
    <w:rsid w:val="0041463E"/>
    <w:rsid w:val="004208E4"/>
    <w:rsid w:val="00420EC7"/>
    <w:rsid w:val="004214B9"/>
    <w:rsid w:val="00422A20"/>
    <w:rsid w:val="00422B53"/>
    <w:rsid w:val="00430933"/>
    <w:rsid w:val="00431645"/>
    <w:rsid w:val="00431F0A"/>
    <w:rsid w:val="0043209F"/>
    <w:rsid w:val="004365D7"/>
    <w:rsid w:val="004378B5"/>
    <w:rsid w:val="00437D70"/>
    <w:rsid w:val="004406D5"/>
    <w:rsid w:val="004407E2"/>
    <w:rsid w:val="00440F63"/>
    <w:rsid w:val="004509B0"/>
    <w:rsid w:val="004527BC"/>
    <w:rsid w:val="004547B7"/>
    <w:rsid w:val="00457D21"/>
    <w:rsid w:val="00460B69"/>
    <w:rsid w:val="0046714A"/>
    <w:rsid w:val="0047365A"/>
    <w:rsid w:val="00476469"/>
    <w:rsid w:val="004813B1"/>
    <w:rsid w:val="00484434"/>
    <w:rsid w:val="004906B0"/>
    <w:rsid w:val="00491494"/>
    <w:rsid w:val="004941D2"/>
    <w:rsid w:val="004A1561"/>
    <w:rsid w:val="004A30F5"/>
    <w:rsid w:val="004A3AA3"/>
    <w:rsid w:val="004A42E4"/>
    <w:rsid w:val="004A693D"/>
    <w:rsid w:val="004A720D"/>
    <w:rsid w:val="004B613B"/>
    <w:rsid w:val="004B6D9F"/>
    <w:rsid w:val="004B7B2E"/>
    <w:rsid w:val="004C19CD"/>
    <w:rsid w:val="004C1BD3"/>
    <w:rsid w:val="004C4B91"/>
    <w:rsid w:val="004C5741"/>
    <w:rsid w:val="004C6BCF"/>
    <w:rsid w:val="004C76EA"/>
    <w:rsid w:val="004D1DE2"/>
    <w:rsid w:val="004D4ACB"/>
    <w:rsid w:val="004D6707"/>
    <w:rsid w:val="004E16D7"/>
    <w:rsid w:val="004E2111"/>
    <w:rsid w:val="004E2612"/>
    <w:rsid w:val="004E61D0"/>
    <w:rsid w:val="004E6CDF"/>
    <w:rsid w:val="004E76BA"/>
    <w:rsid w:val="004F2B09"/>
    <w:rsid w:val="004F37B7"/>
    <w:rsid w:val="004F45BC"/>
    <w:rsid w:val="00501588"/>
    <w:rsid w:val="005106D0"/>
    <w:rsid w:val="00516DA4"/>
    <w:rsid w:val="005235CE"/>
    <w:rsid w:val="00527145"/>
    <w:rsid w:val="00527C89"/>
    <w:rsid w:val="00530C1A"/>
    <w:rsid w:val="005329DC"/>
    <w:rsid w:val="00535B45"/>
    <w:rsid w:val="00540EE0"/>
    <w:rsid w:val="00541F93"/>
    <w:rsid w:val="00543191"/>
    <w:rsid w:val="00547712"/>
    <w:rsid w:val="00547846"/>
    <w:rsid w:val="00552F8B"/>
    <w:rsid w:val="00557751"/>
    <w:rsid w:val="00560802"/>
    <w:rsid w:val="005628C0"/>
    <w:rsid w:val="00562F9F"/>
    <w:rsid w:val="00565CDB"/>
    <w:rsid w:val="00570A6E"/>
    <w:rsid w:val="00572839"/>
    <w:rsid w:val="00572DB1"/>
    <w:rsid w:val="005741F2"/>
    <w:rsid w:val="00574C08"/>
    <w:rsid w:val="005829BD"/>
    <w:rsid w:val="00584831"/>
    <w:rsid w:val="00590BE8"/>
    <w:rsid w:val="00595246"/>
    <w:rsid w:val="00596104"/>
    <w:rsid w:val="00596708"/>
    <w:rsid w:val="005A1D7F"/>
    <w:rsid w:val="005A482F"/>
    <w:rsid w:val="005A4B4F"/>
    <w:rsid w:val="005A53CC"/>
    <w:rsid w:val="005B7485"/>
    <w:rsid w:val="005C093F"/>
    <w:rsid w:val="005C0DEA"/>
    <w:rsid w:val="005C1CB5"/>
    <w:rsid w:val="005C48CF"/>
    <w:rsid w:val="005C5690"/>
    <w:rsid w:val="005D12A7"/>
    <w:rsid w:val="005D1C02"/>
    <w:rsid w:val="005D4D8F"/>
    <w:rsid w:val="005D579B"/>
    <w:rsid w:val="005D74AE"/>
    <w:rsid w:val="005E0C63"/>
    <w:rsid w:val="005E21E0"/>
    <w:rsid w:val="005E574B"/>
    <w:rsid w:val="005F05A0"/>
    <w:rsid w:val="005F0880"/>
    <w:rsid w:val="005F0DF9"/>
    <w:rsid w:val="005F0EE0"/>
    <w:rsid w:val="005F3B2E"/>
    <w:rsid w:val="005F547E"/>
    <w:rsid w:val="005F6D89"/>
    <w:rsid w:val="00604D52"/>
    <w:rsid w:val="00607632"/>
    <w:rsid w:val="00612D69"/>
    <w:rsid w:val="00615856"/>
    <w:rsid w:val="00617B34"/>
    <w:rsid w:val="00617E48"/>
    <w:rsid w:val="00621A62"/>
    <w:rsid w:val="00624DAE"/>
    <w:rsid w:val="00630E46"/>
    <w:rsid w:val="00632175"/>
    <w:rsid w:val="00632C47"/>
    <w:rsid w:val="00636991"/>
    <w:rsid w:val="006411B7"/>
    <w:rsid w:val="00641E03"/>
    <w:rsid w:val="00642AE6"/>
    <w:rsid w:val="00642EBB"/>
    <w:rsid w:val="006504BD"/>
    <w:rsid w:val="0065111E"/>
    <w:rsid w:val="006521AE"/>
    <w:rsid w:val="00653970"/>
    <w:rsid w:val="00660022"/>
    <w:rsid w:val="00660619"/>
    <w:rsid w:val="0066148F"/>
    <w:rsid w:val="00662CB1"/>
    <w:rsid w:val="0066327C"/>
    <w:rsid w:val="00663F9D"/>
    <w:rsid w:val="0066548F"/>
    <w:rsid w:val="00665EAE"/>
    <w:rsid w:val="00671B1B"/>
    <w:rsid w:val="0067500D"/>
    <w:rsid w:val="00680529"/>
    <w:rsid w:val="006828C9"/>
    <w:rsid w:val="00690833"/>
    <w:rsid w:val="006933F1"/>
    <w:rsid w:val="00693D81"/>
    <w:rsid w:val="00694CD8"/>
    <w:rsid w:val="006953B4"/>
    <w:rsid w:val="006A2C8F"/>
    <w:rsid w:val="006B1581"/>
    <w:rsid w:val="006B4846"/>
    <w:rsid w:val="006B6DCE"/>
    <w:rsid w:val="006C0DF8"/>
    <w:rsid w:val="006C4942"/>
    <w:rsid w:val="006C5F9F"/>
    <w:rsid w:val="006D31FD"/>
    <w:rsid w:val="006E0BA4"/>
    <w:rsid w:val="006E0E0A"/>
    <w:rsid w:val="006F0F51"/>
    <w:rsid w:val="006F2485"/>
    <w:rsid w:val="006F32DA"/>
    <w:rsid w:val="006F6B03"/>
    <w:rsid w:val="007031DE"/>
    <w:rsid w:val="00703994"/>
    <w:rsid w:val="00703F97"/>
    <w:rsid w:val="00704CC0"/>
    <w:rsid w:val="007202A2"/>
    <w:rsid w:val="00720C10"/>
    <w:rsid w:val="00732DC1"/>
    <w:rsid w:val="00736271"/>
    <w:rsid w:val="007366E5"/>
    <w:rsid w:val="007401ED"/>
    <w:rsid w:val="00741627"/>
    <w:rsid w:val="007417D0"/>
    <w:rsid w:val="00741D70"/>
    <w:rsid w:val="00742991"/>
    <w:rsid w:val="007460C8"/>
    <w:rsid w:val="00747AA6"/>
    <w:rsid w:val="00752970"/>
    <w:rsid w:val="00753363"/>
    <w:rsid w:val="0075477E"/>
    <w:rsid w:val="00754E0D"/>
    <w:rsid w:val="007571F8"/>
    <w:rsid w:val="007665D6"/>
    <w:rsid w:val="0077045C"/>
    <w:rsid w:val="00774CA7"/>
    <w:rsid w:val="00776BD0"/>
    <w:rsid w:val="00777946"/>
    <w:rsid w:val="0078254A"/>
    <w:rsid w:val="00786955"/>
    <w:rsid w:val="00795B93"/>
    <w:rsid w:val="00795E35"/>
    <w:rsid w:val="00797D01"/>
    <w:rsid w:val="007A49BD"/>
    <w:rsid w:val="007A5EED"/>
    <w:rsid w:val="007A6189"/>
    <w:rsid w:val="007B1696"/>
    <w:rsid w:val="007B3CFE"/>
    <w:rsid w:val="007B3E0B"/>
    <w:rsid w:val="007B6A61"/>
    <w:rsid w:val="007B6B16"/>
    <w:rsid w:val="007C1715"/>
    <w:rsid w:val="007C1BD7"/>
    <w:rsid w:val="007C2750"/>
    <w:rsid w:val="007C489D"/>
    <w:rsid w:val="007D15B7"/>
    <w:rsid w:val="007D3797"/>
    <w:rsid w:val="007D44C1"/>
    <w:rsid w:val="007D62EC"/>
    <w:rsid w:val="007D6B2F"/>
    <w:rsid w:val="007D77D8"/>
    <w:rsid w:val="007D7A4C"/>
    <w:rsid w:val="007E0CF5"/>
    <w:rsid w:val="007E121B"/>
    <w:rsid w:val="007E19F2"/>
    <w:rsid w:val="007E7461"/>
    <w:rsid w:val="007E7BEE"/>
    <w:rsid w:val="007F1974"/>
    <w:rsid w:val="007F4337"/>
    <w:rsid w:val="007F4AA7"/>
    <w:rsid w:val="008028BD"/>
    <w:rsid w:val="00811206"/>
    <w:rsid w:val="00812173"/>
    <w:rsid w:val="0081372D"/>
    <w:rsid w:val="00815341"/>
    <w:rsid w:val="008160BB"/>
    <w:rsid w:val="00821A3C"/>
    <w:rsid w:val="00826B95"/>
    <w:rsid w:val="008303C0"/>
    <w:rsid w:val="00830669"/>
    <w:rsid w:val="0083381F"/>
    <w:rsid w:val="00835D02"/>
    <w:rsid w:val="008361B5"/>
    <w:rsid w:val="00843C00"/>
    <w:rsid w:val="00845258"/>
    <w:rsid w:val="008464EB"/>
    <w:rsid w:val="00846A47"/>
    <w:rsid w:val="008510E8"/>
    <w:rsid w:val="00853DBA"/>
    <w:rsid w:val="0085694A"/>
    <w:rsid w:val="00860C17"/>
    <w:rsid w:val="00864027"/>
    <w:rsid w:val="00864FE5"/>
    <w:rsid w:val="008735E9"/>
    <w:rsid w:val="0087528D"/>
    <w:rsid w:val="008777B8"/>
    <w:rsid w:val="00880070"/>
    <w:rsid w:val="008804B2"/>
    <w:rsid w:val="00880857"/>
    <w:rsid w:val="00884312"/>
    <w:rsid w:val="00887489"/>
    <w:rsid w:val="008911F7"/>
    <w:rsid w:val="00891D17"/>
    <w:rsid w:val="0089231B"/>
    <w:rsid w:val="008959B3"/>
    <w:rsid w:val="008A2EA8"/>
    <w:rsid w:val="008A4985"/>
    <w:rsid w:val="008A503D"/>
    <w:rsid w:val="008B0D4C"/>
    <w:rsid w:val="008B5150"/>
    <w:rsid w:val="008B5CC7"/>
    <w:rsid w:val="008B6096"/>
    <w:rsid w:val="008B6998"/>
    <w:rsid w:val="008C030E"/>
    <w:rsid w:val="008C0CD6"/>
    <w:rsid w:val="008C2F8E"/>
    <w:rsid w:val="008C7929"/>
    <w:rsid w:val="008C7FA9"/>
    <w:rsid w:val="008D074C"/>
    <w:rsid w:val="008D0E59"/>
    <w:rsid w:val="008D2317"/>
    <w:rsid w:val="008D2788"/>
    <w:rsid w:val="008D672A"/>
    <w:rsid w:val="008D79F6"/>
    <w:rsid w:val="008E3D56"/>
    <w:rsid w:val="008E55CD"/>
    <w:rsid w:val="008F171A"/>
    <w:rsid w:val="008F2712"/>
    <w:rsid w:val="008F3040"/>
    <w:rsid w:val="008F439D"/>
    <w:rsid w:val="008F5411"/>
    <w:rsid w:val="008F659B"/>
    <w:rsid w:val="008F79B4"/>
    <w:rsid w:val="008F7A0F"/>
    <w:rsid w:val="00902472"/>
    <w:rsid w:val="00902A81"/>
    <w:rsid w:val="00906833"/>
    <w:rsid w:val="00907578"/>
    <w:rsid w:val="00911752"/>
    <w:rsid w:val="00914013"/>
    <w:rsid w:val="00916AAB"/>
    <w:rsid w:val="009175D3"/>
    <w:rsid w:val="0091773B"/>
    <w:rsid w:val="009261BF"/>
    <w:rsid w:val="009311CA"/>
    <w:rsid w:val="00931580"/>
    <w:rsid w:val="0093190F"/>
    <w:rsid w:val="00934822"/>
    <w:rsid w:val="009350AB"/>
    <w:rsid w:val="009364C6"/>
    <w:rsid w:val="0094008F"/>
    <w:rsid w:val="0094208C"/>
    <w:rsid w:val="0094216D"/>
    <w:rsid w:val="00942E12"/>
    <w:rsid w:val="00944349"/>
    <w:rsid w:val="00951CB8"/>
    <w:rsid w:val="00955C56"/>
    <w:rsid w:val="0095684A"/>
    <w:rsid w:val="0095768D"/>
    <w:rsid w:val="009578E3"/>
    <w:rsid w:val="009620ED"/>
    <w:rsid w:val="00965140"/>
    <w:rsid w:val="00965A10"/>
    <w:rsid w:val="00965E5C"/>
    <w:rsid w:val="00965EB3"/>
    <w:rsid w:val="00967C86"/>
    <w:rsid w:val="00970366"/>
    <w:rsid w:val="009712CB"/>
    <w:rsid w:val="00972151"/>
    <w:rsid w:val="00972387"/>
    <w:rsid w:val="00972732"/>
    <w:rsid w:val="00974194"/>
    <w:rsid w:val="00975D45"/>
    <w:rsid w:val="0097603B"/>
    <w:rsid w:val="009805ED"/>
    <w:rsid w:val="00983A69"/>
    <w:rsid w:val="00984A1E"/>
    <w:rsid w:val="00991322"/>
    <w:rsid w:val="009959BF"/>
    <w:rsid w:val="009A4CCE"/>
    <w:rsid w:val="009A5AD6"/>
    <w:rsid w:val="009B0C7D"/>
    <w:rsid w:val="009B3BD6"/>
    <w:rsid w:val="009B4D5B"/>
    <w:rsid w:val="009B5262"/>
    <w:rsid w:val="009B5A14"/>
    <w:rsid w:val="009B66BE"/>
    <w:rsid w:val="009C0516"/>
    <w:rsid w:val="009C5F13"/>
    <w:rsid w:val="009D0EE9"/>
    <w:rsid w:val="009D1778"/>
    <w:rsid w:val="009D446F"/>
    <w:rsid w:val="009D5334"/>
    <w:rsid w:val="009D7044"/>
    <w:rsid w:val="009E0467"/>
    <w:rsid w:val="009E23FF"/>
    <w:rsid w:val="009E630C"/>
    <w:rsid w:val="009F1798"/>
    <w:rsid w:val="009F7BC7"/>
    <w:rsid w:val="00A04A5A"/>
    <w:rsid w:val="00A118E9"/>
    <w:rsid w:val="00A11EB1"/>
    <w:rsid w:val="00A12811"/>
    <w:rsid w:val="00A15917"/>
    <w:rsid w:val="00A17B50"/>
    <w:rsid w:val="00A21D92"/>
    <w:rsid w:val="00A225EB"/>
    <w:rsid w:val="00A27BC8"/>
    <w:rsid w:val="00A27FD6"/>
    <w:rsid w:val="00A301C3"/>
    <w:rsid w:val="00A311D3"/>
    <w:rsid w:val="00A360B6"/>
    <w:rsid w:val="00A371A0"/>
    <w:rsid w:val="00A40D12"/>
    <w:rsid w:val="00A43504"/>
    <w:rsid w:val="00A43E00"/>
    <w:rsid w:val="00A50D6F"/>
    <w:rsid w:val="00A50F42"/>
    <w:rsid w:val="00A518D5"/>
    <w:rsid w:val="00A524C2"/>
    <w:rsid w:val="00A53138"/>
    <w:rsid w:val="00A5631E"/>
    <w:rsid w:val="00A56FF2"/>
    <w:rsid w:val="00A60DBA"/>
    <w:rsid w:val="00A62AD2"/>
    <w:rsid w:val="00A62FA8"/>
    <w:rsid w:val="00A6312A"/>
    <w:rsid w:val="00A64945"/>
    <w:rsid w:val="00A6661A"/>
    <w:rsid w:val="00A73574"/>
    <w:rsid w:val="00A7526D"/>
    <w:rsid w:val="00A80C84"/>
    <w:rsid w:val="00A84514"/>
    <w:rsid w:val="00A87C35"/>
    <w:rsid w:val="00A9087D"/>
    <w:rsid w:val="00A921EC"/>
    <w:rsid w:val="00A92274"/>
    <w:rsid w:val="00A92935"/>
    <w:rsid w:val="00AA0D7B"/>
    <w:rsid w:val="00AA1E1C"/>
    <w:rsid w:val="00AB1262"/>
    <w:rsid w:val="00AB1D5C"/>
    <w:rsid w:val="00AB222B"/>
    <w:rsid w:val="00AB2F52"/>
    <w:rsid w:val="00AB44B9"/>
    <w:rsid w:val="00AB57A8"/>
    <w:rsid w:val="00AC107B"/>
    <w:rsid w:val="00AC1DFC"/>
    <w:rsid w:val="00AC597F"/>
    <w:rsid w:val="00AC7AED"/>
    <w:rsid w:val="00AD2659"/>
    <w:rsid w:val="00AD28C1"/>
    <w:rsid w:val="00AE0AC0"/>
    <w:rsid w:val="00AE13E4"/>
    <w:rsid w:val="00AE3296"/>
    <w:rsid w:val="00AE33AA"/>
    <w:rsid w:val="00AE43A0"/>
    <w:rsid w:val="00AF0CEF"/>
    <w:rsid w:val="00AF2CDA"/>
    <w:rsid w:val="00AF3722"/>
    <w:rsid w:val="00AF4406"/>
    <w:rsid w:val="00AF7CCB"/>
    <w:rsid w:val="00B06CB4"/>
    <w:rsid w:val="00B10B43"/>
    <w:rsid w:val="00B11542"/>
    <w:rsid w:val="00B11AC4"/>
    <w:rsid w:val="00B14C76"/>
    <w:rsid w:val="00B15496"/>
    <w:rsid w:val="00B15892"/>
    <w:rsid w:val="00B15A26"/>
    <w:rsid w:val="00B17143"/>
    <w:rsid w:val="00B22785"/>
    <w:rsid w:val="00B2613A"/>
    <w:rsid w:val="00B2713F"/>
    <w:rsid w:val="00B2793C"/>
    <w:rsid w:val="00B32B87"/>
    <w:rsid w:val="00B32D0E"/>
    <w:rsid w:val="00B364EE"/>
    <w:rsid w:val="00B367C0"/>
    <w:rsid w:val="00B36E6E"/>
    <w:rsid w:val="00B4168C"/>
    <w:rsid w:val="00B41765"/>
    <w:rsid w:val="00B47BDF"/>
    <w:rsid w:val="00B52348"/>
    <w:rsid w:val="00B627FF"/>
    <w:rsid w:val="00B72FF2"/>
    <w:rsid w:val="00B7364E"/>
    <w:rsid w:val="00B75B81"/>
    <w:rsid w:val="00B80487"/>
    <w:rsid w:val="00B811A9"/>
    <w:rsid w:val="00B84DAD"/>
    <w:rsid w:val="00B84F3F"/>
    <w:rsid w:val="00B90BBF"/>
    <w:rsid w:val="00B94DAF"/>
    <w:rsid w:val="00BA0EFB"/>
    <w:rsid w:val="00BA1676"/>
    <w:rsid w:val="00BA3F74"/>
    <w:rsid w:val="00BA491B"/>
    <w:rsid w:val="00BA629E"/>
    <w:rsid w:val="00BA72B3"/>
    <w:rsid w:val="00BB0886"/>
    <w:rsid w:val="00BB250D"/>
    <w:rsid w:val="00BB27B9"/>
    <w:rsid w:val="00BB42EC"/>
    <w:rsid w:val="00BC1B87"/>
    <w:rsid w:val="00BC2DC4"/>
    <w:rsid w:val="00BC2E49"/>
    <w:rsid w:val="00BC3749"/>
    <w:rsid w:val="00BC3BA6"/>
    <w:rsid w:val="00BC6881"/>
    <w:rsid w:val="00BD12B2"/>
    <w:rsid w:val="00BD378E"/>
    <w:rsid w:val="00BD4DF8"/>
    <w:rsid w:val="00BE1966"/>
    <w:rsid w:val="00BE4020"/>
    <w:rsid w:val="00BE5B3A"/>
    <w:rsid w:val="00BF03AC"/>
    <w:rsid w:val="00BF1FB5"/>
    <w:rsid w:val="00BF20E2"/>
    <w:rsid w:val="00BF7611"/>
    <w:rsid w:val="00C010D2"/>
    <w:rsid w:val="00C03AE4"/>
    <w:rsid w:val="00C13A3F"/>
    <w:rsid w:val="00C13DF5"/>
    <w:rsid w:val="00C144EB"/>
    <w:rsid w:val="00C17880"/>
    <w:rsid w:val="00C1798E"/>
    <w:rsid w:val="00C31F5D"/>
    <w:rsid w:val="00C3578C"/>
    <w:rsid w:val="00C358BB"/>
    <w:rsid w:val="00C3673B"/>
    <w:rsid w:val="00C37033"/>
    <w:rsid w:val="00C436F0"/>
    <w:rsid w:val="00C438E7"/>
    <w:rsid w:val="00C45503"/>
    <w:rsid w:val="00C47CCB"/>
    <w:rsid w:val="00C50677"/>
    <w:rsid w:val="00C5225A"/>
    <w:rsid w:val="00C776A2"/>
    <w:rsid w:val="00C803DF"/>
    <w:rsid w:val="00C808DE"/>
    <w:rsid w:val="00C82671"/>
    <w:rsid w:val="00C83226"/>
    <w:rsid w:val="00C919B9"/>
    <w:rsid w:val="00C92915"/>
    <w:rsid w:val="00C97C05"/>
    <w:rsid w:val="00CA503B"/>
    <w:rsid w:val="00CA5B98"/>
    <w:rsid w:val="00CA5E48"/>
    <w:rsid w:val="00CA6397"/>
    <w:rsid w:val="00CA7E24"/>
    <w:rsid w:val="00CB02AC"/>
    <w:rsid w:val="00CB52B7"/>
    <w:rsid w:val="00CB68AA"/>
    <w:rsid w:val="00CC3CDC"/>
    <w:rsid w:val="00CC5643"/>
    <w:rsid w:val="00CC5EFA"/>
    <w:rsid w:val="00CC62F5"/>
    <w:rsid w:val="00CD3EB4"/>
    <w:rsid w:val="00CD68FB"/>
    <w:rsid w:val="00CE00FC"/>
    <w:rsid w:val="00CE0CE3"/>
    <w:rsid w:val="00CE0E1B"/>
    <w:rsid w:val="00CE0F17"/>
    <w:rsid w:val="00CE1887"/>
    <w:rsid w:val="00CE5B87"/>
    <w:rsid w:val="00CE6C02"/>
    <w:rsid w:val="00CF1019"/>
    <w:rsid w:val="00CF24D1"/>
    <w:rsid w:val="00CF5C22"/>
    <w:rsid w:val="00D0419A"/>
    <w:rsid w:val="00D0593F"/>
    <w:rsid w:val="00D06B06"/>
    <w:rsid w:val="00D07D0A"/>
    <w:rsid w:val="00D1007F"/>
    <w:rsid w:val="00D13B2B"/>
    <w:rsid w:val="00D20001"/>
    <w:rsid w:val="00D24557"/>
    <w:rsid w:val="00D2471D"/>
    <w:rsid w:val="00D307BF"/>
    <w:rsid w:val="00D30FA1"/>
    <w:rsid w:val="00D32762"/>
    <w:rsid w:val="00D3661A"/>
    <w:rsid w:val="00D40904"/>
    <w:rsid w:val="00D416C0"/>
    <w:rsid w:val="00D41A3C"/>
    <w:rsid w:val="00D44B1C"/>
    <w:rsid w:val="00D46326"/>
    <w:rsid w:val="00D470E7"/>
    <w:rsid w:val="00D47EB0"/>
    <w:rsid w:val="00D5082F"/>
    <w:rsid w:val="00D50BB4"/>
    <w:rsid w:val="00D5424A"/>
    <w:rsid w:val="00D608B3"/>
    <w:rsid w:val="00D60BE1"/>
    <w:rsid w:val="00D645F0"/>
    <w:rsid w:val="00D656FF"/>
    <w:rsid w:val="00D70197"/>
    <w:rsid w:val="00D72274"/>
    <w:rsid w:val="00D73FB7"/>
    <w:rsid w:val="00D75D59"/>
    <w:rsid w:val="00D81820"/>
    <w:rsid w:val="00D81F4D"/>
    <w:rsid w:val="00D828F6"/>
    <w:rsid w:val="00D82F5D"/>
    <w:rsid w:val="00D91683"/>
    <w:rsid w:val="00D91837"/>
    <w:rsid w:val="00DA1836"/>
    <w:rsid w:val="00DA19DD"/>
    <w:rsid w:val="00DA26A9"/>
    <w:rsid w:val="00DA4270"/>
    <w:rsid w:val="00DA6643"/>
    <w:rsid w:val="00DB315C"/>
    <w:rsid w:val="00DC4D43"/>
    <w:rsid w:val="00DC5503"/>
    <w:rsid w:val="00DC76E7"/>
    <w:rsid w:val="00DC7D45"/>
    <w:rsid w:val="00DD34FE"/>
    <w:rsid w:val="00DE3A0B"/>
    <w:rsid w:val="00DE4D35"/>
    <w:rsid w:val="00DE59FB"/>
    <w:rsid w:val="00DE7209"/>
    <w:rsid w:val="00DF20E3"/>
    <w:rsid w:val="00DF3862"/>
    <w:rsid w:val="00DF40B8"/>
    <w:rsid w:val="00DF7165"/>
    <w:rsid w:val="00E00089"/>
    <w:rsid w:val="00E001BC"/>
    <w:rsid w:val="00E04688"/>
    <w:rsid w:val="00E05DF5"/>
    <w:rsid w:val="00E05EDC"/>
    <w:rsid w:val="00E07A9D"/>
    <w:rsid w:val="00E07BA0"/>
    <w:rsid w:val="00E10197"/>
    <w:rsid w:val="00E110E2"/>
    <w:rsid w:val="00E163C1"/>
    <w:rsid w:val="00E16CB7"/>
    <w:rsid w:val="00E16D21"/>
    <w:rsid w:val="00E176AF"/>
    <w:rsid w:val="00E20228"/>
    <w:rsid w:val="00E254C4"/>
    <w:rsid w:val="00E256E0"/>
    <w:rsid w:val="00E27D05"/>
    <w:rsid w:val="00E33405"/>
    <w:rsid w:val="00E376FE"/>
    <w:rsid w:val="00E410B7"/>
    <w:rsid w:val="00E46C38"/>
    <w:rsid w:val="00E51527"/>
    <w:rsid w:val="00E54967"/>
    <w:rsid w:val="00E6026D"/>
    <w:rsid w:val="00E6111F"/>
    <w:rsid w:val="00E64273"/>
    <w:rsid w:val="00E700FD"/>
    <w:rsid w:val="00E70833"/>
    <w:rsid w:val="00E7144B"/>
    <w:rsid w:val="00E7158B"/>
    <w:rsid w:val="00E76DCA"/>
    <w:rsid w:val="00E82095"/>
    <w:rsid w:val="00E900C4"/>
    <w:rsid w:val="00E94ABD"/>
    <w:rsid w:val="00E95032"/>
    <w:rsid w:val="00E96322"/>
    <w:rsid w:val="00EA7348"/>
    <w:rsid w:val="00EB2142"/>
    <w:rsid w:val="00EB5033"/>
    <w:rsid w:val="00EB5952"/>
    <w:rsid w:val="00EB5F14"/>
    <w:rsid w:val="00EC2894"/>
    <w:rsid w:val="00EC2B5E"/>
    <w:rsid w:val="00EC2F51"/>
    <w:rsid w:val="00ED2D1F"/>
    <w:rsid w:val="00ED2E66"/>
    <w:rsid w:val="00ED46D6"/>
    <w:rsid w:val="00ED579D"/>
    <w:rsid w:val="00EE025D"/>
    <w:rsid w:val="00EE03F0"/>
    <w:rsid w:val="00EE110D"/>
    <w:rsid w:val="00EE1199"/>
    <w:rsid w:val="00EE2D86"/>
    <w:rsid w:val="00EE489B"/>
    <w:rsid w:val="00EF6B24"/>
    <w:rsid w:val="00EF7953"/>
    <w:rsid w:val="00F01C10"/>
    <w:rsid w:val="00F02555"/>
    <w:rsid w:val="00F0429C"/>
    <w:rsid w:val="00F0646E"/>
    <w:rsid w:val="00F14E96"/>
    <w:rsid w:val="00F179CF"/>
    <w:rsid w:val="00F2230A"/>
    <w:rsid w:val="00F25939"/>
    <w:rsid w:val="00F261D5"/>
    <w:rsid w:val="00F264DF"/>
    <w:rsid w:val="00F32DA0"/>
    <w:rsid w:val="00F33361"/>
    <w:rsid w:val="00F37CDC"/>
    <w:rsid w:val="00F42075"/>
    <w:rsid w:val="00F44D20"/>
    <w:rsid w:val="00F50246"/>
    <w:rsid w:val="00F53921"/>
    <w:rsid w:val="00F54A93"/>
    <w:rsid w:val="00F6096A"/>
    <w:rsid w:val="00F62D2A"/>
    <w:rsid w:val="00F64570"/>
    <w:rsid w:val="00F64D27"/>
    <w:rsid w:val="00F671D2"/>
    <w:rsid w:val="00F73D5F"/>
    <w:rsid w:val="00F758D9"/>
    <w:rsid w:val="00F774A1"/>
    <w:rsid w:val="00F77F7E"/>
    <w:rsid w:val="00F8273E"/>
    <w:rsid w:val="00F83BFE"/>
    <w:rsid w:val="00F83CC8"/>
    <w:rsid w:val="00F91550"/>
    <w:rsid w:val="00F95F1D"/>
    <w:rsid w:val="00F95F2D"/>
    <w:rsid w:val="00F96546"/>
    <w:rsid w:val="00F97E35"/>
    <w:rsid w:val="00FA1911"/>
    <w:rsid w:val="00FA2816"/>
    <w:rsid w:val="00FA6E19"/>
    <w:rsid w:val="00FB024E"/>
    <w:rsid w:val="00FB0AFF"/>
    <w:rsid w:val="00FB0F1B"/>
    <w:rsid w:val="00FB212F"/>
    <w:rsid w:val="00FB328A"/>
    <w:rsid w:val="00FB666E"/>
    <w:rsid w:val="00FB677F"/>
    <w:rsid w:val="00FB7F6C"/>
    <w:rsid w:val="00FC0652"/>
    <w:rsid w:val="00FC18C2"/>
    <w:rsid w:val="00FC2931"/>
    <w:rsid w:val="00FC35C8"/>
    <w:rsid w:val="00FC53F4"/>
    <w:rsid w:val="00FD2582"/>
    <w:rsid w:val="00FD324A"/>
    <w:rsid w:val="00FD400A"/>
    <w:rsid w:val="00FD6BB4"/>
    <w:rsid w:val="00FE1834"/>
    <w:rsid w:val="00FE203E"/>
    <w:rsid w:val="00FE2DCD"/>
    <w:rsid w:val="00FE35E8"/>
    <w:rsid w:val="00FE4A2D"/>
    <w:rsid w:val="00FE6856"/>
    <w:rsid w:val="00FF36F0"/>
    <w:rsid w:val="00FF4151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847E1"/>
  <w15:chartTrackingRefBased/>
  <w15:docId w15:val="{0E5F6BF5-7EEE-4081-A277-0A570AEC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D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21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E21E0"/>
  </w:style>
  <w:style w:type="paragraph" w:styleId="Piedepgina">
    <w:name w:val="footer"/>
    <w:basedOn w:val="Normal"/>
    <w:link w:val="PiedepginaCar"/>
    <w:uiPriority w:val="99"/>
    <w:unhideWhenUsed/>
    <w:rsid w:val="005E21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1E0"/>
  </w:style>
  <w:style w:type="paragraph" w:styleId="Textonotapie">
    <w:name w:val="footnote text"/>
    <w:basedOn w:val="Normal"/>
    <w:link w:val="TextonotapieCar"/>
    <w:uiPriority w:val="99"/>
    <w:semiHidden/>
    <w:unhideWhenUsed/>
    <w:rsid w:val="002478E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78E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478E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327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327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327C"/>
    <w:rPr>
      <w:vertAlign w:val="superscript"/>
    </w:rPr>
  </w:style>
  <w:style w:type="paragraph" w:styleId="Sinespaciado">
    <w:name w:val="No Spacing"/>
    <w:uiPriority w:val="1"/>
    <w:qFormat/>
    <w:rsid w:val="00845258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B94D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4DAF"/>
    <w:rPr>
      <w:rFonts w:ascii="Arial" w:eastAsia="Arial" w:hAnsi="Arial" w:cs="Arial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B2713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A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2B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CA63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B261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61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61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61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613A"/>
    <w:rPr>
      <w:b/>
      <w:bCs/>
      <w:sz w:val="20"/>
      <w:szCs w:val="20"/>
    </w:rPr>
  </w:style>
  <w:style w:type="paragraph" w:customStyle="1" w:styleId="Pa83">
    <w:name w:val="Pa8_3"/>
    <w:basedOn w:val="Normal"/>
    <w:next w:val="Normal"/>
    <w:uiPriority w:val="99"/>
    <w:rsid w:val="00BA491B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73">
    <w:name w:val="A7_3"/>
    <w:uiPriority w:val="99"/>
    <w:rsid w:val="00BA491B"/>
    <w:rPr>
      <w:color w:val="211D1E"/>
      <w:sz w:val="16"/>
      <w:szCs w:val="16"/>
    </w:rPr>
  </w:style>
  <w:style w:type="paragraph" w:customStyle="1" w:styleId="Default">
    <w:name w:val="Default"/>
    <w:rsid w:val="004527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3057F"/>
    <w:rPr>
      <w:color w:val="0563C1"/>
      <w:u w:val="single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342852"/>
  </w:style>
  <w:style w:type="paragraph" w:styleId="Listaconvietas">
    <w:name w:val="List Bullet"/>
    <w:basedOn w:val="Normal"/>
    <w:uiPriority w:val="99"/>
    <w:unhideWhenUsed/>
    <w:rsid w:val="00342822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media/image23.png"/><Relationship Id="rId21" Type="http://schemas.openxmlformats.org/officeDocument/2006/relationships/hyperlink" Target="https://twitter.com/INEGI_INFORMA" TargetMode="External"/><Relationship Id="rId34" Type="http://schemas.openxmlformats.org/officeDocument/2006/relationships/image" Target="media/image18.png"/><Relationship Id="rId42" Type="http://schemas.openxmlformats.org/officeDocument/2006/relationships/image" Target="media/image26.png"/><Relationship Id="rId47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omunicacionsocial@inegi.org.mx" TargetMode="External"/><Relationship Id="rId29" Type="http://schemas.openxmlformats.org/officeDocument/2006/relationships/image" Target="media/image13.png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hyperlink" Target="https://www.inegi.org.mx/investigacion/ecis/2022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youtube.com/user/INEGIInforma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inegi_informa/" TargetMode="External"/><Relationship Id="rId31" Type="http://schemas.openxmlformats.org/officeDocument/2006/relationships/image" Target="media/image15.png"/><Relationship Id="rId44" Type="http://schemas.openxmlformats.org/officeDocument/2006/relationships/image" Target="media/image2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facebook.com/INEGIInforma/" TargetMode="External"/><Relationship Id="rId25" Type="http://schemas.openxmlformats.org/officeDocument/2006/relationships/hyperlink" Target="http://www.inegi.org.mx/" TargetMode="External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header" Target="header1.xml"/><Relationship Id="rId20" Type="http://schemas.openxmlformats.org/officeDocument/2006/relationships/image" Target="media/image7.png"/><Relationship Id="rId41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A63ED3231540AC4C61BCC6B1A71B" ma:contentTypeVersion="13" ma:contentTypeDescription="Create a new document." ma:contentTypeScope="" ma:versionID="09b0c93777b687905e3bd30c302b2efe">
  <xsd:schema xmlns:xsd="http://www.w3.org/2001/XMLSchema" xmlns:xs="http://www.w3.org/2001/XMLSchema" xmlns:p="http://schemas.microsoft.com/office/2006/metadata/properties" xmlns:ns3="9b664f7d-3dbc-42a7-939c-06bd4a194390" xmlns:ns4="1141b71f-bc0d-4268-811b-9a5345b4a401" targetNamespace="http://schemas.microsoft.com/office/2006/metadata/properties" ma:root="true" ma:fieldsID="3cf4a54d391536fb326b7eda6bc0176f" ns3:_="" ns4:_="">
    <xsd:import namespace="9b664f7d-3dbc-42a7-939c-06bd4a194390"/>
    <xsd:import namespace="1141b71f-bc0d-4268-811b-9a5345b4a4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4f7d-3dbc-42a7-939c-06bd4a194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1b71f-bc0d-4268-811b-9a5345b4a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664f7d-3dbc-42a7-939c-06bd4a1943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1E5E-92D2-4A5A-B79C-85AC9AA0D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64f7d-3dbc-42a7-939c-06bd4a194390"/>
    <ds:schemaRef ds:uri="1141b71f-bc0d-4268-811b-9a5345b4a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70009-1903-42E2-91E5-0B4315BB52FB}">
  <ds:schemaRefs>
    <ds:schemaRef ds:uri="http://schemas.microsoft.com/office/2006/metadata/properties"/>
    <ds:schemaRef ds:uri="http://schemas.microsoft.com/office/infopath/2007/PartnerControls"/>
    <ds:schemaRef ds:uri="9b664f7d-3dbc-42a7-939c-06bd4a194390"/>
  </ds:schemaRefs>
</ds:datastoreItem>
</file>

<file path=customXml/itemProps3.xml><?xml version="1.0" encoding="utf-8"?>
<ds:datastoreItem xmlns:ds="http://schemas.openxmlformats.org/officeDocument/2006/customXml" ds:itemID="{E59D4B4A-8F9E-4C07-A2F6-2FA9700A8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9DE6C-38F2-48B3-B912-C572FCEA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5428</Words>
  <Characters>29856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de Comercio Internacional de Servicios (ECIS) 2022</vt:lpstr>
    </vt:vector>
  </TitlesOfParts>
  <Manager>INEGI</Manager>
  <Company>INEGI</Company>
  <LinksUpToDate>false</LinksUpToDate>
  <CharactersWithSpaces>35214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de Comercio Internacional de Servicios (ECIS) 2022</dc:title>
  <dc:subject/>
  <dc:creator>INEGI</dc:creator>
  <cp:keywords>Encuesta de Comercio Internacional de Servicios (ECIS) 2022</cp:keywords>
  <dc:description/>
  <cp:lastModifiedBy>GUILLEN MEDINA MOISES</cp:lastModifiedBy>
  <cp:revision>9</cp:revision>
  <cp:lastPrinted>2023-10-05T18:28:00Z</cp:lastPrinted>
  <dcterms:created xsi:type="dcterms:W3CDTF">2023-10-13T23:38:00Z</dcterms:created>
  <dcterms:modified xsi:type="dcterms:W3CDTF">2023-10-14T00:34:00Z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0x0101003A08A63ED3231540AC4C61BCC6B1A71B</vt:lpwstr>
  </property>
</Properties>
</file>